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7.xml" ContentType="application/vnd.openxmlformats-officedocument.wordprocessingml.header+xml"/>
  <Override PartName="/word/footer159.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2.xml" ContentType="application/vnd.openxmlformats-officedocument.wordprocessingml.header+xml"/>
  <Override PartName="/word/footer16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7.xml" ContentType="application/vnd.openxmlformats-officedocument.wordprocessingml.header+xml"/>
  <Override PartName="/word/footer169.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0.xml" ContentType="application/vnd.openxmlformats-officedocument.wordprocessingml.header+xml"/>
  <Override PartName="/word/footer172.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3.xml" ContentType="application/vnd.openxmlformats-officedocument.wordprocessingml.header+xml"/>
  <Override PartName="/word/footer175.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78.xml" ContentType="application/vnd.openxmlformats-officedocument.wordprocessingml.header+xml"/>
  <Override PartName="/word/footer180.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3.xml" ContentType="application/vnd.openxmlformats-officedocument.wordprocessingml.header+xml"/>
  <Override PartName="/word/footer185.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88.xml" ContentType="application/vnd.openxmlformats-officedocument.wordprocessingml.header+xml"/>
  <Override PartName="/word/footer190.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1.xml" ContentType="application/vnd.openxmlformats-officedocument.wordprocessingml.header+xml"/>
  <Override PartName="/word/footer193.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4.xml" ContentType="application/vnd.openxmlformats-officedocument.wordprocessingml.header+xml"/>
  <Override PartName="/word/footer196.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2.xml" ContentType="application/vnd.openxmlformats-officedocument.wordprocessingml.header+xml"/>
  <Override PartName="/word/footer203.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7.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0.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footer214.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6.xml" ContentType="application/vnd.openxmlformats-officedocument.wordprocessingml.header+xml"/>
  <Override PartName="/word/footer217.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19.xml" ContentType="application/vnd.openxmlformats-officedocument.wordprocessingml.header+xml"/>
  <Override PartName="/word/footer220.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4.xml" ContentType="application/vnd.openxmlformats-officedocument.wordprocessingml.header+xml"/>
  <Override PartName="/word/footer225.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1.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37.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1.xml" ContentType="application/vnd.openxmlformats-officedocument.wordprocessingml.header+xml"/>
  <Override PartName="/word/footer252.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4.xml" ContentType="application/vnd.openxmlformats-officedocument.wordprocessingml.header+xml"/>
  <Override PartName="/word/footer255.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7.xml" ContentType="application/vnd.openxmlformats-officedocument.wordprocessingml.header+xml"/>
  <Override PartName="/word/footer258.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0.xml" ContentType="application/vnd.openxmlformats-officedocument.wordprocessingml.header+xml"/>
  <Override PartName="/word/footer261.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3.xml" ContentType="application/vnd.openxmlformats-officedocument.wordprocessingml.header+xml"/>
  <Override PartName="/word/footer264.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8.xml" ContentType="application/vnd.openxmlformats-officedocument.wordprocessingml.header+xml"/>
  <Override PartName="/word/footer269.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73.xml" ContentType="application/vnd.openxmlformats-officedocument.wordprocessingml.header+xml"/>
  <Override PartName="/word/footer274.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6.xml" ContentType="application/vnd.openxmlformats-officedocument.wordprocessingml.header+xml"/>
  <Override PartName="/word/footer277.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85.xml" ContentType="application/vnd.openxmlformats-officedocument.wordprocessingml.header+xml"/>
  <Override PartName="/word/footer286.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0.xml" ContentType="application/vnd.openxmlformats-officedocument.wordprocessingml.header+xml"/>
  <Override PartName="/word/footer291.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3.xml" ContentType="application/vnd.openxmlformats-officedocument.wordprocessingml.header+xml"/>
  <Override PartName="/word/footer294.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6.xml" ContentType="application/vnd.openxmlformats-officedocument.wordprocessingml.header+xml"/>
  <Override PartName="/word/footer2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9FE" w:rsidRPr="00AF49FE" w:rsidRDefault="00AF49FE" w:rsidP="00AF49FE">
      <w:pPr>
        <w:pStyle w:val="Heading8"/>
      </w:pPr>
      <w:bookmarkStart w:id="0" w:name="ReturnHere"/>
      <w:bookmarkStart w:id="1" w:name="_GoBack"/>
      <w:bookmarkEnd w:id="1"/>
      <w:r w:rsidRPr="00AF49FE">
        <w:t>– Costing documentation for the Greens’ election commitments</w:t>
      </w:r>
    </w:p>
    <w:bookmarkEnd w:id="0"/>
    <w:p w:rsidR="00EC3910" w:rsidRDefault="00EC3910">
      <w:pPr>
        <w:pStyle w:val="TOC4"/>
        <w:rPr>
          <w:rFonts w:eastAsiaTheme="minorEastAsia"/>
          <w:lang w:eastAsia="en-AU"/>
        </w:rPr>
      </w:pPr>
      <w:r>
        <w:rPr>
          <w:rFonts w:cs="Times New Roman"/>
          <w:noProof w:val="0"/>
          <w:spacing w:val="-1"/>
        </w:rPr>
        <w:fldChar w:fldCharType="begin"/>
      </w:r>
      <w:r>
        <w:rPr>
          <w:rFonts w:cs="Times New Roman"/>
          <w:noProof w:val="0"/>
          <w:spacing w:val="-1"/>
        </w:rPr>
        <w:instrText xml:space="preserve"> TOC \h \z \t "Heading 5,4,Section Heading,1,Section Heading No TOC,1" </w:instrText>
      </w:r>
      <w:r>
        <w:rPr>
          <w:rFonts w:cs="Times New Roman"/>
          <w:noProof w:val="0"/>
          <w:spacing w:val="-1"/>
        </w:rPr>
        <w:fldChar w:fldCharType="separate"/>
      </w:r>
      <w:hyperlink w:anchor="_Toc458090607" w:history="1">
        <w:r w:rsidRPr="00941B00">
          <w:rPr>
            <w:rStyle w:val="Hyperlink"/>
            <w:rFonts w:eastAsia="Times New Roman"/>
          </w:rPr>
          <w:t>GRN001: A Progressive Superannuation System</w:t>
        </w:r>
        <w:r>
          <w:rPr>
            <w:webHidden/>
          </w:rPr>
          <w:tab/>
        </w:r>
        <w:r>
          <w:rPr>
            <w:webHidden/>
          </w:rPr>
          <w:fldChar w:fldCharType="begin"/>
        </w:r>
        <w:r>
          <w:rPr>
            <w:webHidden/>
          </w:rPr>
          <w:instrText xml:space="preserve"> PAGEREF _Toc458090607 \h </w:instrText>
        </w:r>
        <w:r>
          <w:rPr>
            <w:webHidden/>
          </w:rPr>
        </w:r>
        <w:r>
          <w:rPr>
            <w:webHidden/>
          </w:rPr>
          <w:fldChar w:fldCharType="separate"/>
        </w:r>
        <w:r w:rsidR="00C96ED3">
          <w:rPr>
            <w:webHidden/>
          </w:rPr>
          <w:t>446</w:t>
        </w:r>
        <w:r>
          <w:rPr>
            <w:webHidden/>
          </w:rPr>
          <w:fldChar w:fldCharType="end"/>
        </w:r>
      </w:hyperlink>
    </w:p>
    <w:p w:rsidR="00EC3910" w:rsidRDefault="00E46526">
      <w:pPr>
        <w:pStyle w:val="TOC4"/>
        <w:rPr>
          <w:rFonts w:eastAsiaTheme="minorEastAsia"/>
          <w:lang w:eastAsia="en-AU"/>
        </w:rPr>
      </w:pPr>
      <w:hyperlink w:anchor="_Toc458090608" w:history="1">
        <w:r w:rsidR="00EC3910" w:rsidRPr="00941B00">
          <w:rPr>
            <w:rStyle w:val="Hyperlink"/>
            <w:rFonts w:eastAsia="Times New Roman"/>
          </w:rPr>
          <w:t>GRN002: Defence Spending for a Confident Australia</w:t>
        </w:r>
        <w:r w:rsidR="00EC3910">
          <w:rPr>
            <w:webHidden/>
          </w:rPr>
          <w:tab/>
        </w:r>
        <w:r w:rsidR="00EC3910">
          <w:rPr>
            <w:webHidden/>
          </w:rPr>
          <w:fldChar w:fldCharType="begin"/>
        </w:r>
        <w:r w:rsidR="00EC3910">
          <w:rPr>
            <w:webHidden/>
          </w:rPr>
          <w:instrText xml:space="preserve"> PAGEREF _Toc458090608 \h </w:instrText>
        </w:r>
        <w:r w:rsidR="00EC3910">
          <w:rPr>
            <w:webHidden/>
          </w:rPr>
        </w:r>
        <w:r w:rsidR="00EC3910">
          <w:rPr>
            <w:webHidden/>
          </w:rPr>
          <w:fldChar w:fldCharType="separate"/>
        </w:r>
        <w:r w:rsidR="00C96ED3">
          <w:rPr>
            <w:webHidden/>
          </w:rPr>
          <w:t>452</w:t>
        </w:r>
        <w:r w:rsidR="00EC3910">
          <w:rPr>
            <w:webHidden/>
          </w:rPr>
          <w:fldChar w:fldCharType="end"/>
        </w:r>
      </w:hyperlink>
    </w:p>
    <w:p w:rsidR="00EC3910" w:rsidRDefault="00E46526">
      <w:pPr>
        <w:pStyle w:val="TOC4"/>
        <w:rPr>
          <w:rFonts w:eastAsiaTheme="minorEastAsia"/>
          <w:lang w:eastAsia="en-AU"/>
        </w:rPr>
      </w:pPr>
      <w:hyperlink w:anchor="_Toc458090609" w:history="1">
        <w:r w:rsidR="00EC3910" w:rsidRPr="00941B00">
          <w:rPr>
            <w:rStyle w:val="Hyperlink"/>
            <w:rFonts w:eastAsia="Times New Roman"/>
          </w:rPr>
          <w:t>GRN003: An end to Fossil Fuel Subsidies</w:t>
        </w:r>
        <w:r w:rsidR="00EC3910">
          <w:rPr>
            <w:webHidden/>
          </w:rPr>
          <w:tab/>
        </w:r>
        <w:r w:rsidR="00EC3910">
          <w:rPr>
            <w:webHidden/>
          </w:rPr>
          <w:fldChar w:fldCharType="begin"/>
        </w:r>
        <w:r w:rsidR="00EC3910">
          <w:rPr>
            <w:webHidden/>
          </w:rPr>
          <w:instrText xml:space="preserve"> PAGEREF _Toc458090609 \h </w:instrText>
        </w:r>
        <w:r w:rsidR="00EC3910">
          <w:rPr>
            <w:webHidden/>
          </w:rPr>
        </w:r>
        <w:r w:rsidR="00EC3910">
          <w:rPr>
            <w:webHidden/>
          </w:rPr>
          <w:fldChar w:fldCharType="separate"/>
        </w:r>
        <w:r w:rsidR="00C96ED3">
          <w:rPr>
            <w:webHidden/>
          </w:rPr>
          <w:t>455</w:t>
        </w:r>
        <w:r w:rsidR="00EC3910">
          <w:rPr>
            <w:webHidden/>
          </w:rPr>
          <w:fldChar w:fldCharType="end"/>
        </w:r>
      </w:hyperlink>
    </w:p>
    <w:p w:rsidR="00EC3910" w:rsidRDefault="00E46526">
      <w:pPr>
        <w:pStyle w:val="TOC4"/>
        <w:rPr>
          <w:rFonts w:eastAsiaTheme="minorEastAsia"/>
          <w:lang w:eastAsia="en-AU"/>
        </w:rPr>
      </w:pPr>
      <w:hyperlink w:anchor="_Toc458090610" w:history="1">
        <w:r w:rsidR="00EC3910" w:rsidRPr="00941B00">
          <w:rPr>
            <w:rStyle w:val="Hyperlink"/>
            <w:rFonts w:eastAsia="Times New Roman"/>
          </w:rPr>
          <w:t>GRN004: Too-Big-To-Fail Bank Levy</w:t>
        </w:r>
        <w:r w:rsidR="00EC3910">
          <w:rPr>
            <w:webHidden/>
          </w:rPr>
          <w:tab/>
        </w:r>
        <w:r w:rsidR="00EC3910">
          <w:rPr>
            <w:webHidden/>
          </w:rPr>
          <w:fldChar w:fldCharType="begin"/>
        </w:r>
        <w:r w:rsidR="00EC3910">
          <w:rPr>
            <w:webHidden/>
          </w:rPr>
          <w:instrText xml:space="preserve"> PAGEREF _Toc458090610 \h </w:instrText>
        </w:r>
        <w:r w:rsidR="00EC3910">
          <w:rPr>
            <w:webHidden/>
          </w:rPr>
        </w:r>
        <w:r w:rsidR="00EC3910">
          <w:rPr>
            <w:webHidden/>
          </w:rPr>
          <w:fldChar w:fldCharType="separate"/>
        </w:r>
        <w:r w:rsidR="00C96ED3">
          <w:rPr>
            <w:webHidden/>
          </w:rPr>
          <w:t>462</w:t>
        </w:r>
        <w:r w:rsidR="00EC3910">
          <w:rPr>
            <w:webHidden/>
          </w:rPr>
          <w:fldChar w:fldCharType="end"/>
        </w:r>
      </w:hyperlink>
    </w:p>
    <w:p w:rsidR="00EC3910" w:rsidRDefault="00E46526">
      <w:pPr>
        <w:pStyle w:val="TOC4"/>
        <w:rPr>
          <w:rFonts w:eastAsiaTheme="minorEastAsia"/>
          <w:lang w:eastAsia="en-AU"/>
        </w:rPr>
      </w:pPr>
      <w:hyperlink w:anchor="_Toc458090611" w:history="1">
        <w:r w:rsidR="00EC3910" w:rsidRPr="00941B00">
          <w:rPr>
            <w:rStyle w:val="Hyperlink"/>
            <w:rFonts w:eastAsia="Times New Roman"/>
          </w:rPr>
          <w:t>GRN005: Top Marginal Tax Rates</w:t>
        </w:r>
        <w:r w:rsidR="00EC3910">
          <w:rPr>
            <w:webHidden/>
          </w:rPr>
          <w:tab/>
        </w:r>
        <w:r w:rsidR="00EC3910">
          <w:rPr>
            <w:webHidden/>
          </w:rPr>
          <w:fldChar w:fldCharType="begin"/>
        </w:r>
        <w:r w:rsidR="00EC3910">
          <w:rPr>
            <w:webHidden/>
          </w:rPr>
          <w:instrText xml:space="preserve"> PAGEREF _Toc458090611 \h </w:instrText>
        </w:r>
        <w:r w:rsidR="00EC3910">
          <w:rPr>
            <w:webHidden/>
          </w:rPr>
        </w:r>
        <w:r w:rsidR="00EC3910">
          <w:rPr>
            <w:webHidden/>
          </w:rPr>
          <w:fldChar w:fldCharType="separate"/>
        </w:r>
        <w:r w:rsidR="00C96ED3">
          <w:rPr>
            <w:webHidden/>
          </w:rPr>
          <w:t>466</w:t>
        </w:r>
        <w:r w:rsidR="00EC3910">
          <w:rPr>
            <w:webHidden/>
          </w:rPr>
          <w:fldChar w:fldCharType="end"/>
        </w:r>
      </w:hyperlink>
    </w:p>
    <w:p w:rsidR="00EC3910" w:rsidRDefault="00E46526">
      <w:pPr>
        <w:pStyle w:val="TOC4"/>
        <w:rPr>
          <w:rFonts w:eastAsiaTheme="minorEastAsia"/>
          <w:lang w:eastAsia="en-AU"/>
        </w:rPr>
      </w:pPr>
      <w:hyperlink w:anchor="_Toc458090612" w:history="1">
        <w:r w:rsidR="00EC3910" w:rsidRPr="00941B00">
          <w:rPr>
            <w:rStyle w:val="Hyperlink"/>
            <w:rFonts w:eastAsia="Times New Roman"/>
          </w:rPr>
          <w:t>GRN006: Buffett Rule: High Income Tax Guarantee</w:t>
        </w:r>
        <w:r w:rsidR="00EC3910">
          <w:rPr>
            <w:webHidden/>
          </w:rPr>
          <w:tab/>
        </w:r>
        <w:r w:rsidR="00EC3910">
          <w:rPr>
            <w:webHidden/>
          </w:rPr>
          <w:fldChar w:fldCharType="begin"/>
        </w:r>
        <w:r w:rsidR="00EC3910">
          <w:rPr>
            <w:webHidden/>
          </w:rPr>
          <w:instrText xml:space="preserve"> PAGEREF _Toc458090612 \h </w:instrText>
        </w:r>
        <w:r w:rsidR="00EC3910">
          <w:rPr>
            <w:webHidden/>
          </w:rPr>
        </w:r>
        <w:r w:rsidR="00EC3910">
          <w:rPr>
            <w:webHidden/>
          </w:rPr>
          <w:fldChar w:fldCharType="separate"/>
        </w:r>
        <w:r w:rsidR="00C96ED3">
          <w:rPr>
            <w:webHidden/>
          </w:rPr>
          <w:t>471</w:t>
        </w:r>
        <w:r w:rsidR="00EC3910">
          <w:rPr>
            <w:webHidden/>
          </w:rPr>
          <w:fldChar w:fldCharType="end"/>
        </w:r>
      </w:hyperlink>
    </w:p>
    <w:p w:rsidR="00EC3910" w:rsidRDefault="00E46526">
      <w:pPr>
        <w:pStyle w:val="TOC4"/>
        <w:rPr>
          <w:rFonts w:eastAsiaTheme="minorEastAsia"/>
          <w:lang w:eastAsia="en-AU"/>
        </w:rPr>
      </w:pPr>
      <w:hyperlink w:anchor="_Toc458090613" w:history="1">
        <w:r w:rsidR="00EC3910" w:rsidRPr="00941B00">
          <w:rPr>
            <w:rStyle w:val="Hyperlink"/>
            <w:rFonts w:eastAsia="Times New Roman"/>
          </w:rPr>
          <w:t>GRN007: Restoring Trust in Trusts</w:t>
        </w:r>
        <w:r w:rsidR="00EC3910">
          <w:rPr>
            <w:webHidden/>
          </w:rPr>
          <w:tab/>
        </w:r>
        <w:r w:rsidR="00EC3910">
          <w:rPr>
            <w:webHidden/>
          </w:rPr>
          <w:fldChar w:fldCharType="begin"/>
        </w:r>
        <w:r w:rsidR="00EC3910">
          <w:rPr>
            <w:webHidden/>
          </w:rPr>
          <w:instrText xml:space="preserve"> PAGEREF _Toc458090613 \h </w:instrText>
        </w:r>
        <w:r w:rsidR="00EC3910">
          <w:rPr>
            <w:webHidden/>
          </w:rPr>
        </w:r>
        <w:r w:rsidR="00EC3910">
          <w:rPr>
            <w:webHidden/>
          </w:rPr>
          <w:fldChar w:fldCharType="separate"/>
        </w:r>
        <w:r w:rsidR="00C96ED3">
          <w:rPr>
            <w:webHidden/>
          </w:rPr>
          <w:t>476</w:t>
        </w:r>
        <w:r w:rsidR="00EC3910">
          <w:rPr>
            <w:webHidden/>
          </w:rPr>
          <w:fldChar w:fldCharType="end"/>
        </w:r>
      </w:hyperlink>
    </w:p>
    <w:p w:rsidR="00EC3910" w:rsidRDefault="00E46526">
      <w:pPr>
        <w:pStyle w:val="TOC4"/>
        <w:rPr>
          <w:rFonts w:eastAsiaTheme="minorEastAsia"/>
          <w:lang w:eastAsia="en-AU"/>
        </w:rPr>
      </w:pPr>
      <w:hyperlink w:anchor="_Toc458090614" w:history="1">
        <w:r w:rsidR="00EC3910" w:rsidRPr="00941B00">
          <w:rPr>
            <w:rStyle w:val="Hyperlink"/>
          </w:rPr>
          <w:t>GRN008: Worldwide Gearing Ratio</w:t>
        </w:r>
        <w:r w:rsidR="00EC3910">
          <w:rPr>
            <w:webHidden/>
          </w:rPr>
          <w:tab/>
        </w:r>
        <w:r w:rsidR="00EC3910">
          <w:rPr>
            <w:webHidden/>
          </w:rPr>
          <w:fldChar w:fldCharType="begin"/>
        </w:r>
        <w:r w:rsidR="00EC3910">
          <w:rPr>
            <w:webHidden/>
          </w:rPr>
          <w:instrText xml:space="preserve"> PAGEREF _Toc458090614 \h </w:instrText>
        </w:r>
        <w:r w:rsidR="00EC3910">
          <w:rPr>
            <w:webHidden/>
          </w:rPr>
        </w:r>
        <w:r w:rsidR="00EC3910">
          <w:rPr>
            <w:webHidden/>
          </w:rPr>
          <w:fldChar w:fldCharType="separate"/>
        </w:r>
        <w:r w:rsidR="00C96ED3">
          <w:rPr>
            <w:webHidden/>
          </w:rPr>
          <w:t>480</w:t>
        </w:r>
        <w:r w:rsidR="00EC3910">
          <w:rPr>
            <w:webHidden/>
          </w:rPr>
          <w:fldChar w:fldCharType="end"/>
        </w:r>
      </w:hyperlink>
    </w:p>
    <w:p w:rsidR="00EC3910" w:rsidRDefault="00E46526">
      <w:pPr>
        <w:pStyle w:val="TOC4"/>
        <w:rPr>
          <w:rFonts w:eastAsiaTheme="minorEastAsia"/>
          <w:lang w:eastAsia="en-AU"/>
        </w:rPr>
      </w:pPr>
      <w:hyperlink w:anchor="_Toc458090615" w:history="1">
        <w:r w:rsidR="00EC3910" w:rsidRPr="00941B00">
          <w:rPr>
            <w:rStyle w:val="Hyperlink"/>
          </w:rPr>
          <w:t>GRN009: Phasing Out Private Health Insurance</w:t>
        </w:r>
        <w:r w:rsidR="00EC3910">
          <w:rPr>
            <w:webHidden/>
          </w:rPr>
          <w:tab/>
        </w:r>
        <w:r w:rsidR="00EC3910">
          <w:rPr>
            <w:webHidden/>
          </w:rPr>
          <w:fldChar w:fldCharType="begin"/>
        </w:r>
        <w:r w:rsidR="00EC3910">
          <w:rPr>
            <w:webHidden/>
          </w:rPr>
          <w:instrText xml:space="preserve"> PAGEREF _Toc458090615 \h </w:instrText>
        </w:r>
        <w:r w:rsidR="00EC3910">
          <w:rPr>
            <w:webHidden/>
          </w:rPr>
        </w:r>
        <w:r w:rsidR="00EC3910">
          <w:rPr>
            <w:webHidden/>
          </w:rPr>
          <w:fldChar w:fldCharType="separate"/>
        </w:r>
        <w:r w:rsidR="00C96ED3">
          <w:rPr>
            <w:webHidden/>
          </w:rPr>
          <w:t>482</w:t>
        </w:r>
        <w:r w:rsidR="00EC3910">
          <w:rPr>
            <w:webHidden/>
          </w:rPr>
          <w:fldChar w:fldCharType="end"/>
        </w:r>
      </w:hyperlink>
    </w:p>
    <w:p w:rsidR="00EC3910" w:rsidRDefault="00E46526">
      <w:pPr>
        <w:pStyle w:val="TOC4"/>
        <w:rPr>
          <w:rFonts w:eastAsiaTheme="minorEastAsia"/>
          <w:lang w:eastAsia="en-AU"/>
        </w:rPr>
      </w:pPr>
      <w:hyperlink w:anchor="_Toc458090616" w:history="1">
        <w:r w:rsidR="00EC3910" w:rsidRPr="00941B00">
          <w:rPr>
            <w:rStyle w:val="Hyperlink"/>
          </w:rPr>
          <w:t>GRN010: Restoring cuts to Australian Tax Office Staff</w:t>
        </w:r>
        <w:r w:rsidR="00EC3910">
          <w:rPr>
            <w:webHidden/>
          </w:rPr>
          <w:tab/>
        </w:r>
        <w:r w:rsidR="00EC3910">
          <w:rPr>
            <w:webHidden/>
          </w:rPr>
          <w:fldChar w:fldCharType="begin"/>
        </w:r>
        <w:r w:rsidR="00EC3910">
          <w:rPr>
            <w:webHidden/>
          </w:rPr>
          <w:instrText xml:space="preserve"> PAGEREF _Toc458090616 \h </w:instrText>
        </w:r>
        <w:r w:rsidR="00EC3910">
          <w:rPr>
            <w:webHidden/>
          </w:rPr>
        </w:r>
        <w:r w:rsidR="00EC3910">
          <w:rPr>
            <w:webHidden/>
          </w:rPr>
          <w:fldChar w:fldCharType="separate"/>
        </w:r>
        <w:r w:rsidR="00C96ED3">
          <w:rPr>
            <w:webHidden/>
          </w:rPr>
          <w:t>486</w:t>
        </w:r>
        <w:r w:rsidR="00EC3910">
          <w:rPr>
            <w:webHidden/>
          </w:rPr>
          <w:fldChar w:fldCharType="end"/>
        </w:r>
      </w:hyperlink>
    </w:p>
    <w:p w:rsidR="00EC3910" w:rsidRDefault="00E46526">
      <w:pPr>
        <w:pStyle w:val="TOC4"/>
        <w:rPr>
          <w:rFonts w:eastAsiaTheme="minorEastAsia"/>
          <w:lang w:eastAsia="en-AU"/>
        </w:rPr>
      </w:pPr>
      <w:hyperlink w:anchor="_Toc458090617" w:history="1">
        <w:r w:rsidR="00EC3910" w:rsidRPr="00941B00">
          <w:rPr>
            <w:rStyle w:val="Hyperlink"/>
          </w:rPr>
          <w:t>GRN011: Renters Rights Initiative</w:t>
        </w:r>
        <w:r w:rsidR="00EC3910">
          <w:rPr>
            <w:webHidden/>
          </w:rPr>
          <w:tab/>
        </w:r>
        <w:r w:rsidR="00EC3910">
          <w:rPr>
            <w:webHidden/>
          </w:rPr>
          <w:fldChar w:fldCharType="begin"/>
        </w:r>
        <w:r w:rsidR="00EC3910">
          <w:rPr>
            <w:webHidden/>
          </w:rPr>
          <w:instrText xml:space="preserve"> PAGEREF _Toc458090617 \h </w:instrText>
        </w:r>
        <w:r w:rsidR="00EC3910">
          <w:rPr>
            <w:webHidden/>
          </w:rPr>
        </w:r>
        <w:r w:rsidR="00EC3910">
          <w:rPr>
            <w:webHidden/>
          </w:rPr>
          <w:fldChar w:fldCharType="separate"/>
        </w:r>
        <w:r w:rsidR="00C96ED3">
          <w:rPr>
            <w:webHidden/>
          </w:rPr>
          <w:t>490</w:t>
        </w:r>
        <w:r w:rsidR="00EC3910">
          <w:rPr>
            <w:webHidden/>
          </w:rPr>
          <w:fldChar w:fldCharType="end"/>
        </w:r>
      </w:hyperlink>
    </w:p>
    <w:p w:rsidR="00EC3910" w:rsidRDefault="00E46526">
      <w:pPr>
        <w:pStyle w:val="TOC4"/>
        <w:rPr>
          <w:rFonts w:eastAsiaTheme="minorEastAsia"/>
          <w:lang w:eastAsia="en-AU"/>
        </w:rPr>
      </w:pPr>
      <w:hyperlink w:anchor="_Toc458090618" w:history="1">
        <w:r w:rsidR="00EC3910" w:rsidRPr="00941B00">
          <w:rPr>
            <w:rStyle w:val="Hyperlink"/>
          </w:rPr>
          <w:t>GRN012: Restore Arena's Funding</w:t>
        </w:r>
        <w:r w:rsidR="00EC3910">
          <w:rPr>
            <w:webHidden/>
          </w:rPr>
          <w:tab/>
        </w:r>
        <w:r w:rsidR="00EC3910">
          <w:rPr>
            <w:webHidden/>
          </w:rPr>
          <w:fldChar w:fldCharType="begin"/>
        </w:r>
        <w:r w:rsidR="00EC3910">
          <w:rPr>
            <w:webHidden/>
          </w:rPr>
          <w:instrText xml:space="preserve"> PAGEREF _Toc458090618 \h </w:instrText>
        </w:r>
        <w:r w:rsidR="00EC3910">
          <w:rPr>
            <w:webHidden/>
          </w:rPr>
        </w:r>
        <w:r w:rsidR="00EC3910">
          <w:rPr>
            <w:webHidden/>
          </w:rPr>
          <w:fldChar w:fldCharType="separate"/>
        </w:r>
        <w:r w:rsidR="00C96ED3">
          <w:rPr>
            <w:webHidden/>
          </w:rPr>
          <w:t>493</w:t>
        </w:r>
        <w:r w:rsidR="00EC3910">
          <w:rPr>
            <w:webHidden/>
          </w:rPr>
          <w:fldChar w:fldCharType="end"/>
        </w:r>
      </w:hyperlink>
    </w:p>
    <w:p w:rsidR="00EC3910" w:rsidRDefault="00E46526">
      <w:pPr>
        <w:pStyle w:val="TOC4"/>
        <w:rPr>
          <w:rFonts w:eastAsiaTheme="minorEastAsia"/>
          <w:lang w:eastAsia="en-AU"/>
        </w:rPr>
      </w:pPr>
      <w:hyperlink w:anchor="_Toc458090619" w:history="1">
        <w:r w:rsidR="00EC3910" w:rsidRPr="00941B00">
          <w:rPr>
            <w:rStyle w:val="Hyperlink"/>
          </w:rPr>
          <w:t>GRN013: Investing in Science and Research</w:t>
        </w:r>
        <w:r w:rsidR="00EC3910">
          <w:rPr>
            <w:webHidden/>
          </w:rPr>
          <w:tab/>
        </w:r>
        <w:r w:rsidR="00EC3910">
          <w:rPr>
            <w:webHidden/>
          </w:rPr>
          <w:fldChar w:fldCharType="begin"/>
        </w:r>
        <w:r w:rsidR="00EC3910">
          <w:rPr>
            <w:webHidden/>
          </w:rPr>
          <w:instrText xml:space="preserve"> PAGEREF _Toc458090619 \h </w:instrText>
        </w:r>
        <w:r w:rsidR="00EC3910">
          <w:rPr>
            <w:webHidden/>
          </w:rPr>
        </w:r>
        <w:r w:rsidR="00EC3910">
          <w:rPr>
            <w:webHidden/>
          </w:rPr>
          <w:fldChar w:fldCharType="separate"/>
        </w:r>
        <w:r w:rsidR="00C96ED3">
          <w:rPr>
            <w:webHidden/>
          </w:rPr>
          <w:t>498</w:t>
        </w:r>
        <w:r w:rsidR="00EC3910">
          <w:rPr>
            <w:webHidden/>
          </w:rPr>
          <w:fldChar w:fldCharType="end"/>
        </w:r>
      </w:hyperlink>
    </w:p>
    <w:p w:rsidR="00EC3910" w:rsidRDefault="00E46526">
      <w:pPr>
        <w:pStyle w:val="TOC4"/>
        <w:rPr>
          <w:rFonts w:eastAsiaTheme="minorEastAsia"/>
          <w:lang w:eastAsia="en-AU"/>
        </w:rPr>
      </w:pPr>
      <w:hyperlink w:anchor="_Toc458090620" w:history="1">
        <w:r w:rsidR="00EC3910" w:rsidRPr="00941B00">
          <w:rPr>
            <w:rStyle w:val="Hyperlink"/>
          </w:rPr>
          <w:t>GRN014: Expanding Denticare</w:t>
        </w:r>
        <w:r w:rsidR="00EC3910">
          <w:rPr>
            <w:webHidden/>
          </w:rPr>
          <w:tab/>
        </w:r>
        <w:r w:rsidR="00EC3910">
          <w:rPr>
            <w:webHidden/>
          </w:rPr>
          <w:fldChar w:fldCharType="begin"/>
        </w:r>
        <w:r w:rsidR="00EC3910">
          <w:rPr>
            <w:webHidden/>
          </w:rPr>
          <w:instrText xml:space="preserve"> PAGEREF _Toc458090620 \h </w:instrText>
        </w:r>
        <w:r w:rsidR="00EC3910">
          <w:rPr>
            <w:webHidden/>
          </w:rPr>
        </w:r>
        <w:r w:rsidR="00EC3910">
          <w:rPr>
            <w:webHidden/>
          </w:rPr>
          <w:fldChar w:fldCharType="separate"/>
        </w:r>
        <w:r w:rsidR="00C96ED3">
          <w:rPr>
            <w:webHidden/>
          </w:rPr>
          <w:t>509</w:t>
        </w:r>
        <w:r w:rsidR="00EC3910">
          <w:rPr>
            <w:webHidden/>
          </w:rPr>
          <w:fldChar w:fldCharType="end"/>
        </w:r>
      </w:hyperlink>
    </w:p>
    <w:p w:rsidR="00EC3910" w:rsidRDefault="00E46526">
      <w:pPr>
        <w:pStyle w:val="TOC4"/>
        <w:rPr>
          <w:rFonts w:eastAsiaTheme="minorEastAsia"/>
          <w:lang w:eastAsia="en-AU"/>
        </w:rPr>
      </w:pPr>
      <w:hyperlink w:anchor="_Toc458090621" w:history="1">
        <w:r w:rsidR="00EC3910" w:rsidRPr="00941B00">
          <w:rPr>
            <w:rStyle w:val="Hyperlink"/>
          </w:rPr>
          <w:t>GRN015: Indigenous Rangers: Working on Country</w:t>
        </w:r>
        <w:r w:rsidR="00EC3910">
          <w:rPr>
            <w:webHidden/>
          </w:rPr>
          <w:tab/>
        </w:r>
        <w:r w:rsidR="00EC3910">
          <w:rPr>
            <w:webHidden/>
          </w:rPr>
          <w:fldChar w:fldCharType="begin"/>
        </w:r>
        <w:r w:rsidR="00EC3910">
          <w:rPr>
            <w:webHidden/>
          </w:rPr>
          <w:instrText xml:space="preserve"> PAGEREF _Toc458090621 \h </w:instrText>
        </w:r>
        <w:r w:rsidR="00EC3910">
          <w:rPr>
            <w:webHidden/>
          </w:rPr>
        </w:r>
        <w:r w:rsidR="00EC3910">
          <w:rPr>
            <w:webHidden/>
          </w:rPr>
          <w:fldChar w:fldCharType="separate"/>
        </w:r>
        <w:r w:rsidR="00C96ED3">
          <w:rPr>
            <w:webHidden/>
          </w:rPr>
          <w:t>515</w:t>
        </w:r>
        <w:r w:rsidR="00EC3910">
          <w:rPr>
            <w:webHidden/>
          </w:rPr>
          <w:fldChar w:fldCharType="end"/>
        </w:r>
      </w:hyperlink>
    </w:p>
    <w:p w:rsidR="00EC3910" w:rsidRDefault="00E46526">
      <w:pPr>
        <w:pStyle w:val="TOC4"/>
        <w:rPr>
          <w:rFonts w:eastAsiaTheme="minorEastAsia"/>
          <w:lang w:eastAsia="en-AU"/>
        </w:rPr>
      </w:pPr>
      <w:hyperlink w:anchor="_Toc458090622" w:history="1">
        <w:r w:rsidR="00EC3910" w:rsidRPr="00941B00">
          <w:rPr>
            <w:rStyle w:val="Hyperlink"/>
          </w:rPr>
          <w:t>GRN016: Closing the Health Gap</w:t>
        </w:r>
        <w:r w:rsidR="00EC3910">
          <w:rPr>
            <w:webHidden/>
          </w:rPr>
          <w:tab/>
        </w:r>
        <w:r w:rsidR="00EC3910">
          <w:rPr>
            <w:webHidden/>
          </w:rPr>
          <w:fldChar w:fldCharType="begin"/>
        </w:r>
        <w:r w:rsidR="00EC3910">
          <w:rPr>
            <w:webHidden/>
          </w:rPr>
          <w:instrText xml:space="preserve"> PAGEREF _Toc458090622 \h </w:instrText>
        </w:r>
        <w:r w:rsidR="00EC3910">
          <w:rPr>
            <w:webHidden/>
          </w:rPr>
        </w:r>
        <w:r w:rsidR="00EC3910">
          <w:rPr>
            <w:webHidden/>
          </w:rPr>
          <w:fldChar w:fldCharType="separate"/>
        </w:r>
        <w:r w:rsidR="00C96ED3">
          <w:rPr>
            <w:webHidden/>
          </w:rPr>
          <w:t>517</w:t>
        </w:r>
        <w:r w:rsidR="00EC3910">
          <w:rPr>
            <w:webHidden/>
          </w:rPr>
          <w:fldChar w:fldCharType="end"/>
        </w:r>
      </w:hyperlink>
    </w:p>
    <w:p w:rsidR="00EC3910" w:rsidRDefault="00E46526">
      <w:pPr>
        <w:pStyle w:val="TOC4"/>
        <w:rPr>
          <w:rFonts w:eastAsiaTheme="minorEastAsia"/>
          <w:lang w:eastAsia="en-AU"/>
        </w:rPr>
      </w:pPr>
      <w:hyperlink w:anchor="_Toc458090623" w:history="1">
        <w:r w:rsidR="00EC3910" w:rsidRPr="00941B00">
          <w:rPr>
            <w:rStyle w:val="Hyperlink"/>
          </w:rPr>
          <w:t>GRN017: Accelerating the Electric Vehicle Revolution</w:t>
        </w:r>
        <w:r w:rsidR="00EC3910">
          <w:rPr>
            <w:webHidden/>
          </w:rPr>
          <w:tab/>
        </w:r>
        <w:r w:rsidR="00EC3910">
          <w:rPr>
            <w:webHidden/>
          </w:rPr>
          <w:fldChar w:fldCharType="begin"/>
        </w:r>
        <w:r w:rsidR="00EC3910">
          <w:rPr>
            <w:webHidden/>
          </w:rPr>
          <w:instrText xml:space="preserve"> PAGEREF _Toc458090623 \h </w:instrText>
        </w:r>
        <w:r w:rsidR="00EC3910">
          <w:rPr>
            <w:webHidden/>
          </w:rPr>
        </w:r>
        <w:r w:rsidR="00EC3910">
          <w:rPr>
            <w:webHidden/>
          </w:rPr>
          <w:fldChar w:fldCharType="separate"/>
        </w:r>
        <w:r w:rsidR="00C96ED3">
          <w:rPr>
            <w:webHidden/>
          </w:rPr>
          <w:t>523</w:t>
        </w:r>
        <w:r w:rsidR="00EC3910">
          <w:rPr>
            <w:webHidden/>
          </w:rPr>
          <w:fldChar w:fldCharType="end"/>
        </w:r>
      </w:hyperlink>
    </w:p>
    <w:p w:rsidR="00EC3910" w:rsidRDefault="00E46526">
      <w:pPr>
        <w:pStyle w:val="TOC4"/>
        <w:rPr>
          <w:rFonts w:eastAsiaTheme="minorEastAsia"/>
          <w:lang w:eastAsia="en-AU"/>
        </w:rPr>
      </w:pPr>
      <w:hyperlink w:anchor="_Toc458090624" w:history="1">
        <w:r w:rsidR="00EC3910" w:rsidRPr="00941B00">
          <w:rPr>
            <w:rStyle w:val="Hyperlink"/>
          </w:rPr>
          <w:t>GRN018: National anti-corruption watchdog</w:t>
        </w:r>
        <w:r w:rsidR="00EC3910">
          <w:rPr>
            <w:webHidden/>
          </w:rPr>
          <w:tab/>
        </w:r>
        <w:r w:rsidR="00EC3910">
          <w:rPr>
            <w:webHidden/>
          </w:rPr>
          <w:fldChar w:fldCharType="begin"/>
        </w:r>
        <w:r w:rsidR="00EC3910">
          <w:rPr>
            <w:webHidden/>
          </w:rPr>
          <w:instrText xml:space="preserve"> PAGEREF _Toc458090624 \h </w:instrText>
        </w:r>
        <w:r w:rsidR="00EC3910">
          <w:rPr>
            <w:webHidden/>
          </w:rPr>
        </w:r>
        <w:r w:rsidR="00EC3910">
          <w:rPr>
            <w:webHidden/>
          </w:rPr>
          <w:fldChar w:fldCharType="separate"/>
        </w:r>
        <w:r w:rsidR="00C96ED3">
          <w:rPr>
            <w:webHidden/>
          </w:rPr>
          <w:t>529</w:t>
        </w:r>
        <w:r w:rsidR="00EC3910">
          <w:rPr>
            <w:webHidden/>
          </w:rPr>
          <w:fldChar w:fldCharType="end"/>
        </w:r>
      </w:hyperlink>
    </w:p>
    <w:p w:rsidR="00EC3910" w:rsidRDefault="00E46526">
      <w:pPr>
        <w:pStyle w:val="TOC4"/>
        <w:rPr>
          <w:rFonts w:eastAsiaTheme="minorEastAsia"/>
          <w:lang w:eastAsia="en-AU"/>
        </w:rPr>
      </w:pPr>
      <w:hyperlink w:anchor="_Toc458090625" w:history="1">
        <w:r w:rsidR="00EC3910" w:rsidRPr="00941B00">
          <w:rPr>
            <w:rStyle w:val="Hyperlink"/>
          </w:rPr>
          <w:t>GRN019: Enhancing Political Disclosure Websites</w:t>
        </w:r>
        <w:r w:rsidR="00EC3910">
          <w:rPr>
            <w:webHidden/>
          </w:rPr>
          <w:tab/>
        </w:r>
        <w:r w:rsidR="00EC3910">
          <w:rPr>
            <w:webHidden/>
          </w:rPr>
          <w:fldChar w:fldCharType="begin"/>
        </w:r>
        <w:r w:rsidR="00EC3910">
          <w:rPr>
            <w:webHidden/>
          </w:rPr>
          <w:instrText xml:space="preserve"> PAGEREF _Toc458090625 \h </w:instrText>
        </w:r>
        <w:r w:rsidR="00EC3910">
          <w:rPr>
            <w:webHidden/>
          </w:rPr>
        </w:r>
        <w:r w:rsidR="00EC3910">
          <w:rPr>
            <w:webHidden/>
          </w:rPr>
          <w:fldChar w:fldCharType="separate"/>
        </w:r>
        <w:r w:rsidR="00C96ED3">
          <w:rPr>
            <w:webHidden/>
          </w:rPr>
          <w:t>532</w:t>
        </w:r>
        <w:r w:rsidR="00EC3910">
          <w:rPr>
            <w:webHidden/>
          </w:rPr>
          <w:fldChar w:fldCharType="end"/>
        </w:r>
      </w:hyperlink>
    </w:p>
    <w:p w:rsidR="00EC3910" w:rsidRDefault="00E46526">
      <w:pPr>
        <w:pStyle w:val="TOC4"/>
        <w:rPr>
          <w:rFonts w:eastAsiaTheme="minorEastAsia"/>
          <w:lang w:eastAsia="en-AU"/>
        </w:rPr>
      </w:pPr>
      <w:hyperlink w:anchor="_Toc458090626" w:history="1">
        <w:r w:rsidR="00EC3910" w:rsidRPr="00941B00">
          <w:rPr>
            <w:rStyle w:val="Hyperlink"/>
          </w:rPr>
          <w:t>GRN020: Creating National Marine Parks</w:t>
        </w:r>
        <w:r w:rsidR="00EC3910">
          <w:rPr>
            <w:webHidden/>
          </w:rPr>
          <w:tab/>
        </w:r>
        <w:r w:rsidR="00EC3910">
          <w:rPr>
            <w:webHidden/>
          </w:rPr>
          <w:fldChar w:fldCharType="begin"/>
        </w:r>
        <w:r w:rsidR="00EC3910">
          <w:rPr>
            <w:webHidden/>
          </w:rPr>
          <w:instrText xml:space="preserve"> PAGEREF _Toc458090626 \h </w:instrText>
        </w:r>
        <w:r w:rsidR="00EC3910">
          <w:rPr>
            <w:webHidden/>
          </w:rPr>
        </w:r>
        <w:r w:rsidR="00EC3910">
          <w:rPr>
            <w:webHidden/>
          </w:rPr>
          <w:fldChar w:fldCharType="separate"/>
        </w:r>
        <w:r w:rsidR="00C96ED3">
          <w:rPr>
            <w:webHidden/>
          </w:rPr>
          <w:t>534</w:t>
        </w:r>
        <w:r w:rsidR="00EC3910">
          <w:rPr>
            <w:webHidden/>
          </w:rPr>
          <w:fldChar w:fldCharType="end"/>
        </w:r>
      </w:hyperlink>
    </w:p>
    <w:p w:rsidR="00EC3910" w:rsidRDefault="00E46526">
      <w:pPr>
        <w:pStyle w:val="TOC4"/>
        <w:rPr>
          <w:rFonts w:eastAsiaTheme="minorEastAsia"/>
          <w:lang w:eastAsia="en-AU"/>
        </w:rPr>
      </w:pPr>
      <w:hyperlink w:anchor="_Toc458090627" w:history="1">
        <w:r w:rsidR="00EC3910" w:rsidRPr="00941B00">
          <w:rPr>
            <w:rStyle w:val="Hyperlink"/>
          </w:rPr>
          <w:t>GRN021: Boost Humanitarian Intake and UNHCR resourcing</w:t>
        </w:r>
        <w:r w:rsidR="00EC3910">
          <w:rPr>
            <w:webHidden/>
          </w:rPr>
          <w:tab/>
        </w:r>
        <w:r w:rsidR="00EC3910">
          <w:rPr>
            <w:webHidden/>
          </w:rPr>
          <w:fldChar w:fldCharType="begin"/>
        </w:r>
        <w:r w:rsidR="00EC3910">
          <w:rPr>
            <w:webHidden/>
          </w:rPr>
          <w:instrText xml:space="preserve"> PAGEREF _Toc458090627 \h </w:instrText>
        </w:r>
        <w:r w:rsidR="00EC3910">
          <w:rPr>
            <w:webHidden/>
          </w:rPr>
        </w:r>
        <w:r w:rsidR="00EC3910">
          <w:rPr>
            <w:webHidden/>
          </w:rPr>
          <w:fldChar w:fldCharType="separate"/>
        </w:r>
        <w:r w:rsidR="00C96ED3">
          <w:rPr>
            <w:webHidden/>
          </w:rPr>
          <w:t>541</w:t>
        </w:r>
        <w:r w:rsidR="00EC3910">
          <w:rPr>
            <w:webHidden/>
          </w:rPr>
          <w:fldChar w:fldCharType="end"/>
        </w:r>
      </w:hyperlink>
    </w:p>
    <w:p w:rsidR="00EC3910" w:rsidRDefault="00E46526">
      <w:pPr>
        <w:pStyle w:val="TOC4"/>
        <w:rPr>
          <w:rFonts w:eastAsiaTheme="minorEastAsia"/>
          <w:lang w:eastAsia="en-AU"/>
        </w:rPr>
      </w:pPr>
      <w:hyperlink w:anchor="_Toc458090628" w:history="1">
        <w:r w:rsidR="00EC3910" w:rsidRPr="00941B00">
          <w:rPr>
            <w:rStyle w:val="Hyperlink"/>
          </w:rPr>
          <w:t>GRN022: Community Owned Clean Energy</w:t>
        </w:r>
        <w:r w:rsidR="00EC3910">
          <w:rPr>
            <w:webHidden/>
          </w:rPr>
          <w:tab/>
        </w:r>
        <w:r w:rsidR="00EC3910">
          <w:rPr>
            <w:webHidden/>
          </w:rPr>
          <w:fldChar w:fldCharType="begin"/>
        </w:r>
        <w:r w:rsidR="00EC3910">
          <w:rPr>
            <w:webHidden/>
          </w:rPr>
          <w:instrText xml:space="preserve"> PAGEREF _Toc458090628 \h </w:instrText>
        </w:r>
        <w:r w:rsidR="00EC3910">
          <w:rPr>
            <w:webHidden/>
          </w:rPr>
        </w:r>
        <w:r w:rsidR="00EC3910">
          <w:rPr>
            <w:webHidden/>
          </w:rPr>
          <w:fldChar w:fldCharType="separate"/>
        </w:r>
        <w:r w:rsidR="00C96ED3">
          <w:rPr>
            <w:webHidden/>
          </w:rPr>
          <w:t>551</w:t>
        </w:r>
        <w:r w:rsidR="00EC3910">
          <w:rPr>
            <w:webHidden/>
          </w:rPr>
          <w:fldChar w:fldCharType="end"/>
        </w:r>
      </w:hyperlink>
    </w:p>
    <w:p w:rsidR="00EC3910" w:rsidRDefault="00E46526">
      <w:pPr>
        <w:pStyle w:val="TOC4"/>
        <w:rPr>
          <w:rFonts w:eastAsiaTheme="minorEastAsia"/>
          <w:lang w:eastAsia="en-AU"/>
        </w:rPr>
      </w:pPr>
      <w:hyperlink w:anchor="_Toc458090629" w:history="1">
        <w:r w:rsidR="00EC3910" w:rsidRPr="00941B00">
          <w:rPr>
            <w:rStyle w:val="Hyperlink"/>
          </w:rPr>
          <w:t>GRN023: Reducing Income Inequality</w:t>
        </w:r>
        <w:r w:rsidR="00EC3910">
          <w:rPr>
            <w:webHidden/>
          </w:rPr>
          <w:tab/>
        </w:r>
        <w:r w:rsidR="00EC3910">
          <w:rPr>
            <w:webHidden/>
          </w:rPr>
          <w:fldChar w:fldCharType="begin"/>
        </w:r>
        <w:r w:rsidR="00EC3910">
          <w:rPr>
            <w:webHidden/>
          </w:rPr>
          <w:instrText xml:space="preserve"> PAGEREF _Toc458090629 \h </w:instrText>
        </w:r>
        <w:r w:rsidR="00EC3910">
          <w:rPr>
            <w:webHidden/>
          </w:rPr>
        </w:r>
        <w:r w:rsidR="00EC3910">
          <w:rPr>
            <w:webHidden/>
          </w:rPr>
          <w:fldChar w:fldCharType="separate"/>
        </w:r>
        <w:r w:rsidR="00C96ED3">
          <w:rPr>
            <w:webHidden/>
          </w:rPr>
          <w:t>558</w:t>
        </w:r>
        <w:r w:rsidR="00EC3910">
          <w:rPr>
            <w:webHidden/>
          </w:rPr>
          <w:fldChar w:fldCharType="end"/>
        </w:r>
      </w:hyperlink>
    </w:p>
    <w:p w:rsidR="00EC3910" w:rsidRDefault="00E46526">
      <w:pPr>
        <w:pStyle w:val="TOC4"/>
        <w:rPr>
          <w:rFonts w:eastAsiaTheme="minorEastAsia"/>
          <w:lang w:eastAsia="en-AU"/>
        </w:rPr>
      </w:pPr>
      <w:hyperlink w:anchor="_Toc458090630" w:history="1">
        <w:r w:rsidR="00EC3910" w:rsidRPr="00941B00">
          <w:rPr>
            <w:rStyle w:val="Hyperlink"/>
          </w:rPr>
          <w:t>GRN024: No new gas and coal mines</w:t>
        </w:r>
        <w:r w:rsidR="00EC3910">
          <w:rPr>
            <w:webHidden/>
          </w:rPr>
          <w:tab/>
        </w:r>
        <w:r w:rsidR="00EC3910">
          <w:rPr>
            <w:webHidden/>
          </w:rPr>
          <w:fldChar w:fldCharType="begin"/>
        </w:r>
        <w:r w:rsidR="00EC3910">
          <w:rPr>
            <w:webHidden/>
          </w:rPr>
          <w:instrText xml:space="preserve"> PAGEREF _Toc458090630 \h </w:instrText>
        </w:r>
        <w:r w:rsidR="00EC3910">
          <w:rPr>
            <w:webHidden/>
          </w:rPr>
        </w:r>
        <w:r w:rsidR="00EC3910">
          <w:rPr>
            <w:webHidden/>
          </w:rPr>
          <w:fldChar w:fldCharType="separate"/>
        </w:r>
        <w:r w:rsidR="00C96ED3">
          <w:rPr>
            <w:webHidden/>
          </w:rPr>
          <w:t>568</w:t>
        </w:r>
        <w:r w:rsidR="00EC3910">
          <w:rPr>
            <w:webHidden/>
          </w:rPr>
          <w:fldChar w:fldCharType="end"/>
        </w:r>
      </w:hyperlink>
    </w:p>
    <w:p w:rsidR="00EC3910" w:rsidRDefault="00E46526">
      <w:pPr>
        <w:pStyle w:val="TOC4"/>
        <w:rPr>
          <w:rFonts w:eastAsiaTheme="minorEastAsia"/>
          <w:lang w:eastAsia="en-AU"/>
        </w:rPr>
      </w:pPr>
      <w:hyperlink w:anchor="_Toc458090631" w:history="1">
        <w:r w:rsidR="00EC3910" w:rsidRPr="00941B00">
          <w:rPr>
            <w:rStyle w:val="Hyperlink"/>
          </w:rPr>
          <w:t>GRN025: Investing in Pre-School</w:t>
        </w:r>
        <w:r w:rsidR="00EC3910">
          <w:rPr>
            <w:webHidden/>
          </w:rPr>
          <w:tab/>
        </w:r>
        <w:r w:rsidR="00EC3910">
          <w:rPr>
            <w:webHidden/>
          </w:rPr>
          <w:fldChar w:fldCharType="begin"/>
        </w:r>
        <w:r w:rsidR="00EC3910">
          <w:rPr>
            <w:webHidden/>
          </w:rPr>
          <w:instrText xml:space="preserve"> PAGEREF _Toc458090631 \h </w:instrText>
        </w:r>
        <w:r w:rsidR="00EC3910">
          <w:rPr>
            <w:webHidden/>
          </w:rPr>
        </w:r>
        <w:r w:rsidR="00EC3910">
          <w:rPr>
            <w:webHidden/>
          </w:rPr>
          <w:fldChar w:fldCharType="separate"/>
        </w:r>
        <w:r w:rsidR="00C96ED3">
          <w:rPr>
            <w:webHidden/>
          </w:rPr>
          <w:t>572</w:t>
        </w:r>
        <w:r w:rsidR="00EC3910">
          <w:rPr>
            <w:webHidden/>
          </w:rPr>
          <w:fldChar w:fldCharType="end"/>
        </w:r>
      </w:hyperlink>
    </w:p>
    <w:p w:rsidR="00EC3910" w:rsidRDefault="00EC3910">
      <w:pPr>
        <w:pStyle w:val="TOC4"/>
        <w:rPr>
          <w:rFonts w:eastAsiaTheme="minorEastAsia"/>
          <w:lang w:eastAsia="en-AU"/>
        </w:rPr>
      </w:pPr>
      <w:r>
        <w:t>GRN026: Adapting to a changing climate</w:t>
      </w:r>
      <w:r>
        <w:rPr>
          <w:webHidden/>
        </w:rPr>
        <w:tab/>
        <w:t>572</w:t>
      </w:r>
    </w:p>
    <w:p w:rsidR="00EC3910" w:rsidRDefault="00EC3910">
      <w:pPr>
        <w:pStyle w:val="TOC4"/>
        <w:rPr>
          <w:rFonts w:eastAsiaTheme="minorEastAsia"/>
          <w:lang w:eastAsia="en-AU"/>
        </w:rPr>
      </w:pPr>
      <w:r>
        <w:t>GRN027: Securing the Future of Farming</w:t>
      </w:r>
      <w:r>
        <w:rPr>
          <w:webHidden/>
        </w:rPr>
        <w:tab/>
        <w:t>579</w:t>
      </w:r>
    </w:p>
    <w:p w:rsidR="00EC3910" w:rsidRDefault="00EC3910">
      <w:pPr>
        <w:pStyle w:val="TOC4"/>
        <w:rPr>
          <w:rFonts w:eastAsiaTheme="minorEastAsia"/>
          <w:lang w:eastAsia="en-AU"/>
        </w:rPr>
      </w:pPr>
      <w:r>
        <w:t>GRN028: Innovation in Agriculture</w:t>
      </w:r>
      <w:r>
        <w:rPr>
          <w:webHidden/>
        </w:rPr>
        <w:tab/>
        <w:t>584</w:t>
      </w:r>
    </w:p>
    <w:p w:rsidR="00EC3910" w:rsidRDefault="00EC3910">
      <w:pPr>
        <w:pStyle w:val="TOC4"/>
        <w:rPr>
          <w:rFonts w:eastAsiaTheme="minorEastAsia"/>
          <w:lang w:eastAsia="en-AU"/>
        </w:rPr>
      </w:pPr>
      <w:r>
        <w:t>GRN029: Restoring Turnbull’s R&amp;D Tax Credit Cuts</w:t>
      </w:r>
      <w:r>
        <w:rPr>
          <w:webHidden/>
        </w:rPr>
        <w:tab/>
        <w:t>588</w:t>
      </w:r>
    </w:p>
    <w:p w:rsidR="00EC3910" w:rsidRDefault="00EC3910">
      <w:pPr>
        <w:pStyle w:val="TOC4"/>
        <w:rPr>
          <w:rFonts w:eastAsiaTheme="minorEastAsia"/>
          <w:lang w:eastAsia="en-AU"/>
        </w:rPr>
      </w:pPr>
      <w:r>
        <w:t>GRN030: A New Assistance Payment for Childcare</w:t>
      </w:r>
      <w:r>
        <w:rPr>
          <w:webHidden/>
        </w:rPr>
        <w:tab/>
        <w:t>592</w:t>
      </w:r>
    </w:p>
    <w:p w:rsidR="00EC3910" w:rsidRDefault="00EC3910">
      <w:pPr>
        <w:pStyle w:val="TOC4"/>
        <w:rPr>
          <w:rFonts w:eastAsiaTheme="minorEastAsia"/>
          <w:lang w:eastAsia="en-AU"/>
        </w:rPr>
      </w:pPr>
      <w:r>
        <w:t>GRN031: Investing in Early Childhood Educators</w:t>
      </w:r>
      <w:r>
        <w:rPr>
          <w:webHidden/>
        </w:rPr>
        <w:tab/>
        <w:t>597</w:t>
      </w:r>
    </w:p>
    <w:p w:rsidR="00EC3910" w:rsidRDefault="00EC3910">
      <w:pPr>
        <w:pStyle w:val="TOC4"/>
        <w:rPr>
          <w:rFonts w:eastAsiaTheme="minorEastAsia"/>
          <w:lang w:eastAsia="en-AU"/>
        </w:rPr>
      </w:pPr>
      <w:r>
        <w:lastRenderedPageBreak/>
        <w:t xml:space="preserve">GRN032: </w:t>
      </w:r>
      <w:r w:rsidRPr="00941B00">
        <w:t>Better Schools: Full Gonski Funding and Better Schools: Students with Disability</w:t>
      </w:r>
      <w:r>
        <w:rPr>
          <w:webHidden/>
        </w:rPr>
        <w:tab/>
        <w:t>604</w:t>
      </w:r>
    </w:p>
    <w:p w:rsidR="00EC3910" w:rsidRDefault="00EC3910">
      <w:pPr>
        <w:pStyle w:val="TOC4"/>
        <w:rPr>
          <w:rFonts w:eastAsiaTheme="minorEastAsia"/>
          <w:lang w:eastAsia="en-AU"/>
        </w:rPr>
      </w:pPr>
      <w:r>
        <w:t>GRN033: Higher Education: Base Funding Lift</w:t>
      </w:r>
      <w:r>
        <w:rPr>
          <w:webHidden/>
        </w:rPr>
        <w:tab/>
        <w:t>609</w:t>
      </w:r>
    </w:p>
    <w:p w:rsidR="00EC3910" w:rsidRDefault="00EC3910">
      <w:pPr>
        <w:pStyle w:val="TOC4"/>
        <w:rPr>
          <w:rFonts w:eastAsiaTheme="minorEastAsia"/>
          <w:lang w:eastAsia="en-AU"/>
        </w:rPr>
      </w:pPr>
      <w:r>
        <w:t>GRN034: Reducing the HECS Burden</w:t>
      </w:r>
      <w:r>
        <w:rPr>
          <w:webHidden/>
        </w:rPr>
        <w:tab/>
        <w:t>615</w:t>
      </w:r>
    </w:p>
    <w:p w:rsidR="00EC3910" w:rsidRDefault="00EC3910">
      <w:pPr>
        <w:pStyle w:val="TOC4"/>
        <w:rPr>
          <w:rFonts w:eastAsiaTheme="minorEastAsia"/>
          <w:lang w:eastAsia="en-AU"/>
        </w:rPr>
      </w:pPr>
      <w:r>
        <w:t>GRN035: Boosting TAFE funding and VET Ombudsman</w:t>
      </w:r>
      <w:r>
        <w:rPr>
          <w:webHidden/>
        </w:rPr>
        <w:tab/>
        <w:t>624</w:t>
      </w:r>
    </w:p>
    <w:p w:rsidR="00EC3910" w:rsidRDefault="00EC3910">
      <w:pPr>
        <w:pStyle w:val="TOC4"/>
        <w:rPr>
          <w:rFonts w:eastAsiaTheme="minorEastAsia"/>
          <w:lang w:eastAsia="en-AU"/>
        </w:rPr>
      </w:pPr>
      <w:r>
        <w:t>GRN036: Future Fund for Innovation</w:t>
      </w:r>
      <w:r>
        <w:rPr>
          <w:webHidden/>
        </w:rPr>
        <w:tab/>
        <w:t>627</w:t>
      </w:r>
    </w:p>
    <w:p w:rsidR="00EC3910" w:rsidRDefault="00EC3910">
      <w:pPr>
        <w:pStyle w:val="TOC4"/>
        <w:rPr>
          <w:rFonts w:eastAsiaTheme="minorEastAsia"/>
          <w:lang w:eastAsia="en-AU"/>
        </w:rPr>
      </w:pPr>
      <w:r>
        <w:t>GRN037: Marine Plastics CRC</w:t>
      </w:r>
      <w:r>
        <w:rPr>
          <w:webHidden/>
        </w:rPr>
        <w:tab/>
        <w:t>629</w:t>
      </w:r>
    </w:p>
    <w:p w:rsidR="00EC3910" w:rsidRDefault="00EC3910">
      <w:pPr>
        <w:pStyle w:val="TOC4"/>
        <w:rPr>
          <w:rFonts w:eastAsiaTheme="minorEastAsia"/>
          <w:lang w:eastAsia="en-AU"/>
        </w:rPr>
      </w:pPr>
      <w:r>
        <w:t>GRN038: Antarctic and Southern Ocean Package</w:t>
      </w:r>
      <w:r>
        <w:rPr>
          <w:webHidden/>
        </w:rPr>
        <w:tab/>
        <w:t>632</w:t>
      </w:r>
    </w:p>
    <w:p w:rsidR="00EC3910" w:rsidRDefault="00EC3910">
      <w:pPr>
        <w:pStyle w:val="TOC4"/>
        <w:rPr>
          <w:rFonts w:eastAsiaTheme="minorEastAsia"/>
          <w:lang w:eastAsia="en-AU"/>
        </w:rPr>
      </w:pPr>
      <w:r>
        <w:t>GRN039: Stopping Another Stolen Generation</w:t>
      </w:r>
      <w:r>
        <w:rPr>
          <w:webHidden/>
        </w:rPr>
        <w:tab/>
        <w:t>638</w:t>
      </w:r>
    </w:p>
    <w:p w:rsidR="00EC3910" w:rsidRDefault="00EC3910">
      <w:pPr>
        <w:pStyle w:val="TOC4"/>
        <w:rPr>
          <w:rFonts w:eastAsiaTheme="minorEastAsia"/>
          <w:lang w:eastAsia="en-AU"/>
        </w:rPr>
      </w:pPr>
      <w:r>
        <w:t>GRN040: Royal Commission into Disability Abuse</w:t>
      </w:r>
      <w:r>
        <w:rPr>
          <w:webHidden/>
        </w:rPr>
        <w:tab/>
        <w:t>643</w:t>
      </w:r>
    </w:p>
    <w:p w:rsidR="00EC3910" w:rsidRDefault="00EC3910">
      <w:pPr>
        <w:pStyle w:val="TOC4"/>
        <w:rPr>
          <w:rFonts w:eastAsiaTheme="minorEastAsia"/>
          <w:lang w:eastAsia="en-AU"/>
        </w:rPr>
      </w:pPr>
      <w:r>
        <w:t>GRN041: Child Abuse Redress Scheme</w:t>
      </w:r>
      <w:r>
        <w:rPr>
          <w:webHidden/>
        </w:rPr>
        <w:tab/>
        <w:t>646</w:t>
      </w:r>
    </w:p>
    <w:p w:rsidR="00EC3910" w:rsidRDefault="00EC3910">
      <w:pPr>
        <w:pStyle w:val="TOC4"/>
        <w:rPr>
          <w:rFonts w:eastAsiaTheme="minorEastAsia"/>
          <w:lang w:eastAsia="en-AU"/>
        </w:rPr>
      </w:pPr>
      <w:r>
        <w:t>GRN042: Bringing Back Loss Carry Back &amp; Lifting GST Threshold</w:t>
      </w:r>
      <w:r>
        <w:rPr>
          <w:webHidden/>
        </w:rPr>
        <w:tab/>
        <w:t>649</w:t>
      </w:r>
    </w:p>
    <w:p w:rsidR="00EC3910" w:rsidRDefault="00EC3910">
      <w:pPr>
        <w:pStyle w:val="TOC4"/>
        <w:rPr>
          <w:rFonts w:eastAsiaTheme="minorEastAsia"/>
          <w:lang w:eastAsia="en-AU"/>
        </w:rPr>
      </w:pPr>
      <w:r>
        <w:t>GRN043: Towards a Republic</w:t>
      </w:r>
      <w:r>
        <w:rPr>
          <w:webHidden/>
        </w:rPr>
        <w:tab/>
        <w:t>657</w:t>
      </w:r>
    </w:p>
    <w:p w:rsidR="00EC3910" w:rsidRDefault="00EC3910">
      <w:pPr>
        <w:pStyle w:val="TOC4"/>
        <w:rPr>
          <w:rFonts w:eastAsiaTheme="minorEastAsia"/>
          <w:lang w:eastAsia="en-AU"/>
        </w:rPr>
      </w:pPr>
      <w:r>
        <w:t>GRN044: Managing Chronic Disease</w:t>
      </w:r>
      <w:r>
        <w:rPr>
          <w:webHidden/>
        </w:rPr>
        <w:tab/>
        <w:t>662</w:t>
      </w:r>
    </w:p>
    <w:p w:rsidR="00EC3910" w:rsidRDefault="00EC3910">
      <w:pPr>
        <w:pStyle w:val="TOC4"/>
        <w:rPr>
          <w:rFonts w:eastAsiaTheme="minorEastAsia"/>
          <w:lang w:eastAsia="en-AU"/>
        </w:rPr>
      </w:pPr>
      <w:r>
        <w:t>GRN045: Harm Reduction Innovation Fund</w:t>
      </w:r>
      <w:r>
        <w:rPr>
          <w:webHidden/>
        </w:rPr>
        <w:tab/>
        <w:t>664</w:t>
      </w:r>
    </w:p>
    <w:p w:rsidR="00EC3910" w:rsidRDefault="00EC3910">
      <w:pPr>
        <w:pStyle w:val="TOC4"/>
        <w:rPr>
          <w:rFonts w:eastAsiaTheme="minorEastAsia"/>
          <w:lang w:eastAsia="en-AU"/>
        </w:rPr>
      </w:pPr>
      <w:r>
        <w:t>GRN046: Primary Health Care</w:t>
      </w:r>
      <w:r>
        <w:rPr>
          <w:webHidden/>
        </w:rPr>
        <w:tab/>
        <w:t>667</w:t>
      </w:r>
    </w:p>
    <w:p w:rsidR="00EC3910" w:rsidRDefault="00EC3910">
      <w:pPr>
        <w:pStyle w:val="TOC4"/>
        <w:rPr>
          <w:rFonts w:eastAsiaTheme="minorEastAsia"/>
          <w:lang w:eastAsia="en-AU"/>
        </w:rPr>
      </w:pPr>
      <w:r>
        <w:t>GRN047: Primary health care networks: funding</w:t>
      </w:r>
      <w:r>
        <w:rPr>
          <w:webHidden/>
        </w:rPr>
        <w:tab/>
        <w:t>672</w:t>
      </w:r>
    </w:p>
    <w:p w:rsidR="00EC3910" w:rsidRDefault="00EC3910">
      <w:pPr>
        <w:pStyle w:val="TOC4"/>
        <w:rPr>
          <w:rFonts w:eastAsiaTheme="minorEastAsia"/>
          <w:lang w:eastAsia="en-AU"/>
        </w:rPr>
      </w:pPr>
      <w:r>
        <w:t>GRN048: More Funding for Mental Health</w:t>
      </w:r>
      <w:r>
        <w:rPr>
          <w:webHidden/>
        </w:rPr>
        <w:tab/>
        <w:t>675</w:t>
      </w:r>
    </w:p>
    <w:p w:rsidR="00EC3910" w:rsidRDefault="00EC3910">
      <w:pPr>
        <w:pStyle w:val="TOC4"/>
        <w:rPr>
          <w:rFonts w:eastAsiaTheme="minorEastAsia"/>
          <w:lang w:eastAsia="en-AU"/>
        </w:rPr>
      </w:pPr>
      <w:r>
        <w:t>GRN049: Forests for Our Future</w:t>
      </w:r>
      <w:r>
        <w:rPr>
          <w:webHidden/>
        </w:rPr>
        <w:tab/>
        <w:t>685</w:t>
      </w:r>
    </w:p>
    <w:p w:rsidR="00EC3910" w:rsidRDefault="00EC3910">
      <w:pPr>
        <w:pStyle w:val="TOC4"/>
        <w:rPr>
          <w:rFonts w:eastAsiaTheme="minorEastAsia"/>
          <w:lang w:eastAsia="en-AU"/>
        </w:rPr>
      </w:pPr>
      <w:r>
        <w:t>GRN050: Seizing the Tourism Boom</w:t>
      </w:r>
      <w:r>
        <w:rPr>
          <w:webHidden/>
        </w:rPr>
        <w:tab/>
        <w:t>688</w:t>
      </w:r>
    </w:p>
    <w:p w:rsidR="00EC3910" w:rsidRDefault="00EC3910">
      <w:pPr>
        <w:pStyle w:val="TOC4"/>
        <w:rPr>
          <w:rFonts w:eastAsiaTheme="minorEastAsia"/>
          <w:lang w:eastAsia="en-AU"/>
        </w:rPr>
      </w:pPr>
      <w:r>
        <w:t>GRN051: Reverse Cuts to Legal Aid Services</w:t>
      </w:r>
      <w:r>
        <w:rPr>
          <w:webHidden/>
        </w:rPr>
        <w:tab/>
        <w:t>691</w:t>
      </w:r>
    </w:p>
    <w:p w:rsidR="00EC3910" w:rsidRDefault="00EC3910">
      <w:pPr>
        <w:pStyle w:val="TOC4"/>
        <w:rPr>
          <w:rFonts w:eastAsiaTheme="minorEastAsia"/>
          <w:lang w:eastAsia="en-AU"/>
        </w:rPr>
      </w:pPr>
      <w:r>
        <w:t>GRN052: National Biosecurity Authority</w:t>
      </w:r>
      <w:r>
        <w:rPr>
          <w:webHidden/>
        </w:rPr>
        <w:tab/>
        <w:t>693</w:t>
      </w:r>
    </w:p>
    <w:p w:rsidR="00EC3910" w:rsidRDefault="00EC3910">
      <w:pPr>
        <w:pStyle w:val="TOC4"/>
        <w:rPr>
          <w:rFonts w:eastAsiaTheme="minorEastAsia"/>
          <w:lang w:eastAsia="en-AU"/>
        </w:rPr>
      </w:pPr>
      <w:r>
        <w:t>GRN053: Foreign Aid: Honouring our UN Commitments</w:t>
      </w:r>
      <w:r>
        <w:rPr>
          <w:webHidden/>
        </w:rPr>
        <w:tab/>
        <w:t>701</w:t>
      </w:r>
    </w:p>
    <w:p w:rsidR="00EC3910" w:rsidRDefault="00EC3910">
      <w:pPr>
        <w:pStyle w:val="TOC4"/>
        <w:rPr>
          <w:rFonts w:eastAsiaTheme="minorEastAsia"/>
          <w:lang w:eastAsia="en-AU"/>
        </w:rPr>
      </w:pPr>
      <w:r>
        <w:t>GRN054: Empowering &amp; Supporting ATSI Peoples</w:t>
      </w:r>
      <w:r>
        <w:rPr>
          <w:webHidden/>
        </w:rPr>
        <w:tab/>
        <w:t>704</w:t>
      </w:r>
    </w:p>
    <w:p w:rsidR="00EC3910" w:rsidRDefault="00EC3910">
      <w:pPr>
        <w:pStyle w:val="TOC4"/>
        <w:rPr>
          <w:rFonts w:eastAsiaTheme="minorEastAsia"/>
          <w:lang w:eastAsia="en-AU"/>
        </w:rPr>
      </w:pPr>
      <w:r>
        <w:t>GRN055: Sustainable Research Excellence Grants</w:t>
      </w:r>
      <w:r>
        <w:rPr>
          <w:webHidden/>
        </w:rPr>
        <w:tab/>
        <w:t>710</w:t>
      </w:r>
    </w:p>
    <w:p w:rsidR="00EC3910" w:rsidRDefault="00EC3910">
      <w:pPr>
        <w:pStyle w:val="TOC4"/>
        <w:rPr>
          <w:rFonts w:eastAsiaTheme="minorEastAsia"/>
          <w:lang w:eastAsia="en-AU"/>
        </w:rPr>
      </w:pPr>
      <w:r>
        <w:t>GRN056: Supporting our Videogame Creators</w:t>
      </w:r>
      <w:r>
        <w:rPr>
          <w:webHidden/>
        </w:rPr>
        <w:tab/>
        <w:t>712</w:t>
      </w:r>
    </w:p>
    <w:p w:rsidR="00EC3910" w:rsidRDefault="00EC3910">
      <w:pPr>
        <w:pStyle w:val="TOC4"/>
        <w:rPr>
          <w:rFonts w:eastAsiaTheme="minorEastAsia"/>
          <w:lang w:eastAsia="en-AU"/>
        </w:rPr>
      </w:pPr>
      <w:r>
        <w:t>GRN057: Independent Office of Animal Welfare</w:t>
      </w:r>
      <w:r>
        <w:rPr>
          <w:webHidden/>
        </w:rPr>
        <w:tab/>
        <w:t>717</w:t>
      </w:r>
    </w:p>
    <w:p w:rsidR="00EC3910" w:rsidRDefault="00EC3910">
      <w:pPr>
        <w:pStyle w:val="TOC4"/>
        <w:rPr>
          <w:rFonts w:eastAsiaTheme="minorEastAsia"/>
          <w:lang w:eastAsia="en-AU"/>
        </w:rPr>
      </w:pPr>
      <w:r>
        <w:t>GRN058: Royal Commission into children in detention</w:t>
      </w:r>
      <w:r>
        <w:rPr>
          <w:webHidden/>
        </w:rPr>
        <w:tab/>
        <w:t>720</w:t>
      </w:r>
    </w:p>
    <w:p w:rsidR="00EC3910" w:rsidRDefault="00EC3910">
      <w:pPr>
        <w:pStyle w:val="TOC4"/>
        <w:rPr>
          <w:rFonts w:eastAsiaTheme="minorEastAsia"/>
          <w:lang w:eastAsia="en-AU"/>
        </w:rPr>
      </w:pPr>
      <w:r>
        <w:t>GRN059: Supporting Older Australians package</w:t>
      </w:r>
      <w:r>
        <w:rPr>
          <w:webHidden/>
        </w:rPr>
        <w:tab/>
        <w:t>722</w:t>
      </w:r>
    </w:p>
    <w:p w:rsidR="00EC3910" w:rsidRDefault="00EC3910">
      <w:pPr>
        <w:pStyle w:val="TOC4"/>
        <w:rPr>
          <w:rFonts w:eastAsiaTheme="minorEastAsia"/>
          <w:lang w:eastAsia="en-AU"/>
        </w:rPr>
      </w:pPr>
      <w:r>
        <w:t>GRN060: Saving the Reef</w:t>
      </w:r>
      <w:r>
        <w:rPr>
          <w:webHidden/>
        </w:rPr>
        <w:tab/>
        <w:t>729</w:t>
      </w:r>
    </w:p>
    <w:p w:rsidR="00EC3910" w:rsidRDefault="00EC3910">
      <w:pPr>
        <w:pStyle w:val="TOC4"/>
        <w:rPr>
          <w:rFonts w:eastAsiaTheme="minorEastAsia"/>
          <w:lang w:eastAsia="en-AU"/>
        </w:rPr>
      </w:pPr>
      <w:r>
        <w:t>GRN061: Protecting our Precious Places</w:t>
      </w:r>
      <w:r>
        <w:rPr>
          <w:webHidden/>
        </w:rPr>
        <w:tab/>
        <w:t>737</w:t>
      </w:r>
    </w:p>
    <w:p w:rsidR="00EC3910" w:rsidRDefault="00EC3910">
      <w:pPr>
        <w:pStyle w:val="TOC4"/>
        <w:rPr>
          <w:rFonts w:eastAsiaTheme="minorEastAsia"/>
          <w:lang w:eastAsia="en-AU"/>
        </w:rPr>
      </w:pPr>
      <w:r>
        <w:t>GRN062: The Energy Storage Revolution</w:t>
      </w:r>
      <w:r>
        <w:rPr>
          <w:webHidden/>
        </w:rPr>
        <w:tab/>
        <w:t>745</w:t>
      </w:r>
    </w:p>
    <w:p w:rsidR="00EC3910" w:rsidRDefault="00EC3910">
      <w:pPr>
        <w:pStyle w:val="TOC4"/>
        <w:rPr>
          <w:rFonts w:eastAsiaTheme="minorEastAsia"/>
          <w:lang w:eastAsia="en-AU"/>
        </w:rPr>
      </w:pPr>
      <w:r>
        <w:t>GRN064: Green Building Plan</w:t>
      </w:r>
      <w:r>
        <w:rPr>
          <w:webHidden/>
        </w:rPr>
        <w:tab/>
        <w:t>756</w:t>
      </w:r>
    </w:p>
    <w:p w:rsidR="00EC3910" w:rsidRDefault="00EC3910">
      <w:pPr>
        <w:pStyle w:val="TOC4"/>
        <w:rPr>
          <w:rFonts w:eastAsiaTheme="minorEastAsia"/>
          <w:lang w:eastAsia="en-AU"/>
        </w:rPr>
      </w:pPr>
      <w:r>
        <w:t>GRN066: Repowering Public and Community Housing</w:t>
      </w:r>
      <w:r>
        <w:rPr>
          <w:webHidden/>
        </w:rPr>
        <w:tab/>
        <w:t>762</w:t>
      </w:r>
    </w:p>
    <w:p w:rsidR="00EC3910" w:rsidRDefault="00EC3910">
      <w:pPr>
        <w:pStyle w:val="TOC4"/>
        <w:rPr>
          <w:rFonts w:eastAsiaTheme="minorEastAsia"/>
          <w:lang w:eastAsia="en-AU"/>
        </w:rPr>
      </w:pPr>
      <w:r>
        <w:t>GRN067: Keep Climate Change Authority</w:t>
      </w:r>
      <w:r>
        <w:rPr>
          <w:webHidden/>
        </w:rPr>
        <w:tab/>
        <w:t>765</w:t>
      </w:r>
    </w:p>
    <w:p w:rsidR="00EC3910" w:rsidRDefault="00EC3910">
      <w:pPr>
        <w:pStyle w:val="TOC4"/>
        <w:rPr>
          <w:rFonts w:eastAsiaTheme="minorEastAsia"/>
          <w:lang w:eastAsia="en-AU"/>
        </w:rPr>
      </w:pPr>
      <w:r>
        <w:t>GRN069: Confronting the Domestic Violence Crisis</w:t>
      </w:r>
      <w:r>
        <w:rPr>
          <w:webHidden/>
        </w:rPr>
        <w:tab/>
        <w:t>767</w:t>
      </w:r>
    </w:p>
    <w:p w:rsidR="00EC3910" w:rsidRDefault="00EC3910">
      <w:pPr>
        <w:pStyle w:val="TOC4"/>
        <w:rPr>
          <w:rFonts w:eastAsiaTheme="minorEastAsia"/>
          <w:lang w:eastAsia="en-AU"/>
        </w:rPr>
      </w:pPr>
      <w:r>
        <w:t>GRN070: Access to abortion services</w:t>
      </w:r>
      <w:r>
        <w:rPr>
          <w:webHidden/>
        </w:rPr>
        <w:tab/>
        <w:t>773</w:t>
      </w:r>
    </w:p>
    <w:p w:rsidR="00EC3910" w:rsidRDefault="00EC3910">
      <w:pPr>
        <w:pStyle w:val="TOC4"/>
        <w:rPr>
          <w:rFonts w:eastAsiaTheme="minorEastAsia"/>
          <w:lang w:eastAsia="en-AU"/>
        </w:rPr>
      </w:pPr>
      <w:r>
        <w:lastRenderedPageBreak/>
        <w:t>GRN071: Australia's Film Industry</w:t>
      </w:r>
      <w:r>
        <w:rPr>
          <w:webHidden/>
        </w:rPr>
        <w:tab/>
        <w:t>776</w:t>
      </w:r>
    </w:p>
    <w:p w:rsidR="00EC3910" w:rsidRDefault="00EC3910">
      <w:pPr>
        <w:pStyle w:val="TOC4"/>
        <w:rPr>
          <w:rFonts w:eastAsiaTheme="minorEastAsia"/>
          <w:lang w:eastAsia="en-AU"/>
        </w:rPr>
      </w:pPr>
      <w:r>
        <w:t>GRN072: A living wage for artists</w:t>
      </w:r>
      <w:r>
        <w:rPr>
          <w:webHidden/>
        </w:rPr>
        <w:tab/>
        <w:t>780</w:t>
      </w:r>
    </w:p>
    <w:p w:rsidR="00EC3910" w:rsidRDefault="00EC3910">
      <w:pPr>
        <w:pStyle w:val="TOC4"/>
        <w:rPr>
          <w:rFonts w:eastAsiaTheme="minorEastAsia"/>
          <w:lang w:eastAsia="en-AU"/>
        </w:rPr>
      </w:pPr>
      <w:r>
        <w:t>GRN073: Community Sports</w:t>
      </w:r>
      <w:r>
        <w:rPr>
          <w:webHidden/>
        </w:rPr>
        <w:tab/>
        <w:t>786</w:t>
      </w:r>
    </w:p>
    <w:p w:rsidR="00EC3910" w:rsidRDefault="00EC3910">
      <w:pPr>
        <w:pStyle w:val="TOC4"/>
        <w:rPr>
          <w:rFonts w:eastAsiaTheme="minorEastAsia"/>
          <w:lang w:eastAsia="en-AU"/>
        </w:rPr>
      </w:pPr>
      <w:r>
        <w:t>GRN074: Migrant Communities Employment Fund</w:t>
      </w:r>
      <w:r>
        <w:rPr>
          <w:webHidden/>
        </w:rPr>
        <w:tab/>
        <w:t>790</w:t>
      </w:r>
    </w:p>
    <w:p w:rsidR="00EC3910" w:rsidRDefault="00EC3910">
      <w:pPr>
        <w:pStyle w:val="TOC4"/>
        <w:rPr>
          <w:rFonts w:eastAsiaTheme="minorEastAsia"/>
          <w:lang w:eastAsia="en-AU"/>
        </w:rPr>
      </w:pPr>
      <w:r>
        <w:t>GRN075: PrEP</w:t>
      </w:r>
      <w:r>
        <w:rPr>
          <w:webHidden/>
        </w:rPr>
        <w:tab/>
        <w:t>793</w:t>
      </w:r>
    </w:p>
    <w:p w:rsidR="00EC3910" w:rsidRDefault="00EC3910">
      <w:pPr>
        <w:pStyle w:val="TOC4"/>
        <w:rPr>
          <w:rFonts w:eastAsiaTheme="minorEastAsia"/>
          <w:lang w:eastAsia="en-AU"/>
        </w:rPr>
      </w:pPr>
      <w:r>
        <w:t>GRN076: Digital Rights Abolish Data Retention</w:t>
      </w:r>
      <w:r>
        <w:rPr>
          <w:webHidden/>
        </w:rPr>
        <w:tab/>
        <w:t>796</w:t>
      </w:r>
    </w:p>
    <w:p w:rsidR="00EC3910" w:rsidRDefault="00EC3910">
      <w:pPr>
        <w:pStyle w:val="TOC4"/>
        <w:rPr>
          <w:rFonts w:eastAsiaTheme="minorEastAsia"/>
          <w:lang w:eastAsia="en-AU"/>
        </w:rPr>
      </w:pPr>
      <w:r>
        <w:t>GRN077: Removing Compulsory Income Management</w:t>
      </w:r>
      <w:r>
        <w:rPr>
          <w:webHidden/>
        </w:rPr>
        <w:tab/>
        <w:t>799</w:t>
      </w:r>
    </w:p>
    <w:p w:rsidR="00EC3910" w:rsidRDefault="00EC3910">
      <w:pPr>
        <w:pStyle w:val="TOC4"/>
        <w:rPr>
          <w:rFonts w:eastAsiaTheme="minorEastAsia"/>
          <w:lang w:eastAsia="en-AU"/>
        </w:rPr>
      </w:pPr>
      <w:r>
        <w:t>GRN078: Public and Community Housing Supply Boost</w:t>
      </w:r>
      <w:r>
        <w:rPr>
          <w:webHidden/>
        </w:rPr>
        <w:tab/>
        <w:t>802</w:t>
      </w:r>
    </w:p>
    <w:p w:rsidR="00EC3910" w:rsidRDefault="00EC3910">
      <w:pPr>
        <w:pStyle w:val="TOC4"/>
        <w:rPr>
          <w:rFonts w:eastAsiaTheme="minorEastAsia"/>
          <w:lang w:eastAsia="en-AU"/>
        </w:rPr>
      </w:pPr>
      <w:r>
        <w:t>GRN079: Increase Rent Assistance by 30%</w:t>
      </w:r>
      <w:r>
        <w:rPr>
          <w:webHidden/>
        </w:rPr>
        <w:tab/>
        <w:t>804</w:t>
      </w:r>
    </w:p>
    <w:p w:rsidR="00EC3910" w:rsidRDefault="00EC3910">
      <w:pPr>
        <w:pStyle w:val="TOC4"/>
        <w:rPr>
          <w:rFonts w:eastAsiaTheme="minorEastAsia"/>
          <w:lang w:eastAsia="en-AU"/>
        </w:rPr>
      </w:pPr>
      <w:r>
        <w:t>GRN080: Independent and Flourishing Arts</w:t>
      </w:r>
      <w:r>
        <w:rPr>
          <w:webHidden/>
        </w:rPr>
        <w:tab/>
        <w:t>808</w:t>
      </w:r>
    </w:p>
    <w:p w:rsidR="00EC3910" w:rsidRDefault="00EC3910">
      <w:pPr>
        <w:pStyle w:val="TOC4"/>
        <w:rPr>
          <w:rFonts w:eastAsiaTheme="minorEastAsia"/>
          <w:lang w:eastAsia="en-AU"/>
        </w:rPr>
      </w:pPr>
      <w:r>
        <w:t>GRN081: Alcohol and Drug Treatment</w:t>
      </w:r>
      <w:r>
        <w:rPr>
          <w:webHidden/>
        </w:rPr>
        <w:tab/>
        <w:t>812</w:t>
      </w:r>
    </w:p>
    <w:p w:rsidR="00EC3910" w:rsidRDefault="00EC3910">
      <w:pPr>
        <w:pStyle w:val="TOC4"/>
        <w:rPr>
          <w:rFonts w:eastAsiaTheme="minorEastAsia"/>
          <w:lang w:eastAsia="en-AU"/>
        </w:rPr>
      </w:pPr>
      <w:r>
        <w:t>GRN083: Hospital Funding We Deserve</w:t>
      </w:r>
      <w:r>
        <w:rPr>
          <w:webHidden/>
        </w:rPr>
        <w:tab/>
        <w:t>815</w:t>
      </w:r>
    </w:p>
    <w:p w:rsidR="00EC3910" w:rsidRDefault="00EC3910">
      <w:pPr>
        <w:pStyle w:val="TOC4"/>
        <w:rPr>
          <w:rFonts w:eastAsiaTheme="minorEastAsia"/>
          <w:lang w:eastAsia="en-AU"/>
        </w:rPr>
      </w:pPr>
      <w:r>
        <w:t>GRN084: Tackling Obesity - Sugar Sweetened Beverages</w:t>
      </w:r>
      <w:r>
        <w:rPr>
          <w:webHidden/>
        </w:rPr>
        <w:tab/>
        <w:t>819</w:t>
      </w:r>
    </w:p>
    <w:p w:rsidR="00EC3910" w:rsidRDefault="00EC3910">
      <w:pPr>
        <w:pStyle w:val="TOC4"/>
        <w:rPr>
          <w:rFonts w:eastAsiaTheme="minorEastAsia"/>
          <w:lang w:eastAsia="en-AU"/>
        </w:rPr>
      </w:pPr>
      <w:r>
        <w:t>GRN085: Safe Schools Coalition Australia</w:t>
      </w:r>
      <w:r>
        <w:rPr>
          <w:webHidden/>
        </w:rPr>
        <w:tab/>
        <w:t>824</w:t>
      </w:r>
    </w:p>
    <w:p w:rsidR="00EC3910" w:rsidRDefault="00EC3910">
      <w:pPr>
        <w:pStyle w:val="TOC4"/>
        <w:rPr>
          <w:rFonts w:eastAsiaTheme="minorEastAsia"/>
          <w:lang w:eastAsia="en-AU"/>
        </w:rPr>
      </w:pPr>
      <w:r>
        <w:t>GRN086: Sustainable Water Institute</w:t>
      </w:r>
      <w:r>
        <w:rPr>
          <w:webHidden/>
        </w:rPr>
        <w:tab/>
        <w:t>827</w:t>
      </w:r>
    </w:p>
    <w:p w:rsidR="00EC3910" w:rsidRDefault="00EC3910">
      <w:pPr>
        <w:pStyle w:val="TOC4"/>
        <w:rPr>
          <w:rFonts w:eastAsiaTheme="minorEastAsia"/>
          <w:lang w:eastAsia="en-AU"/>
        </w:rPr>
      </w:pPr>
      <w:r>
        <w:t>GRN087: Community Infrastructure Fund</w:t>
      </w:r>
      <w:r>
        <w:rPr>
          <w:webHidden/>
        </w:rPr>
        <w:tab/>
        <w:t>830</w:t>
      </w:r>
    </w:p>
    <w:p w:rsidR="00EC3910" w:rsidRDefault="00EC3910">
      <w:pPr>
        <w:pStyle w:val="TOC4"/>
        <w:rPr>
          <w:rFonts w:eastAsiaTheme="minorEastAsia"/>
          <w:lang w:eastAsia="en-AU"/>
        </w:rPr>
      </w:pPr>
      <w:r>
        <w:t>GRN088: Infrastructure Bank: Financing the new economy</w:t>
      </w:r>
      <w:r>
        <w:rPr>
          <w:webHidden/>
        </w:rPr>
        <w:tab/>
        <w:t>833</w:t>
      </w:r>
    </w:p>
    <w:p w:rsidR="00EC3910" w:rsidRDefault="00EC3910">
      <w:pPr>
        <w:pStyle w:val="TOC4"/>
        <w:rPr>
          <w:rFonts w:eastAsiaTheme="minorEastAsia"/>
          <w:lang w:eastAsia="en-AU"/>
        </w:rPr>
      </w:pPr>
      <w:r>
        <w:t>GRN090: Putting a price back on pollution</w:t>
      </w:r>
      <w:r>
        <w:rPr>
          <w:webHidden/>
        </w:rPr>
        <w:tab/>
        <w:t>850</w:t>
      </w:r>
    </w:p>
    <w:p w:rsidR="00EC3910" w:rsidRDefault="00EC3910">
      <w:pPr>
        <w:pStyle w:val="TOC4"/>
        <w:rPr>
          <w:rFonts w:eastAsiaTheme="minorEastAsia"/>
          <w:lang w:eastAsia="en-AU"/>
        </w:rPr>
      </w:pPr>
      <w:r>
        <w:t>GRN091: End Emissions Reduction Fund &amp; Wind Farm Commissioner</w:t>
      </w:r>
      <w:r>
        <w:rPr>
          <w:webHidden/>
        </w:rPr>
        <w:tab/>
        <w:t>858</w:t>
      </w:r>
    </w:p>
    <w:p w:rsidR="00EC3910" w:rsidRDefault="00EC3910">
      <w:pPr>
        <w:pStyle w:val="TOC4"/>
        <w:rPr>
          <w:rFonts w:eastAsiaTheme="minorEastAsia"/>
          <w:lang w:eastAsia="en-AU"/>
        </w:rPr>
      </w:pPr>
      <w:r>
        <w:t>GRN092: Coal Export Levy</w:t>
      </w:r>
      <w:r>
        <w:rPr>
          <w:webHidden/>
        </w:rPr>
        <w:tab/>
        <w:t>862</w:t>
      </w:r>
    </w:p>
    <w:p w:rsidR="00EC3910" w:rsidRDefault="00EC3910">
      <w:pPr>
        <w:pStyle w:val="TOC4"/>
        <w:rPr>
          <w:rFonts w:eastAsiaTheme="minorEastAsia"/>
          <w:lang w:eastAsia="en-AU"/>
        </w:rPr>
      </w:pPr>
      <w:r>
        <w:t>GRN093: Climate Finance for Developing Nations</w:t>
      </w:r>
      <w:r>
        <w:rPr>
          <w:webHidden/>
        </w:rPr>
        <w:tab/>
        <w:t>865</w:t>
      </w:r>
    </w:p>
    <w:p w:rsidR="00EC3910" w:rsidRDefault="00EC3910">
      <w:pPr>
        <w:pStyle w:val="TOC4"/>
        <w:rPr>
          <w:rFonts w:eastAsiaTheme="minorEastAsia"/>
          <w:lang w:eastAsia="en-AU"/>
        </w:rPr>
      </w:pPr>
      <w:r>
        <w:t>GRN094: Phase Out CGT discount and Negative Gearing</w:t>
      </w:r>
      <w:r>
        <w:rPr>
          <w:webHidden/>
        </w:rPr>
        <w:tab/>
        <w:t>868</w:t>
      </w:r>
    </w:p>
    <w:p w:rsidR="00EC3910" w:rsidRDefault="00EC3910">
      <w:pPr>
        <w:pStyle w:val="TOC4"/>
        <w:rPr>
          <w:rFonts w:eastAsiaTheme="minorEastAsia"/>
          <w:lang w:eastAsia="en-AU"/>
        </w:rPr>
      </w:pPr>
      <w:r>
        <w:t>GRN095: Ending FEE-HELP to for-profit providers</w:t>
      </w:r>
      <w:r>
        <w:rPr>
          <w:webHidden/>
        </w:rPr>
        <w:tab/>
        <w:t>874</w:t>
      </w:r>
    </w:p>
    <w:p w:rsidR="00EC3910" w:rsidRDefault="00EC3910">
      <w:pPr>
        <w:pStyle w:val="TOC4"/>
        <w:rPr>
          <w:rFonts w:eastAsiaTheme="minorEastAsia"/>
          <w:lang w:eastAsia="en-AU"/>
        </w:rPr>
      </w:pPr>
      <w:r>
        <w:t>GRN096: Paid Parental Leave</w:t>
      </w:r>
      <w:r>
        <w:rPr>
          <w:webHidden/>
        </w:rPr>
        <w:tab/>
        <w:t>879</w:t>
      </w:r>
    </w:p>
    <w:p w:rsidR="00EC3910" w:rsidRDefault="00EC3910">
      <w:pPr>
        <w:pStyle w:val="TOC4"/>
        <w:rPr>
          <w:rFonts w:eastAsiaTheme="minorEastAsia"/>
          <w:lang w:eastAsia="en-AU"/>
        </w:rPr>
      </w:pPr>
      <w:r>
        <w:t>GRN097: Luxury Lifestyles Tax Rate</w:t>
      </w:r>
      <w:r>
        <w:rPr>
          <w:webHidden/>
        </w:rPr>
        <w:tab/>
        <w:t>883</w:t>
      </w:r>
    </w:p>
    <w:p w:rsidR="00EC3910" w:rsidRDefault="00EC3910">
      <w:pPr>
        <w:pStyle w:val="TOC4"/>
        <w:rPr>
          <w:rFonts w:eastAsiaTheme="minorEastAsia"/>
          <w:lang w:eastAsia="en-AU"/>
        </w:rPr>
      </w:pPr>
      <w:r>
        <w:t>GRN098: Not the time for company tax cuts</w:t>
      </w:r>
      <w:r>
        <w:rPr>
          <w:webHidden/>
        </w:rPr>
        <w:tab/>
        <w:t>885</w:t>
      </w:r>
    </w:p>
    <w:p w:rsidR="00EC3910" w:rsidRDefault="00EC3910">
      <w:pPr>
        <w:pStyle w:val="TOC4"/>
        <w:rPr>
          <w:rFonts w:eastAsiaTheme="minorEastAsia"/>
          <w:lang w:eastAsia="en-AU"/>
        </w:rPr>
      </w:pPr>
      <w:r>
        <w:t>GRN099: Restoring Family Tax Benefit Cuts</w:t>
      </w:r>
      <w:r>
        <w:rPr>
          <w:webHidden/>
        </w:rPr>
        <w:tab/>
        <w:t>889</w:t>
      </w:r>
    </w:p>
    <w:p w:rsidR="00EC3910" w:rsidRDefault="00EC3910">
      <w:pPr>
        <w:pStyle w:val="TOC4"/>
        <w:rPr>
          <w:rFonts w:eastAsiaTheme="minorEastAsia"/>
          <w:lang w:eastAsia="en-AU"/>
        </w:rPr>
      </w:pPr>
      <w:r>
        <w:t>GRN100: Reversing Harsh and Harmful Budget Measures</w:t>
      </w:r>
      <w:r>
        <w:rPr>
          <w:webHidden/>
        </w:rPr>
        <w:tab/>
        <w:t>895</w:t>
      </w:r>
    </w:p>
    <w:p w:rsidR="00EC3910" w:rsidRDefault="00EC3910">
      <w:pPr>
        <w:pStyle w:val="TOC4"/>
        <w:rPr>
          <w:rFonts w:eastAsiaTheme="minorEastAsia"/>
          <w:lang w:eastAsia="en-AU"/>
        </w:rPr>
      </w:pPr>
      <w:r>
        <w:t>GRN101: Nuclear veterans - atomic survivors healthcare card</w:t>
      </w:r>
      <w:r>
        <w:rPr>
          <w:webHidden/>
        </w:rPr>
        <w:tab/>
        <w:t>919</w:t>
      </w:r>
    </w:p>
    <w:p w:rsidR="00EC3910" w:rsidRDefault="00EC3910">
      <w:pPr>
        <w:pStyle w:val="TOC4"/>
        <w:rPr>
          <w:rFonts w:eastAsiaTheme="minorEastAsia"/>
          <w:lang w:eastAsia="en-AU"/>
        </w:rPr>
      </w:pPr>
      <w:r>
        <w:t>GRN102: Nuclear waste</w:t>
      </w:r>
      <w:r>
        <w:rPr>
          <w:webHidden/>
        </w:rPr>
        <w:tab/>
        <w:t>922</w:t>
      </w:r>
    </w:p>
    <w:p w:rsidR="00EC3910" w:rsidRDefault="00EC3910">
      <w:pPr>
        <w:pStyle w:val="TOC4"/>
        <w:rPr>
          <w:rFonts w:eastAsiaTheme="minorEastAsia"/>
          <w:lang w:eastAsia="en-AU"/>
        </w:rPr>
      </w:pPr>
      <w:r>
        <w:t>GRN103: Innovation nation - Set up an Innovation Commissioner</w:t>
      </w:r>
      <w:r>
        <w:rPr>
          <w:webHidden/>
        </w:rPr>
        <w:tab/>
        <w:t>926</w:t>
      </w:r>
    </w:p>
    <w:p w:rsidR="00EC3910" w:rsidRDefault="00EC3910">
      <w:pPr>
        <w:pStyle w:val="TOC4"/>
        <w:rPr>
          <w:rFonts w:eastAsiaTheme="minorEastAsia"/>
          <w:lang w:eastAsia="en-AU"/>
        </w:rPr>
      </w:pPr>
      <w:r>
        <w:t>GRN104: Homelessness Services Action Plan</w:t>
      </w:r>
      <w:r>
        <w:rPr>
          <w:webHidden/>
        </w:rPr>
        <w:tab/>
        <w:t>928</w:t>
      </w:r>
    </w:p>
    <w:p w:rsidR="00EC3910" w:rsidRDefault="00EC3910">
      <w:pPr>
        <w:pStyle w:val="TOC4"/>
        <w:rPr>
          <w:rFonts w:eastAsiaTheme="minorEastAsia"/>
          <w:lang w:eastAsia="en-AU"/>
        </w:rPr>
      </w:pPr>
      <w:r>
        <w:t>GRN105: Protecting our Precious Places - restoration of funding for the Commonwealth Environmental Water Holder</w:t>
      </w:r>
      <w:r>
        <w:rPr>
          <w:webHidden/>
        </w:rPr>
        <w:tab/>
        <w:t>931</w:t>
      </w:r>
    </w:p>
    <w:p w:rsidR="00EC3910" w:rsidRDefault="00EC3910">
      <w:pPr>
        <w:pStyle w:val="TOC4"/>
        <w:rPr>
          <w:rFonts w:eastAsiaTheme="minorEastAsia"/>
          <w:lang w:eastAsia="en-AU"/>
        </w:rPr>
      </w:pPr>
      <w:r>
        <w:t>GRN106: Protecting the Great Barrier Reef - doubling existing emergency response preparedness fund for oil spills and other pollution</w:t>
      </w:r>
      <w:r>
        <w:rPr>
          <w:webHidden/>
        </w:rPr>
        <w:tab/>
        <w:t>933</w:t>
      </w:r>
    </w:p>
    <w:p w:rsidR="00D85B17" w:rsidRDefault="00EC3910" w:rsidP="00AF49FE">
      <w:pPr>
        <w:pStyle w:val="TOC4"/>
      </w:pPr>
      <w:r>
        <w:rPr>
          <w:rFonts w:cs="Times New Roman"/>
          <w:noProof w:val="0"/>
          <w:spacing w:val="-1"/>
        </w:rPr>
        <w:fldChar w:fldCharType="end"/>
      </w:r>
    </w:p>
    <w:p w:rsidR="00E915E6" w:rsidRDefault="00E915E6">
      <w:pPr>
        <w:sectPr w:rsidR="00E915E6" w:rsidSect="00C41E04">
          <w:headerReference w:type="even" r:id="rId9"/>
          <w:headerReference w:type="default" r:id="rId10"/>
          <w:footerReference w:type="even" r:id="rId11"/>
          <w:footerReference w:type="default" r:id="rId12"/>
          <w:headerReference w:type="first" r:id="rId13"/>
          <w:pgSz w:w="11907" w:h="16839" w:code="9"/>
          <w:pgMar w:top="1361" w:right="1797" w:bottom="1474" w:left="1797" w:header="283" w:footer="454" w:gutter="0"/>
          <w:pgNumType w:start="443"/>
          <w:cols w:space="708"/>
          <w:docGrid w:linePitch="360"/>
        </w:sectPr>
      </w:pPr>
    </w:p>
    <w:p w:rsidR="00F8300C" w:rsidRPr="0093173A" w:rsidRDefault="00F8300C" w:rsidP="007A4BF9">
      <w:pPr>
        <w:pStyle w:val="Heading5"/>
        <w:rPr>
          <w:rFonts w:eastAsia="Times New Roman"/>
        </w:rPr>
      </w:pPr>
      <w:bookmarkStart w:id="2" w:name="_Toc455655053"/>
      <w:bookmarkStart w:id="3" w:name="_Toc456766784"/>
      <w:bookmarkStart w:id="4" w:name="_Toc457819878"/>
      <w:bookmarkStart w:id="5" w:name="_Toc458015768"/>
      <w:bookmarkStart w:id="6" w:name="_Toc458090607"/>
      <w:r w:rsidRPr="0093173A">
        <w:rPr>
          <w:rFonts w:eastAsia="Times New Roman"/>
        </w:rPr>
        <w:lastRenderedPageBreak/>
        <w:t>GRN001: A Progressive Superannuation System</w:t>
      </w:r>
      <w:bookmarkEnd w:id="2"/>
      <w:bookmarkEnd w:id="3"/>
      <w:bookmarkEnd w:id="4"/>
      <w:bookmarkEnd w:id="5"/>
      <w:bookmarkEnd w:id="6"/>
    </w:p>
    <w:p w:rsidR="00F8300C" w:rsidRDefault="00F8300C" w:rsidP="007A4BF9">
      <w:pPr>
        <w:pStyle w:val="BodyText"/>
      </w:pPr>
      <w:r w:rsidRPr="0093173A">
        <w:rPr>
          <w:noProof/>
          <w:lang w:eastAsia="en-AU"/>
        </w:rPr>
        <w:drawing>
          <wp:inline distT="0" distB="0" distL="0" distR="0" wp14:anchorId="35C7F2C8" wp14:editId="52B9BEF8">
            <wp:extent cx="2696845" cy="572135"/>
            <wp:effectExtent l="0" t="0" r="8255" b="0"/>
            <wp:docPr id="1" name="Picture 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F8300C" w:rsidRDefault="00F8300C" w:rsidP="007A4BF9">
      <w:pPr>
        <w:pStyle w:val="Heading6"/>
      </w:pPr>
      <w:r w:rsidRPr="0093173A">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F8300C" w:rsidRPr="006804CA" w:rsidTr="005B2F0D">
        <w:trPr>
          <w:cnfStyle w:val="100000000000" w:firstRow="1" w:lastRow="0" w:firstColumn="0" w:lastColumn="0" w:oddVBand="0" w:evenVBand="0" w:oddHBand="0" w:evenHBand="0" w:firstRowFirstColumn="0" w:firstRowLastColumn="0" w:lastRowFirstColumn="0" w:lastRowLastColumn="0"/>
        </w:trPr>
        <w:tc>
          <w:tcPr>
            <w:tcW w:w="3005" w:type="dxa"/>
          </w:tcPr>
          <w:p w:rsidR="00F8300C" w:rsidRPr="00AF49FE" w:rsidRDefault="00F8300C" w:rsidP="00AF49FE">
            <w:pPr>
              <w:pStyle w:val="PullOutBoxHeading"/>
              <w:rPr>
                <w:b/>
                <w:sz w:val="22"/>
              </w:rPr>
            </w:pPr>
            <w:r w:rsidRPr="00AF49FE">
              <w:rPr>
                <w:b/>
                <w:sz w:val="22"/>
              </w:rPr>
              <w:t>Name of proposal:</w:t>
            </w:r>
          </w:p>
        </w:tc>
        <w:tc>
          <w:tcPr>
            <w:tcW w:w="5335" w:type="dxa"/>
          </w:tcPr>
          <w:p w:rsidR="00F8300C" w:rsidRPr="00AF49FE" w:rsidRDefault="00F8300C" w:rsidP="00AF49FE">
            <w:pPr>
              <w:pStyle w:val="PullOutBoxHeading"/>
              <w:rPr>
                <w:b/>
                <w:sz w:val="22"/>
              </w:rPr>
            </w:pPr>
            <w:r w:rsidRPr="00AF49FE">
              <w:rPr>
                <w:b/>
                <w:sz w:val="22"/>
              </w:rPr>
              <w:t>A progressive superannuation system</w:t>
            </w:r>
          </w:p>
        </w:tc>
      </w:tr>
      <w:tr w:rsidR="00F8300C" w:rsidRPr="0093173A" w:rsidTr="005B2F0D">
        <w:tc>
          <w:tcPr>
            <w:tcW w:w="3005" w:type="dxa"/>
          </w:tcPr>
          <w:p w:rsidR="00F8300C" w:rsidRPr="0093173A" w:rsidRDefault="00F8300C" w:rsidP="00AF49FE">
            <w:pPr>
              <w:pStyle w:val="PullOutBoxBodyText"/>
            </w:pPr>
            <w:r w:rsidRPr="0093173A">
              <w:t>Summary of proposal:</w:t>
            </w:r>
          </w:p>
        </w:tc>
        <w:tc>
          <w:tcPr>
            <w:tcW w:w="5335" w:type="dxa"/>
          </w:tcPr>
          <w:p w:rsidR="00F8300C" w:rsidRPr="0093173A" w:rsidRDefault="00F8300C" w:rsidP="00AF49FE">
            <w:pPr>
              <w:pStyle w:val="PullOutBoxBodyText"/>
            </w:pPr>
            <w:r w:rsidRPr="0093173A">
              <w:t>The proposal would apply progressive tax rates on superannuation contributions with a 15 per cent co</w:t>
            </w:r>
            <w:r w:rsidRPr="0093173A">
              <w:noBreakHyphen/>
              <w:t>contribution for those with total income less than the tax</w:t>
            </w:r>
            <w:r w:rsidRPr="0093173A">
              <w:noBreakHyphen/>
              <w:t>free threshold (currently $18,200).</w:t>
            </w:r>
          </w:p>
          <w:p w:rsidR="00F8300C" w:rsidRPr="0093173A" w:rsidRDefault="00F8300C" w:rsidP="00AF49FE">
            <w:pPr>
              <w:pStyle w:val="PullOutBoxBodyText"/>
            </w:pPr>
            <w:r w:rsidRPr="0093173A">
              <w:t xml:space="preserve">The full detail of the proposal is provided at </w:t>
            </w:r>
            <w:r w:rsidRPr="0093173A">
              <w:rPr>
                <w:u w:val="single"/>
              </w:rPr>
              <w:t>Attachment A</w:t>
            </w:r>
            <w:r w:rsidRPr="0093173A">
              <w:t>.</w:t>
            </w:r>
          </w:p>
          <w:p w:rsidR="00F8300C" w:rsidRPr="0093173A" w:rsidRDefault="00F8300C" w:rsidP="00AF49FE">
            <w:pPr>
              <w:pStyle w:val="PullOutBoxBodyText"/>
            </w:pPr>
            <w:r w:rsidRPr="0093173A">
              <w:t>The proposal would have effect from 1 July 2016.</w:t>
            </w:r>
          </w:p>
        </w:tc>
      </w:tr>
      <w:tr w:rsidR="00F8300C" w:rsidRPr="0093173A" w:rsidTr="005B2F0D">
        <w:tc>
          <w:tcPr>
            <w:tcW w:w="3005" w:type="dxa"/>
          </w:tcPr>
          <w:p w:rsidR="00F8300C" w:rsidRPr="0093173A" w:rsidRDefault="00F8300C" w:rsidP="00AF49FE">
            <w:pPr>
              <w:pStyle w:val="PullOutBoxBodyText"/>
            </w:pPr>
            <w:r w:rsidRPr="0093173A">
              <w:t>Person/party requesting costing:</w:t>
            </w:r>
          </w:p>
        </w:tc>
        <w:tc>
          <w:tcPr>
            <w:tcW w:w="5335" w:type="dxa"/>
          </w:tcPr>
          <w:p w:rsidR="00F8300C" w:rsidRPr="0093173A" w:rsidRDefault="00F8300C" w:rsidP="00AF49FE">
            <w:pPr>
              <w:pStyle w:val="PullOutBoxBodyText"/>
            </w:pPr>
            <w:r w:rsidRPr="0093173A">
              <w:t>Senator Richard Di Natale, Australian Greens</w:t>
            </w:r>
          </w:p>
        </w:tc>
      </w:tr>
      <w:tr w:rsidR="00F8300C" w:rsidRPr="0093173A" w:rsidTr="005B2F0D">
        <w:tc>
          <w:tcPr>
            <w:tcW w:w="3005" w:type="dxa"/>
          </w:tcPr>
          <w:p w:rsidR="00F8300C" w:rsidRPr="0093173A" w:rsidRDefault="00F8300C" w:rsidP="00AF49FE">
            <w:pPr>
              <w:pStyle w:val="PullOutBoxBodyText"/>
            </w:pPr>
            <w:r w:rsidRPr="0093173A">
              <w:t>Date of public release of policy:</w:t>
            </w:r>
          </w:p>
        </w:tc>
        <w:tc>
          <w:tcPr>
            <w:tcW w:w="5335" w:type="dxa"/>
          </w:tcPr>
          <w:p w:rsidR="00F8300C" w:rsidRPr="0093173A" w:rsidRDefault="00F8300C" w:rsidP="00AF49FE">
            <w:pPr>
              <w:pStyle w:val="PullOutBoxBodyText"/>
            </w:pPr>
            <w:r w:rsidRPr="0093173A">
              <w:t>1 June 2016</w:t>
            </w:r>
          </w:p>
          <w:p w:rsidR="00F8300C" w:rsidRPr="0093173A" w:rsidRDefault="00E46526" w:rsidP="00AF49FE">
            <w:pPr>
              <w:pStyle w:val="PullOutBoxBodyText"/>
            </w:pPr>
            <w:hyperlink r:id="rId15" w:history="1">
              <w:r w:rsidR="00F8300C" w:rsidRPr="0093173A">
                <w:rPr>
                  <w:color w:val="000000" w:themeColor="hyperlink"/>
                  <w:u w:val="single"/>
                </w:rPr>
                <w:t>http://greens.org.au/progressive-superannuation</w:t>
              </w:r>
            </w:hyperlink>
          </w:p>
        </w:tc>
      </w:tr>
      <w:tr w:rsidR="00F8300C" w:rsidRPr="0093173A" w:rsidTr="005B2F0D">
        <w:tc>
          <w:tcPr>
            <w:tcW w:w="3005" w:type="dxa"/>
          </w:tcPr>
          <w:p w:rsidR="00F8300C" w:rsidRPr="0093173A" w:rsidRDefault="00F8300C" w:rsidP="00AF49FE">
            <w:pPr>
              <w:pStyle w:val="PullOutBoxBodyText"/>
            </w:pPr>
            <w:r w:rsidRPr="0093173A">
              <w:t>Date costing request received:</w:t>
            </w:r>
          </w:p>
        </w:tc>
        <w:tc>
          <w:tcPr>
            <w:tcW w:w="5335" w:type="dxa"/>
          </w:tcPr>
          <w:p w:rsidR="00F8300C" w:rsidRPr="0093173A" w:rsidRDefault="00F8300C" w:rsidP="00AF49FE">
            <w:pPr>
              <w:pStyle w:val="PullOutBoxBodyText"/>
            </w:pPr>
            <w:r w:rsidRPr="0093173A">
              <w:t>23 June 2016</w:t>
            </w:r>
          </w:p>
        </w:tc>
      </w:tr>
      <w:tr w:rsidR="00F8300C" w:rsidRPr="0093173A" w:rsidTr="005B2F0D">
        <w:tc>
          <w:tcPr>
            <w:tcW w:w="3005" w:type="dxa"/>
          </w:tcPr>
          <w:p w:rsidR="00F8300C" w:rsidRPr="0093173A" w:rsidRDefault="00F8300C" w:rsidP="00AF49FE">
            <w:pPr>
              <w:pStyle w:val="PullOutBoxBodyText"/>
            </w:pPr>
            <w:r w:rsidRPr="0093173A">
              <w:t>Date costing completed</w:t>
            </w:r>
          </w:p>
        </w:tc>
        <w:tc>
          <w:tcPr>
            <w:tcW w:w="5335" w:type="dxa"/>
          </w:tcPr>
          <w:p w:rsidR="00F8300C" w:rsidRPr="0093173A" w:rsidRDefault="00F8300C" w:rsidP="00AF49FE">
            <w:pPr>
              <w:pStyle w:val="PullOutBoxBodyText"/>
            </w:pPr>
            <w:r w:rsidRPr="0093173A">
              <w:t>24 June 2016</w:t>
            </w:r>
          </w:p>
        </w:tc>
      </w:tr>
      <w:tr w:rsidR="00F8300C" w:rsidRPr="0093173A" w:rsidTr="005B2F0D">
        <w:tc>
          <w:tcPr>
            <w:tcW w:w="3005" w:type="dxa"/>
          </w:tcPr>
          <w:p w:rsidR="00F8300C" w:rsidRPr="0093173A" w:rsidRDefault="00F8300C" w:rsidP="00AF49FE">
            <w:pPr>
              <w:pStyle w:val="PullOutBoxBodyText"/>
            </w:pPr>
            <w:r w:rsidRPr="0093173A">
              <w:t>Additional information received (including date):</w:t>
            </w:r>
          </w:p>
        </w:tc>
        <w:tc>
          <w:tcPr>
            <w:tcW w:w="5335" w:type="dxa"/>
          </w:tcPr>
          <w:p w:rsidR="00F8300C" w:rsidRPr="0093173A" w:rsidRDefault="00F8300C" w:rsidP="00AF49FE">
            <w:pPr>
              <w:pStyle w:val="PullOutBoxBodyText"/>
            </w:pPr>
            <w:r w:rsidRPr="0093173A">
              <w:t>On 23 June 2016, the office of Senator Di Natale advised that the:</w:t>
            </w:r>
          </w:p>
          <w:p w:rsidR="00F8300C" w:rsidRPr="0093173A" w:rsidRDefault="00F8300C" w:rsidP="00AF49FE">
            <w:pPr>
              <w:pStyle w:val="PullOutBoxBullet"/>
              <w:rPr>
                <w:lang w:eastAsia="en-AU"/>
              </w:rPr>
            </w:pPr>
            <w:r w:rsidRPr="0093173A">
              <w:rPr>
                <w:lang w:eastAsia="en-AU"/>
              </w:rPr>
              <w:t xml:space="preserve">start date would be 1 July 2016 </w:t>
            </w:r>
          </w:p>
          <w:p w:rsidR="00F8300C" w:rsidRPr="0093173A" w:rsidRDefault="00F8300C" w:rsidP="00AF49FE">
            <w:pPr>
              <w:pStyle w:val="PullOutBoxBullet"/>
              <w:rPr>
                <w:lang w:eastAsia="en-AU"/>
              </w:rPr>
            </w:pPr>
            <w:r w:rsidRPr="0093173A">
              <w:rPr>
                <w:lang w:eastAsia="en-AU"/>
              </w:rPr>
              <w:t>changes would not apply to members of unfunded defined benefits superannuation schemes</w:t>
            </w:r>
          </w:p>
          <w:p w:rsidR="00F8300C" w:rsidRPr="0093173A" w:rsidRDefault="00F8300C" w:rsidP="00AF49FE">
            <w:pPr>
              <w:pStyle w:val="PullOutBoxBullet"/>
              <w:rPr>
                <w:lang w:eastAsia="en-AU"/>
              </w:rPr>
            </w:pPr>
            <w:r w:rsidRPr="0093173A">
              <w:rPr>
                <w:lang w:eastAsia="en-AU"/>
              </w:rPr>
              <w:t xml:space="preserve">income definitions would be as set out in </w:t>
            </w:r>
            <w:r w:rsidRPr="0093173A">
              <w:rPr>
                <w:u w:val="single"/>
                <w:lang w:eastAsia="en-AU"/>
              </w:rPr>
              <w:t>Attachment A</w:t>
            </w:r>
            <w:r w:rsidRPr="0093173A">
              <w:rPr>
                <w:lang w:eastAsia="en-AU"/>
              </w:rPr>
              <w:t>.</w:t>
            </w:r>
          </w:p>
        </w:tc>
      </w:tr>
      <w:tr w:rsidR="00F8300C" w:rsidRPr="0093173A" w:rsidTr="005B2F0D">
        <w:tc>
          <w:tcPr>
            <w:tcW w:w="3005" w:type="dxa"/>
          </w:tcPr>
          <w:p w:rsidR="00F8300C" w:rsidRPr="0093173A" w:rsidRDefault="00F8300C" w:rsidP="00AF49FE">
            <w:pPr>
              <w:pStyle w:val="PullOutBoxBodyText"/>
            </w:pPr>
            <w:r w:rsidRPr="0093173A">
              <w:t>Expiry date for the costing:</w:t>
            </w:r>
          </w:p>
        </w:tc>
        <w:tc>
          <w:tcPr>
            <w:tcW w:w="5335" w:type="dxa"/>
          </w:tcPr>
          <w:p w:rsidR="00F8300C" w:rsidRPr="0093173A" w:rsidRDefault="00F8300C" w:rsidP="00AF49FE">
            <w:pPr>
              <w:pStyle w:val="PullOutBoxBodyText"/>
            </w:pPr>
            <w:r w:rsidRPr="0093173A">
              <w:t>Release of the next economic and fiscal outlook report</w:t>
            </w:r>
          </w:p>
        </w:tc>
      </w:tr>
    </w:tbl>
    <w:p w:rsidR="00F8300C" w:rsidRDefault="00F8300C" w:rsidP="004D6BCC">
      <w:pPr>
        <w:pStyle w:val="CostingsH7"/>
      </w:pPr>
      <w:r w:rsidRPr="0093173A">
        <w:lastRenderedPageBreak/>
        <w:t>Costing overview</w:t>
      </w:r>
    </w:p>
    <w:p w:rsidR="00F8300C" w:rsidRPr="0093173A" w:rsidRDefault="00F8300C" w:rsidP="004D6BCC">
      <w:pPr>
        <w:pStyle w:val="BodyText"/>
        <w:keepNext/>
        <w:keepLines/>
      </w:pPr>
      <w:r w:rsidRPr="0093173A">
        <w:t>This proposal would be expected to increase the fiscal balance by $10,850 million and increase the underlying cash balance by $11,070 million over the 2016</w:t>
      </w:r>
      <w:r w:rsidRPr="0093173A">
        <w:noBreakHyphen/>
        <w:t xml:space="preserve">17 Budget forward estimates period.  On a fiscal balance basis, the impact reflects an increase in revenue of $10,100 million, a decrease in administered expenditure of $850 million and an increase in departmental expenditure of $100 million over this period.  </w:t>
      </w:r>
    </w:p>
    <w:p w:rsidR="00F8300C" w:rsidRPr="0093173A" w:rsidRDefault="00F8300C" w:rsidP="004D3A49">
      <w:pPr>
        <w:pStyle w:val="BodyText"/>
      </w:pPr>
      <w:r w:rsidRPr="0093173A">
        <w:t>The fiscal balance impact of this proposal differs from the underlying cash</w:t>
      </w:r>
      <w:r w:rsidRPr="0093173A" w:rsidDel="00264B0B">
        <w:t xml:space="preserve"> </w:t>
      </w:r>
      <w:r w:rsidRPr="0093173A">
        <w:t>balance impact due to differences in the timing of accrual and payment of the following tax liabilities/rebates:</w:t>
      </w:r>
    </w:p>
    <w:p w:rsidR="00F8300C" w:rsidRPr="0093173A" w:rsidRDefault="00F8300C" w:rsidP="004D3A49">
      <w:pPr>
        <w:pStyle w:val="ListBullet"/>
        <w:rPr>
          <w:lang w:eastAsia="en-AU"/>
        </w:rPr>
      </w:pPr>
      <w:r w:rsidRPr="0093173A">
        <w:rPr>
          <w:lang w:eastAsia="en-AU"/>
        </w:rPr>
        <w:t>The introduction of the Government superannuation contribution for individuals with total income below $18,200.</w:t>
      </w:r>
    </w:p>
    <w:p w:rsidR="00F8300C" w:rsidRPr="0093173A" w:rsidRDefault="00F8300C" w:rsidP="004D3A49">
      <w:pPr>
        <w:pStyle w:val="ListBullet"/>
        <w:rPr>
          <w:lang w:eastAsia="en-AU"/>
        </w:rPr>
      </w:pPr>
      <w:r w:rsidRPr="0093173A">
        <w:rPr>
          <w:lang w:eastAsia="en-AU"/>
        </w:rPr>
        <w:t>The abolition of the low income superannuation contribution (LISC).</w:t>
      </w:r>
    </w:p>
    <w:p w:rsidR="00F8300C" w:rsidRPr="0093173A" w:rsidRDefault="00F8300C" w:rsidP="004D3A49">
      <w:pPr>
        <w:pStyle w:val="ListBullet"/>
        <w:rPr>
          <w:lang w:eastAsia="en-AU"/>
        </w:rPr>
      </w:pPr>
      <w:r w:rsidRPr="0093173A">
        <w:rPr>
          <w:lang w:eastAsia="en-AU"/>
        </w:rPr>
        <w:t>The abolition of the Division 293 tax on superannuation contributions for high income individuals.</w:t>
      </w:r>
    </w:p>
    <w:p w:rsidR="00F8300C" w:rsidRPr="0093173A" w:rsidRDefault="00F8300C" w:rsidP="00F8300C">
      <w:pPr>
        <w:pStyle w:val="ListBullet"/>
        <w:spacing w:after="114"/>
        <w:rPr>
          <w:lang w:eastAsia="en-AU"/>
        </w:rPr>
      </w:pPr>
      <w:r w:rsidRPr="0093173A">
        <w:rPr>
          <w:lang w:eastAsia="en-AU"/>
        </w:rPr>
        <w:t>The reversal of the 2016</w:t>
      </w:r>
      <w:r w:rsidRPr="0093173A">
        <w:rPr>
          <w:lang w:eastAsia="en-AU"/>
        </w:rPr>
        <w:noBreakHyphen/>
        <w:t xml:space="preserve">17 Budget measure, </w:t>
      </w:r>
      <w:r w:rsidRPr="004D3A49">
        <w:rPr>
          <w:i/>
        </w:rPr>
        <w:t>Superannuation Reform Package - introducing a Low Income Superannuation Tax Offset (LISTO)</w:t>
      </w:r>
      <w:r w:rsidRPr="0093173A">
        <w:rPr>
          <w:lang w:eastAsia="en-AU"/>
        </w:rPr>
        <w:t>.</w:t>
      </w:r>
    </w:p>
    <w:p w:rsidR="00F8300C" w:rsidRPr="0093173A" w:rsidRDefault="00F8300C" w:rsidP="004D3A49">
      <w:pPr>
        <w:pStyle w:val="BodyText"/>
      </w:pPr>
      <w:r w:rsidRPr="0093173A">
        <w:t>The fiscal balance impact of the proposal falls in 2017</w:t>
      </w:r>
      <w:r w:rsidRPr="0093173A">
        <w:noBreakHyphen/>
        <w:t>18, primarily reflecting the abolition of both the LISC and the LISTO.</w:t>
      </w:r>
    </w:p>
    <w:p w:rsidR="00F8300C" w:rsidRPr="0093173A" w:rsidRDefault="00F8300C" w:rsidP="004D3A49">
      <w:pPr>
        <w:pStyle w:val="BodyText"/>
      </w:pPr>
      <w:r w:rsidRPr="0093173A">
        <w:t>The proposal would be expected to increase superannuation contributions tax and personal income tax.</w:t>
      </w:r>
    </w:p>
    <w:p w:rsidR="00F8300C" w:rsidRPr="0093173A" w:rsidRDefault="00F8300C" w:rsidP="004D3A49">
      <w:pPr>
        <w:pStyle w:val="ListBullet"/>
        <w:rPr>
          <w:lang w:eastAsia="en-AU"/>
        </w:rPr>
      </w:pPr>
      <w:r w:rsidRPr="0093173A">
        <w:rPr>
          <w:lang w:eastAsia="en-AU"/>
        </w:rPr>
        <w:t>The introduction of a progressive superannuation contributions tax would be expected to result in an increase in superannuation contributions tax revenue as the majority of concessional contributions would be taxed at a higher or equal rate.</w:t>
      </w:r>
    </w:p>
    <w:p w:rsidR="00F8300C" w:rsidRPr="0093173A" w:rsidRDefault="00F8300C" w:rsidP="004D3A49">
      <w:pPr>
        <w:pStyle w:val="ListBullet"/>
        <w:rPr>
          <w:lang w:eastAsia="en-AU"/>
        </w:rPr>
      </w:pPr>
      <w:r w:rsidRPr="0093173A">
        <w:rPr>
          <w:lang w:eastAsia="en-AU"/>
        </w:rPr>
        <w:t>This would also be expected to increase taxable incomes due to a reduction in voluntary concessional contributions, resulting in increased collections from personal income tax (and less earnings tax in the accumulation phase).</w:t>
      </w:r>
    </w:p>
    <w:p w:rsidR="00F8300C" w:rsidRPr="0093173A" w:rsidRDefault="00F8300C" w:rsidP="004D3A49">
      <w:pPr>
        <w:pStyle w:val="BodyText"/>
      </w:pPr>
      <w:r w:rsidRPr="0093173A">
        <w:t>This costing is considered to be of low to medium reliability.  The costing is largely based on detailed administrative data, but is sensitive to behavioural responses which are uncertain.</w:t>
      </w:r>
    </w:p>
    <w:p w:rsidR="00F8300C" w:rsidRDefault="00F8300C" w:rsidP="00905B06">
      <w:pPr>
        <w:pStyle w:val="Caption"/>
      </w:pPr>
      <w:r w:rsidRPr="0093173A">
        <w:t>Table 1: Financial implications (outturn prices)</w:t>
      </w:r>
      <w:r w:rsidRPr="0093173A">
        <w:rPr>
          <w:vertAlign w:val="superscript"/>
        </w:rPr>
        <w:t>(a)(b)</w:t>
      </w:r>
    </w:p>
    <w:tbl>
      <w:tblPr>
        <w:tblStyle w:val="TableGrid7"/>
        <w:tblW w:w="5113" w:type="pct"/>
        <w:tblInd w:w="0" w:type="dxa"/>
        <w:tblLook w:val="04A0" w:firstRow="1" w:lastRow="0" w:firstColumn="1" w:lastColumn="0" w:noHBand="0" w:noVBand="1"/>
      </w:tblPr>
      <w:tblGrid>
        <w:gridCol w:w="2554"/>
        <w:gridCol w:w="1134"/>
        <w:gridCol w:w="1135"/>
        <w:gridCol w:w="1134"/>
        <w:gridCol w:w="1135"/>
        <w:gridCol w:w="1418"/>
      </w:tblGrid>
      <w:tr w:rsidR="00F8300C" w:rsidTr="00F830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1" w:type="pct"/>
            <w:tcBorders>
              <w:top w:val="single" w:sz="4" w:space="0" w:color="808080"/>
              <w:left w:val="single" w:sz="4" w:space="0" w:color="808080"/>
              <w:bottom w:val="single" w:sz="4" w:space="0" w:color="808080"/>
              <w:right w:val="single" w:sz="4" w:space="0" w:color="808080"/>
            </w:tcBorders>
            <w:hideMark/>
          </w:tcPr>
          <w:p w:rsidR="00F8300C" w:rsidRDefault="00F8300C">
            <w:pPr>
              <w:pStyle w:val="TableText"/>
              <w:keepNext/>
              <w:keepLines/>
              <w:spacing w:beforeAutospacing="0" w:afterAutospacing="0"/>
              <w:ind w:left="57" w:right="57"/>
              <w:rPr>
                <w:rFonts w:ascii="Calibri" w:hAnsi="Calibri"/>
                <w:lang w:eastAsia="en-AU"/>
              </w:rPr>
            </w:pPr>
            <w:r>
              <w:rPr>
                <w:rFonts w:ascii="Calibri" w:hAnsi="Calibri"/>
                <w:lang w:eastAsia="en-AU"/>
              </w:rPr>
              <w:t>Impact on ($m)</w:t>
            </w:r>
          </w:p>
        </w:tc>
        <w:tc>
          <w:tcPr>
            <w:tcW w:w="666" w:type="pct"/>
            <w:tcBorders>
              <w:top w:val="single" w:sz="4" w:space="0" w:color="808080"/>
              <w:left w:val="single" w:sz="4" w:space="0" w:color="808080"/>
              <w:bottom w:val="single" w:sz="4" w:space="0" w:color="808080"/>
              <w:right w:val="single" w:sz="4" w:space="0" w:color="808080"/>
            </w:tcBorders>
            <w:hideMark/>
          </w:tcPr>
          <w:p w:rsidR="00F8300C" w:rsidRDefault="00F8300C">
            <w:pPr>
              <w:keepNext/>
              <w:keepLines/>
              <w:spacing w:before="70" w:beforeAutospacing="0" w:after="70" w:afterAutospacing="0"/>
              <w:ind w:left="57" w:right="57"/>
              <w:cnfStyle w:val="100000000000" w:firstRow="1" w:lastRow="0" w:firstColumn="0" w:lastColumn="0" w:oddVBand="0" w:evenVBand="0" w:oddHBand="0" w:evenHBand="0" w:firstRowFirstColumn="0" w:firstRowLastColumn="0" w:lastRowFirstColumn="0" w:lastRowLastColumn="0"/>
              <w:rPr>
                <w:rFonts w:ascii="Calibri" w:hAnsi="Calibri"/>
                <w:lang w:eastAsia="en-AU"/>
              </w:rPr>
            </w:pPr>
            <w:r>
              <w:rPr>
                <w:rFonts w:ascii="Calibri" w:hAnsi="Calibri"/>
                <w:lang w:eastAsia="en-AU"/>
              </w:rPr>
              <w:t>2016–17</w:t>
            </w:r>
          </w:p>
        </w:tc>
        <w:tc>
          <w:tcPr>
            <w:tcW w:w="667" w:type="pct"/>
            <w:tcBorders>
              <w:top w:val="single" w:sz="4" w:space="0" w:color="808080"/>
              <w:left w:val="single" w:sz="4" w:space="0" w:color="808080"/>
              <w:bottom w:val="single" w:sz="4" w:space="0" w:color="808080"/>
              <w:right w:val="single" w:sz="4" w:space="0" w:color="808080"/>
            </w:tcBorders>
            <w:hideMark/>
          </w:tcPr>
          <w:p w:rsidR="00F8300C" w:rsidRDefault="00F8300C">
            <w:pPr>
              <w:keepNext/>
              <w:keepLines/>
              <w:spacing w:before="70" w:beforeAutospacing="0" w:after="70" w:afterAutospacing="0"/>
              <w:ind w:left="57" w:right="57"/>
              <w:cnfStyle w:val="100000000000" w:firstRow="1" w:lastRow="0" w:firstColumn="0" w:lastColumn="0" w:oddVBand="0" w:evenVBand="0" w:oddHBand="0" w:evenHBand="0" w:firstRowFirstColumn="0" w:firstRowLastColumn="0" w:lastRowFirstColumn="0" w:lastRowLastColumn="0"/>
              <w:rPr>
                <w:rFonts w:ascii="Calibri" w:hAnsi="Calibri"/>
                <w:lang w:eastAsia="en-AU"/>
              </w:rPr>
            </w:pPr>
            <w:r>
              <w:rPr>
                <w:rFonts w:ascii="Calibri" w:hAnsi="Calibri"/>
                <w:lang w:eastAsia="en-AU"/>
              </w:rPr>
              <w:t>2017–18</w:t>
            </w:r>
          </w:p>
        </w:tc>
        <w:tc>
          <w:tcPr>
            <w:tcW w:w="666" w:type="pct"/>
            <w:tcBorders>
              <w:top w:val="single" w:sz="4" w:space="0" w:color="808080"/>
              <w:left w:val="single" w:sz="4" w:space="0" w:color="808080"/>
              <w:bottom w:val="single" w:sz="4" w:space="0" w:color="808080"/>
              <w:right w:val="single" w:sz="4" w:space="0" w:color="808080"/>
            </w:tcBorders>
            <w:hideMark/>
          </w:tcPr>
          <w:p w:rsidR="00F8300C" w:rsidRDefault="00F8300C">
            <w:pPr>
              <w:keepNext/>
              <w:keepLines/>
              <w:spacing w:before="70" w:beforeAutospacing="0" w:after="70" w:afterAutospacing="0"/>
              <w:ind w:left="57" w:right="57"/>
              <w:cnfStyle w:val="100000000000" w:firstRow="1" w:lastRow="0" w:firstColumn="0" w:lastColumn="0" w:oddVBand="0" w:evenVBand="0" w:oddHBand="0" w:evenHBand="0" w:firstRowFirstColumn="0" w:firstRowLastColumn="0" w:lastRowFirstColumn="0" w:lastRowLastColumn="0"/>
              <w:rPr>
                <w:rFonts w:ascii="Calibri" w:hAnsi="Calibri"/>
                <w:lang w:eastAsia="en-AU"/>
              </w:rPr>
            </w:pPr>
            <w:r>
              <w:rPr>
                <w:rFonts w:ascii="Calibri" w:hAnsi="Calibri"/>
                <w:lang w:eastAsia="en-AU"/>
              </w:rPr>
              <w:t>2018–19</w:t>
            </w:r>
          </w:p>
        </w:tc>
        <w:tc>
          <w:tcPr>
            <w:tcW w:w="667" w:type="pct"/>
            <w:tcBorders>
              <w:top w:val="single" w:sz="4" w:space="0" w:color="808080"/>
              <w:left w:val="single" w:sz="4" w:space="0" w:color="808080"/>
              <w:bottom w:val="single" w:sz="4" w:space="0" w:color="808080"/>
              <w:right w:val="single" w:sz="4" w:space="0" w:color="808080"/>
            </w:tcBorders>
            <w:hideMark/>
          </w:tcPr>
          <w:p w:rsidR="00F8300C" w:rsidRDefault="00F8300C">
            <w:pPr>
              <w:keepNext/>
              <w:keepLines/>
              <w:spacing w:before="70" w:beforeAutospacing="0" w:after="70" w:afterAutospacing="0"/>
              <w:ind w:left="57" w:right="57"/>
              <w:cnfStyle w:val="100000000000" w:firstRow="1" w:lastRow="0" w:firstColumn="0" w:lastColumn="0" w:oddVBand="0" w:evenVBand="0" w:oddHBand="0" w:evenHBand="0" w:firstRowFirstColumn="0" w:firstRowLastColumn="0" w:lastRowFirstColumn="0" w:lastRowLastColumn="0"/>
              <w:rPr>
                <w:rFonts w:ascii="Calibri" w:hAnsi="Calibri"/>
                <w:b/>
                <w:lang w:eastAsia="en-AU"/>
              </w:rPr>
            </w:pPr>
            <w:r>
              <w:rPr>
                <w:rFonts w:ascii="Calibri" w:hAnsi="Calibri"/>
                <w:lang w:eastAsia="en-AU"/>
              </w:rPr>
              <w:t>2019–20</w:t>
            </w:r>
          </w:p>
        </w:tc>
        <w:tc>
          <w:tcPr>
            <w:tcW w:w="833" w:type="pct"/>
            <w:tcBorders>
              <w:top w:val="single" w:sz="4" w:space="0" w:color="808080"/>
              <w:left w:val="single" w:sz="4" w:space="0" w:color="808080"/>
              <w:bottom w:val="single" w:sz="4" w:space="0" w:color="808080"/>
              <w:right w:val="single" w:sz="4" w:space="0" w:color="808080"/>
            </w:tcBorders>
            <w:hideMark/>
          </w:tcPr>
          <w:p w:rsidR="00F8300C" w:rsidRDefault="00F8300C">
            <w:pPr>
              <w:keepNext/>
              <w:keepLines/>
              <w:spacing w:before="70" w:beforeAutospacing="0" w:after="70" w:afterAutospacing="0"/>
              <w:ind w:left="57" w:right="57"/>
              <w:cnfStyle w:val="100000000000" w:firstRow="1" w:lastRow="0" w:firstColumn="0" w:lastColumn="0" w:oddVBand="0" w:evenVBand="0" w:oddHBand="0" w:evenHBand="0" w:firstRowFirstColumn="0" w:firstRowLastColumn="0" w:lastRowFirstColumn="0" w:lastRowLastColumn="0"/>
              <w:rPr>
                <w:rFonts w:ascii="Calibri" w:hAnsi="Calibri"/>
                <w:b/>
                <w:lang w:eastAsia="en-AU"/>
              </w:rPr>
            </w:pPr>
            <w:r>
              <w:rPr>
                <w:rFonts w:ascii="Calibri" w:hAnsi="Calibri"/>
                <w:b/>
                <w:lang w:eastAsia="en-AU"/>
              </w:rPr>
              <w:t>Total</w:t>
            </w:r>
          </w:p>
        </w:tc>
      </w:tr>
      <w:tr w:rsidR="00F8300C" w:rsidTr="00F8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pct"/>
            <w:tcBorders>
              <w:top w:val="single" w:sz="4" w:space="0" w:color="808080"/>
              <w:left w:val="single" w:sz="4" w:space="0" w:color="808080"/>
              <w:bottom w:val="single" w:sz="4" w:space="0" w:color="808080"/>
              <w:right w:val="single" w:sz="4" w:space="0" w:color="808080"/>
            </w:tcBorders>
            <w:hideMark/>
          </w:tcPr>
          <w:p w:rsidR="00F8300C" w:rsidRDefault="00F8300C">
            <w:pPr>
              <w:pStyle w:val="TableTextCentred"/>
              <w:keepNext/>
              <w:keepLines/>
              <w:ind w:left="57" w:right="57"/>
              <w:jc w:val="left"/>
            </w:pPr>
            <w:r>
              <w:t>Fiscal balance</w:t>
            </w:r>
          </w:p>
        </w:tc>
        <w:tc>
          <w:tcPr>
            <w:tcW w:w="666" w:type="pct"/>
            <w:tcBorders>
              <w:top w:val="single" w:sz="4" w:space="0" w:color="808080"/>
              <w:left w:val="single" w:sz="4" w:space="0" w:color="808080"/>
              <w:bottom w:val="single" w:sz="4" w:space="0" w:color="808080"/>
              <w:right w:val="single" w:sz="4" w:space="0" w:color="808080"/>
            </w:tcBorders>
            <w:vAlign w:val="bottom"/>
            <w:hideMark/>
          </w:tcPr>
          <w:p w:rsidR="00F8300C" w:rsidRDefault="00F8300C">
            <w:pPr>
              <w:pStyle w:val="TableTextCentred"/>
              <w:ind w:left="57" w:right="57"/>
              <w:jc w:val="right"/>
              <w:cnfStyle w:val="000000100000" w:firstRow="0" w:lastRow="0" w:firstColumn="0" w:lastColumn="0" w:oddVBand="0" w:evenVBand="0" w:oddHBand="1" w:evenHBand="0" w:firstRowFirstColumn="0" w:firstRowLastColumn="0" w:lastRowFirstColumn="0" w:lastRowLastColumn="0"/>
            </w:pPr>
            <w:r>
              <w:rPr>
                <w:color w:val="000000"/>
              </w:rPr>
              <w:t>3,080.0</w:t>
            </w:r>
          </w:p>
        </w:tc>
        <w:tc>
          <w:tcPr>
            <w:tcW w:w="667" w:type="pct"/>
            <w:tcBorders>
              <w:top w:val="single" w:sz="4" w:space="0" w:color="808080"/>
              <w:left w:val="single" w:sz="4" w:space="0" w:color="808080"/>
              <w:bottom w:val="single" w:sz="4" w:space="0" w:color="808080"/>
              <w:right w:val="single" w:sz="4" w:space="0" w:color="808080"/>
            </w:tcBorders>
            <w:vAlign w:val="bottom"/>
            <w:hideMark/>
          </w:tcPr>
          <w:p w:rsidR="00F8300C" w:rsidRDefault="00F8300C">
            <w:pPr>
              <w:pStyle w:val="TableTextCentred"/>
              <w:ind w:left="57" w:right="57"/>
              <w:jc w:val="right"/>
              <w:cnfStyle w:val="000000100000" w:firstRow="0" w:lastRow="0" w:firstColumn="0" w:lastColumn="0" w:oddVBand="0" w:evenVBand="0" w:oddHBand="1" w:evenHBand="0" w:firstRowFirstColumn="0" w:firstRowLastColumn="0" w:lastRowFirstColumn="0" w:lastRowLastColumn="0"/>
            </w:pPr>
            <w:r>
              <w:rPr>
                <w:color w:val="000000"/>
              </w:rPr>
              <w:t>2,450.0</w:t>
            </w:r>
          </w:p>
        </w:tc>
        <w:tc>
          <w:tcPr>
            <w:tcW w:w="666" w:type="pct"/>
            <w:tcBorders>
              <w:top w:val="single" w:sz="4" w:space="0" w:color="808080"/>
              <w:left w:val="single" w:sz="4" w:space="0" w:color="808080"/>
              <w:bottom w:val="single" w:sz="4" w:space="0" w:color="808080"/>
              <w:right w:val="single" w:sz="4" w:space="0" w:color="808080"/>
            </w:tcBorders>
            <w:vAlign w:val="bottom"/>
            <w:hideMark/>
          </w:tcPr>
          <w:p w:rsidR="00F8300C" w:rsidRDefault="00F8300C">
            <w:pPr>
              <w:pStyle w:val="TableTextCentred"/>
              <w:ind w:left="57" w:right="57"/>
              <w:jc w:val="right"/>
              <w:cnfStyle w:val="000000100000" w:firstRow="0" w:lastRow="0" w:firstColumn="0" w:lastColumn="0" w:oddVBand="0" w:evenVBand="0" w:oddHBand="1" w:evenHBand="0" w:firstRowFirstColumn="0" w:firstRowLastColumn="0" w:lastRowFirstColumn="0" w:lastRowLastColumn="0"/>
            </w:pPr>
            <w:r>
              <w:rPr>
                <w:color w:val="000000"/>
              </w:rPr>
              <w:t>2,640.0</w:t>
            </w:r>
          </w:p>
        </w:tc>
        <w:tc>
          <w:tcPr>
            <w:tcW w:w="667" w:type="pct"/>
            <w:tcBorders>
              <w:top w:val="single" w:sz="4" w:space="0" w:color="808080"/>
              <w:left w:val="single" w:sz="4" w:space="0" w:color="808080"/>
              <w:bottom w:val="single" w:sz="4" w:space="0" w:color="808080"/>
              <w:right w:val="single" w:sz="4" w:space="0" w:color="808080"/>
            </w:tcBorders>
            <w:vAlign w:val="bottom"/>
            <w:hideMark/>
          </w:tcPr>
          <w:p w:rsidR="00F8300C" w:rsidRDefault="00F8300C">
            <w:pPr>
              <w:pStyle w:val="TableTextCentred"/>
              <w:ind w:left="57" w:right="57"/>
              <w:jc w:val="right"/>
              <w:cnfStyle w:val="000000100000" w:firstRow="0" w:lastRow="0" w:firstColumn="0" w:lastColumn="0" w:oddVBand="0" w:evenVBand="0" w:oddHBand="1" w:evenHBand="0" w:firstRowFirstColumn="0" w:firstRowLastColumn="0" w:lastRowFirstColumn="0" w:lastRowLastColumn="0"/>
            </w:pPr>
            <w:r>
              <w:rPr>
                <w:color w:val="000000"/>
              </w:rPr>
              <w:t>2,680.0</w:t>
            </w:r>
          </w:p>
        </w:tc>
        <w:tc>
          <w:tcPr>
            <w:tcW w:w="833" w:type="pct"/>
            <w:tcBorders>
              <w:top w:val="single" w:sz="4" w:space="0" w:color="808080"/>
              <w:left w:val="single" w:sz="4" w:space="0" w:color="808080"/>
              <w:bottom w:val="single" w:sz="4" w:space="0" w:color="808080"/>
              <w:right w:val="single" w:sz="4" w:space="0" w:color="808080"/>
            </w:tcBorders>
            <w:vAlign w:val="bottom"/>
            <w:hideMark/>
          </w:tcPr>
          <w:p w:rsidR="00F8300C" w:rsidRDefault="00F8300C">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color w:val="000000"/>
              </w:rPr>
              <w:t>10,850.0</w:t>
            </w:r>
          </w:p>
        </w:tc>
      </w:tr>
      <w:tr w:rsidR="00F8300C" w:rsidTr="00F8300C">
        <w:tc>
          <w:tcPr>
            <w:cnfStyle w:val="001000000000" w:firstRow="0" w:lastRow="0" w:firstColumn="1" w:lastColumn="0" w:oddVBand="0" w:evenVBand="0" w:oddHBand="0" w:evenHBand="0" w:firstRowFirstColumn="0" w:firstRowLastColumn="0" w:lastRowFirstColumn="0" w:lastRowLastColumn="0"/>
            <w:tcW w:w="1501" w:type="pct"/>
            <w:tcBorders>
              <w:top w:val="single" w:sz="4" w:space="0" w:color="808080"/>
              <w:left w:val="single" w:sz="4" w:space="0" w:color="808080"/>
              <w:bottom w:val="single" w:sz="4" w:space="0" w:color="808080"/>
              <w:right w:val="single" w:sz="4" w:space="0" w:color="808080"/>
            </w:tcBorders>
            <w:hideMark/>
          </w:tcPr>
          <w:p w:rsidR="00F8300C" w:rsidRDefault="00F8300C">
            <w:pPr>
              <w:pStyle w:val="TableTextCentred"/>
              <w:keepNext/>
              <w:keepLines/>
              <w:ind w:left="57" w:right="57"/>
              <w:jc w:val="left"/>
            </w:pPr>
            <w:r>
              <w:t>Underlying cash balance</w:t>
            </w:r>
          </w:p>
        </w:tc>
        <w:tc>
          <w:tcPr>
            <w:tcW w:w="666" w:type="pct"/>
            <w:tcBorders>
              <w:top w:val="single" w:sz="4" w:space="0" w:color="808080"/>
              <w:left w:val="single" w:sz="4" w:space="0" w:color="808080"/>
              <w:bottom w:val="single" w:sz="4" w:space="0" w:color="808080"/>
              <w:right w:val="single" w:sz="4" w:space="0" w:color="808080"/>
            </w:tcBorders>
            <w:vAlign w:val="bottom"/>
            <w:hideMark/>
          </w:tcPr>
          <w:p w:rsidR="00F8300C" w:rsidRDefault="00F8300C">
            <w:pPr>
              <w:pStyle w:val="TableTextCentred"/>
              <w:ind w:left="57" w:right="57"/>
              <w:jc w:val="right"/>
              <w:cnfStyle w:val="000000000000" w:firstRow="0" w:lastRow="0" w:firstColumn="0" w:lastColumn="0" w:oddVBand="0" w:evenVBand="0" w:oddHBand="0" w:evenHBand="0" w:firstRowFirstColumn="0" w:firstRowLastColumn="0" w:lastRowFirstColumn="0" w:lastRowLastColumn="0"/>
            </w:pPr>
            <w:r>
              <w:rPr>
                <w:color w:val="000000"/>
              </w:rPr>
              <w:t>2,430.0</w:t>
            </w:r>
          </w:p>
        </w:tc>
        <w:tc>
          <w:tcPr>
            <w:tcW w:w="667" w:type="pct"/>
            <w:tcBorders>
              <w:top w:val="single" w:sz="4" w:space="0" w:color="808080"/>
              <w:left w:val="single" w:sz="4" w:space="0" w:color="808080"/>
              <w:bottom w:val="single" w:sz="4" w:space="0" w:color="808080"/>
              <w:right w:val="single" w:sz="4" w:space="0" w:color="808080"/>
            </w:tcBorders>
            <w:vAlign w:val="bottom"/>
            <w:hideMark/>
          </w:tcPr>
          <w:p w:rsidR="00F8300C" w:rsidRDefault="00F8300C">
            <w:pPr>
              <w:pStyle w:val="TableTextCentred"/>
              <w:ind w:left="57" w:right="57"/>
              <w:jc w:val="right"/>
              <w:cnfStyle w:val="000000000000" w:firstRow="0" w:lastRow="0" w:firstColumn="0" w:lastColumn="0" w:oddVBand="0" w:evenVBand="0" w:oddHBand="0" w:evenHBand="0" w:firstRowFirstColumn="0" w:firstRowLastColumn="0" w:lastRowFirstColumn="0" w:lastRowLastColumn="0"/>
            </w:pPr>
            <w:r>
              <w:rPr>
                <w:color w:val="000000"/>
              </w:rPr>
              <w:t>2,970.0</w:t>
            </w:r>
          </w:p>
        </w:tc>
        <w:tc>
          <w:tcPr>
            <w:tcW w:w="666" w:type="pct"/>
            <w:tcBorders>
              <w:top w:val="single" w:sz="4" w:space="0" w:color="808080"/>
              <w:left w:val="single" w:sz="4" w:space="0" w:color="808080"/>
              <w:bottom w:val="single" w:sz="4" w:space="0" w:color="808080"/>
              <w:right w:val="single" w:sz="4" w:space="0" w:color="808080"/>
            </w:tcBorders>
            <w:vAlign w:val="bottom"/>
            <w:hideMark/>
          </w:tcPr>
          <w:p w:rsidR="00F8300C" w:rsidRDefault="00F8300C">
            <w:pPr>
              <w:pStyle w:val="TableTextCentred"/>
              <w:ind w:left="57" w:right="57"/>
              <w:jc w:val="right"/>
              <w:cnfStyle w:val="000000000000" w:firstRow="0" w:lastRow="0" w:firstColumn="0" w:lastColumn="0" w:oddVBand="0" w:evenVBand="0" w:oddHBand="0" w:evenHBand="0" w:firstRowFirstColumn="0" w:firstRowLastColumn="0" w:lastRowFirstColumn="0" w:lastRowLastColumn="0"/>
            </w:pPr>
            <w:r>
              <w:rPr>
                <w:color w:val="000000"/>
              </w:rPr>
              <w:t>2,820.0</w:t>
            </w:r>
          </w:p>
        </w:tc>
        <w:tc>
          <w:tcPr>
            <w:tcW w:w="667" w:type="pct"/>
            <w:tcBorders>
              <w:top w:val="single" w:sz="4" w:space="0" w:color="808080"/>
              <w:left w:val="single" w:sz="4" w:space="0" w:color="808080"/>
              <w:bottom w:val="single" w:sz="4" w:space="0" w:color="808080"/>
              <w:right w:val="single" w:sz="4" w:space="0" w:color="808080"/>
            </w:tcBorders>
            <w:vAlign w:val="bottom"/>
            <w:hideMark/>
          </w:tcPr>
          <w:p w:rsidR="00F8300C" w:rsidRDefault="00F8300C">
            <w:pPr>
              <w:pStyle w:val="TableTextCentred"/>
              <w:ind w:left="57" w:right="57"/>
              <w:jc w:val="right"/>
              <w:cnfStyle w:val="000000000000" w:firstRow="0" w:lastRow="0" w:firstColumn="0" w:lastColumn="0" w:oddVBand="0" w:evenVBand="0" w:oddHBand="0" w:evenHBand="0" w:firstRowFirstColumn="0" w:firstRowLastColumn="0" w:lastRowFirstColumn="0" w:lastRowLastColumn="0"/>
            </w:pPr>
            <w:r>
              <w:rPr>
                <w:color w:val="000000"/>
              </w:rPr>
              <w:t>2,850.0</w:t>
            </w:r>
          </w:p>
        </w:tc>
        <w:tc>
          <w:tcPr>
            <w:tcW w:w="833" w:type="pct"/>
            <w:tcBorders>
              <w:top w:val="single" w:sz="4" w:space="0" w:color="808080"/>
              <w:left w:val="single" w:sz="4" w:space="0" w:color="808080"/>
              <w:bottom w:val="single" w:sz="4" w:space="0" w:color="808080"/>
              <w:right w:val="single" w:sz="4" w:space="0" w:color="808080"/>
            </w:tcBorders>
            <w:vAlign w:val="bottom"/>
            <w:hideMark/>
          </w:tcPr>
          <w:p w:rsidR="00F8300C" w:rsidRDefault="00F8300C">
            <w:pPr>
              <w:pStyle w:val="TableTextCentred"/>
              <w:ind w:left="57" w:right="57"/>
              <w:jc w:val="right"/>
              <w:cnfStyle w:val="000000000000" w:firstRow="0" w:lastRow="0" w:firstColumn="0" w:lastColumn="0" w:oddVBand="0" w:evenVBand="0" w:oddHBand="0" w:evenHBand="0" w:firstRowFirstColumn="0" w:firstRowLastColumn="0" w:lastRowFirstColumn="0" w:lastRowLastColumn="0"/>
              <w:rPr>
                <w:b/>
              </w:rPr>
            </w:pPr>
            <w:r>
              <w:rPr>
                <w:b/>
                <w:color w:val="000000"/>
              </w:rPr>
              <w:t>11,070.0</w:t>
            </w:r>
          </w:p>
        </w:tc>
      </w:tr>
    </w:tbl>
    <w:p w:rsidR="00F8300C" w:rsidRPr="0093173A" w:rsidRDefault="00F8300C" w:rsidP="002024BF">
      <w:pPr>
        <w:pStyle w:val="Footnotes"/>
      </w:pPr>
      <w:r w:rsidRPr="0093173A">
        <w:t>A positive number represents an increase in the relevant budget balance, a negative number represents a decrease.</w:t>
      </w:r>
    </w:p>
    <w:p w:rsidR="00F8300C" w:rsidRPr="0093173A" w:rsidRDefault="00F8300C" w:rsidP="002024BF">
      <w:pPr>
        <w:pStyle w:val="Footnotes"/>
      </w:pPr>
      <w:r w:rsidRPr="0093173A">
        <w:t>Figures may not sum to totals due to rounding.</w:t>
      </w:r>
    </w:p>
    <w:p w:rsidR="00F8300C" w:rsidRPr="0093173A" w:rsidRDefault="00F8300C" w:rsidP="004D3A49">
      <w:pPr>
        <w:pStyle w:val="BodyText17ptAbove"/>
      </w:pPr>
      <w:r w:rsidRPr="0093173A">
        <w:t xml:space="preserve">Estimates of the detailed financial implications of the individual components are provided at </w:t>
      </w:r>
      <w:r w:rsidRPr="0093173A">
        <w:rPr>
          <w:u w:val="single"/>
        </w:rPr>
        <w:t>Attachment B</w:t>
      </w:r>
      <w:r w:rsidRPr="0093173A">
        <w:t>.</w:t>
      </w:r>
    </w:p>
    <w:p w:rsidR="00F8300C" w:rsidRPr="0093173A" w:rsidRDefault="00F8300C" w:rsidP="00905B06">
      <w:pPr>
        <w:pStyle w:val="CostingsH7"/>
      </w:pPr>
      <w:r w:rsidRPr="0093173A">
        <w:lastRenderedPageBreak/>
        <w:t>Key assumptions</w:t>
      </w:r>
    </w:p>
    <w:p w:rsidR="00F8300C" w:rsidRDefault="00F8300C" w:rsidP="00F8300C">
      <w:pPr>
        <w:pStyle w:val="ListBullet"/>
        <w:spacing w:after="114"/>
        <w:rPr>
          <w:lang w:eastAsia="en-AU"/>
        </w:rPr>
      </w:pPr>
      <w:r w:rsidRPr="0093173A">
        <w:rPr>
          <w:lang w:eastAsia="en-AU"/>
        </w:rPr>
        <w:t xml:space="preserve">It is assumed that individuals with taxable income and concessional superannuation </w:t>
      </w:r>
      <w:r w:rsidRPr="0093173A">
        <w:t>contributions between $150,000 and the Division 293 threshold ($300,000 in 2016</w:t>
      </w:r>
      <w:r w:rsidRPr="0093173A">
        <w:noBreakHyphen/>
        <w:t>17;</w:t>
      </w:r>
      <w:r w:rsidRPr="0093173A">
        <w:rPr>
          <w:lang w:eastAsia="en-AU"/>
        </w:rPr>
        <w:t xml:space="preserve"> $250,000 thereafter) would respond to the policy by reducing their voluntary concessional superannuation contributions, as the proposal makes superannuation less concessional for these people.</w:t>
      </w:r>
    </w:p>
    <w:p w:rsidR="00F8300C" w:rsidRDefault="00F8300C" w:rsidP="004D3A49">
      <w:pPr>
        <w:pStyle w:val="ListBullet2"/>
      </w:pPr>
      <w:r>
        <w:t xml:space="preserve">While concessional superannuation would still provide a tax concession for these individuals, this would be balanced against the fact that money contributed to superannuation is not readily accessible.  </w:t>
      </w:r>
    </w:p>
    <w:p w:rsidR="00F8300C" w:rsidRDefault="00F8300C" w:rsidP="004D3A49">
      <w:pPr>
        <w:pStyle w:val="ListBullet2"/>
      </w:pPr>
      <w:r>
        <w:t xml:space="preserve">The reduction in concessional superannuation contributions is assumed to result in increased taxable incomes of individuals.  However, taxable incomes would not increase by the full amount of the reduction in concessional superannuation contributions due to the ability of some taxpayers to utilise other tax concessions.  </w:t>
      </w:r>
    </w:p>
    <w:p w:rsidR="00F8300C" w:rsidRDefault="00F8300C" w:rsidP="004D3A49">
      <w:pPr>
        <w:pStyle w:val="ListBullet2"/>
      </w:pPr>
      <w:r>
        <w:t>Those with income above the Division 293 threshold currently face an effective tax rate of 30 per cent on their concessional superannuation contributions, and would have a relatively small change (2 percentage points) to their effective tax rate.  They would not be expected to have a significant behavioural change in response to the proposed policy.</w:t>
      </w:r>
    </w:p>
    <w:p w:rsidR="00F8300C" w:rsidRPr="0093173A" w:rsidRDefault="00F8300C" w:rsidP="004D3A49">
      <w:pPr>
        <w:pStyle w:val="ListBullet"/>
        <w:rPr>
          <w:lang w:eastAsia="en-AU"/>
        </w:rPr>
      </w:pPr>
      <w:r w:rsidRPr="0093173A">
        <w:rPr>
          <w:lang w:eastAsia="en-AU"/>
        </w:rPr>
        <w:t>It is assumed that superannuation funds would pay contributions tax instalments at a rate based on expected annual income of their members.  Reconciliation would be required following tax assessment to ensure the correct amount of tax had been paid.  Depending on the administrative method used to assess annual income, there may be timing differences in the collection of tax revenue over the forward estimates.</w:t>
      </w:r>
    </w:p>
    <w:p w:rsidR="00F8300C" w:rsidRDefault="00F8300C" w:rsidP="00F8300C">
      <w:pPr>
        <w:pStyle w:val="Bullet2"/>
        <w:spacing w:after="114"/>
      </w:pPr>
      <w:r>
        <w:t xml:space="preserve">For the purposes of this costing, it is assumed that, on average, the monthly </w:t>
      </w:r>
      <w:r w:rsidRPr="004D3A49">
        <w:rPr>
          <w:rFonts w:eastAsiaTheme="minorHAnsi" w:cstheme="minorBidi"/>
          <w:lang w:eastAsia="en-US"/>
        </w:rPr>
        <w:t>instalments would collect the correct amount of tax.  That is, the reconciliation</w:t>
      </w:r>
      <w:r>
        <w:t xml:space="preserve"> would have zero revenue impact.</w:t>
      </w:r>
    </w:p>
    <w:p w:rsidR="00F8300C" w:rsidRPr="0093173A" w:rsidRDefault="00F8300C" w:rsidP="004D3A49">
      <w:pPr>
        <w:pStyle w:val="ListBullet"/>
        <w:rPr>
          <w:lang w:eastAsia="en-AU"/>
        </w:rPr>
      </w:pPr>
      <w:r w:rsidRPr="0093173A">
        <w:rPr>
          <w:lang w:eastAsia="en-AU"/>
        </w:rPr>
        <w:t>It is assumed that the proposed superannuation contribution for individuals with total income below the tax-free threshold (in place of the LISC/LISTO) would not result in material behavioural change.</w:t>
      </w:r>
    </w:p>
    <w:p w:rsidR="00F8300C" w:rsidRPr="0093173A" w:rsidRDefault="00F8300C" w:rsidP="004D3A49">
      <w:pPr>
        <w:pStyle w:val="ListBullet"/>
        <w:rPr>
          <w:lang w:eastAsia="en-AU"/>
        </w:rPr>
      </w:pPr>
      <w:r w:rsidRPr="0093173A">
        <w:rPr>
          <w:lang w:eastAsia="en-AU"/>
        </w:rPr>
        <w:t>Income for the purposes of the progressive contributions tax would be the sum of an individual’s taxable income and their concessional superannuation contributions.</w:t>
      </w:r>
    </w:p>
    <w:p w:rsidR="00F8300C" w:rsidRDefault="00F8300C" w:rsidP="004D3A49">
      <w:pPr>
        <w:pStyle w:val="ListBullet2"/>
      </w:pPr>
      <w:r>
        <w:t>If an individual has a taxable income below a threshold but adding concessional superannuation contributions takes them above a threshold, the higher contributions tax rate would only apply to the contributions above the threshold.  This approach is consistent with the current operation of the Division 293 tax.</w:t>
      </w:r>
    </w:p>
    <w:p w:rsidR="00F8300C" w:rsidRPr="009515BE" w:rsidRDefault="00F8300C" w:rsidP="004D6BCC">
      <w:pPr>
        <w:pStyle w:val="ListBullet2"/>
      </w:pPr>
      <w:r w:rsidRPr="009515BE">
        <w:t>For example:</w:t>
      </w:r>
    </w:p>
    <w:p w:rsidR="00F8300C" w:rsidRDefault="00F8300C" w:rsidP="004D6BCC">
      <w:pPr>
        <w:pStyle w:val="ListBullet3"/>
      </w:pPr>
      <w:r>
        <w:t>An individual with a taxable income of $34,000 and concessional superannuation contributions of $3,400 (that is a total of $37,400) would pay a tax rate of 15 per cent on $400 ($37,400 less the $37,000 threshold).  This would result in a progressive contributions tax liability of $60.</w:t>
      </w:r>
    </w:p>
    <w:p w:rsidR="00F8300C" w:rsidRDefault="00F8300C" w:rsidP="004D3A49">
      <w:pPr>
        <w:pStyle w:val="ListBullet3"/>
      </w:pPr>
      <w:r>
        <w:lastRenderedPageBreak/>
        <w:t>An individual with a taxable income of $140,000 and concessional superannuation contributions of $15,000 (that is a total of $155,000) would pay a tax rate of 22 per cent on $10,000 (the $150,000 threshold less $140,000) of their contributions and a tax rate of 32 per cent on the remaining $5,000 ($155,000 less the $150,000 threshold).  This would result in a progressive contributions tax liability of $3,800.</w:t>
      </w:r>
    </w:p>
    <w:p w:rsidR="00F8300C" w:rsidRPr="0093173A" w:rsidRDefault="00F8300C" w:rsidP="004D3A49">
      <w:pPr>
        <w:pStyle w:val="ListBullet"/>
        <w:rPr>
          <w:lang w:eastAsia="en-AU"/>
        </w:rPr>
      </w:pPr>
      <w:r w:rsidRPr="0093173A">
        <w:rPr>
          <w:lang w:eastAsia="en-AU"/>
        </w:rPr>
        <w:t>The enabling legislation would be implemented before 1 July 2017 (the date from which tax returns for the 2016</w:t>
      </w:r>
      <w:r w:rsidRPr="0093173A">
        <w:rPr>
          <w:lang w:eastAsia="en-AU"/>
        </w:rPr>
        <w:noBreakHyphen/>
        <w:t>17 financial year can be submitted to the Australian Taxation Office (ATO)).</w:t>
      </w:r>
    </w:p>
    <w:p w:rsidR="00F8300C" w:rsidRPr="0093173A" w:rsidRDefault="00F8300C" w:rsidP="004D3A49">
      <w:pPr>
        <w:pStyle w:val="ListBullet"/>
        <w:rPr>
          <w:lang w:eastAsia="en-AU"/>
        </w:rPr>
      </w:pPr>
      <w:r w:rsidRPr="0093173A">
        <w:rPr>
          <w:lang w:eastAsia="en-AU"/>
        </w:rPr>
        <w:t>It is assumed that there would not be any labour supply response as a result of the proposal.</w:t>
      </w:r>
    </w:p>
    <w:p w:rsidR="00F8300C" w:rsidRPr="0093173A" w:rsidRDefault="00F8300C" w:rsidP="004D3A49">
      <w:pPr>
        <w:pStyle w:val="ListBullet"/>
        <w:rPr>
          <w:lang w:eastAsia="en-AU"/>
        </w:rPr>
      </w:pPr>
      <w:r w:rsidRPr="0093173A">
        <w:rPr>
          <w:lang w:eastAsia="en-AU"/>
        </w:rPr>
        <w:t>While the proposal could be expected to result in an increase in Age Pension payments over the longer term, the proposal is assumed not to have a material impact on Age Pension payments over the 2016</w:t>
      </w:r>
      <w:r w:rsidRPr="0093173A">
        <w:rPr>
          <w:lang w:eastAsia="en-AU"/>
        </w:rPr>
        <w:noBreakHyphen/>
        <w:t>17 Budget forward estimates period.</w:t>
      </w:r>
    </w:p>
    <w:p w:rsidR="00F8300C" w:rsidRPr="0093173A" w:rsidRDefault="00F8300C" w:rsidP="00905B06">
      <w:pPr>
        <w:pStyle w:val="CostingsH7"/>
      </w:pPr>
      <w:r w:rsidRPr="0093173A">
        <w:t>Methodology</w:t>
      </w:r>
    </w:p>
    <w:p w:rsidR="00F8300C" w:rsidRPr="0093173A" w:rsidRDefault="00F8300C" w:rsidP="004D3A49">
      <w:pPr>
        <w:pStyle w:val="ListBullet"/>
        <w:rPr>
          <w:lang w:eastAsia="en-AU"/>
        </w:rPr>
      </w:pPr>
      <w:r w:rsidRPr="0093173A">
        <w:rPr>
          <w:lang w:eastAsia="en-AU"/>
        </w:rPr>
        <w:t>A de-identified 16 per cent sample of personal income and superannuation tax returns from the 2012</w:t>
      </w:r>
      <w:r w:rsidRPr="0093173A">
        <w:rPr>
          <w:lang w:eastAsia="en-AU"/>
        </w:rPr>
        <w:noBreakHyphen/>
        <w:t>13 tax year is used to estimate the budget impact of the contributions tax and personal income tax components of this costing.  Outcomes are estimated for each individual in the data under both current and proposed policy.</w:t>
      </w:r>
    </w:p>
    <w:p w:rsidR="00F8300C" w:rsidRPr="0093173A" w:rsidRDefault="00F8300C" w:rsidP="004D3A49">
      <w:pPr>
        <w:pStyle w:val="ListBullet"/>
        <w:rPr>
          <w:lang w:eastAsia="en-AU"/>
        </w:rPr>
      </w:pPr>
      <w:r w:rsidRPr="0093173A">
        <w:rPr>
          <w:lang w:eastAsia="en-AU"/>
        </w:rPr>
        <w:t>The modelling takes account of the timing of tax collections and payments.</w:t>
      </w:r>
    </w:p>
    <w:p w:rsidR="00F8300C" w:rsidRPr="0093173A" w:rsidRDefault="00F8300C" w:rsidP="004D3A49">
      <w:pPr>
        <w:pStyle w:val="ListBullet"/>
        <w:rPr>
          <w:lang w:eastAsia="en-AU"/>
        </w:rPr>
      </w:pPr>
      <w:r w:rsidRPr="0093173A">
        <w:rPr>
          <w:lang w:eastAsia="en-AU"/>
        </w:rPr>
        <w:t>Estimates of the revenue impact are rounded to the nearest $50 million, administrative expense estimates to the nearest $10 million, and departmental expenses to the nearest $1 million.</w:t>
      </w:r>
    </w:p>
    <w:p w:rsidR="00F8300C" w:rsidRPr="0093173A" w:rsidRDefault="00F8300C" w:rsidP="00905B06">
      <w:pPr>
        <w:pStyle w:val="CostingsH7"/>
      </w:pPr>
      <w:r w:rsidRPr="0093173A">
        <w:t>Data sources</w:t>
      </w:r>
    </w:p>
    <w:p w:rsidR="00F8300C" w:rsidRPr="0093173A" w:rsidRDefault="00F8300C" w:rsidP="004D3A49">
      <w:pPr>
        <w:pStyle w:val="ListBullet"/>
        <w:rPr>
          <w:lang w:eastAsia="en-AU"/>
        </w:rPr>
      </w:pPr>
      <w:r w:rsidRPr="0093173A">
        <w:rPr>
          <w:lang w:eastAsia="en-AU"/>
        </w:rPr>
        <w:t>ATO de-identified personal income tax records, superannuation member contribution statements and self-managed superannuation fund returns from 2012</w:t>
      </w:r>
      <w:r w:rsidRPr="0093173A">
        <w:rPr>
          <w:lang w:eastAsia="en-AU"/>
        </w:rPr>
        <w:noBreakHyphen/>
        <w:t>13.</w:t>
      </w:r>
    </w:p>
    <w:p w:rsidR="00F8300C" w:rsidRPr="0093173A" w:rsidRDefault="00F8300C" w:rsidP="00F8300C">
      <w:pPr>
        <w:pStyle w:val="ListBullet"/>
        <w:spacing w:after="114"/>
        <w:rPr>
          <w:lang w:eastAsia="en-AU"/>
        </w:rPr>
      </w:pPr>
      <w:r w:rsidRPr="0093173A">
        <w:rPr>
          <w:lang w:eastAsia="en-AU"/>
        </w:rPr>
        <w:t>2016</w:t>
      </w:r>
      <w:r w:rsidRPr="0093173A">
        <w:rPr>
          <w:lang w:eastAsia="en-AU"/>
        </w:rPr>
        <w:noBreakHyphen/>
        <w:t xml:space="preserve">17 Budget measure, </w:t>
      </w:r>
      <w:r w:rsidRPr="005077ED">
        <w:rPr>
          <w:i/>
        </w:rPr>
        <w:t>Superannuation Reform Package – introducing a Low Income Superannuation Tax Offset (LISTO)</w:t>
      </w:r>
      <w:r w:rsidRPr="005077ED">
        <w:rPr>
          <w:i/>
          <w:lang w:eastAsia="en-AU"/>
        </w:rPr>
        <w:t>.</w:t>
      </w:r>
    </w:p>
    <w:p w:rsidR="00F8300C" w:rsidRPr="0093173A" w:rsidRDefault="00F8300C" w:rsidP="00F8300C">
      <w:pPr>
        <w:numPr>
          <w:ilvl w:val="2"/>
          <w:numId w:val="0"/>
        </w:numPr>
        <w:tabs>
          <w:tab w:val="num" w:pos="624"/>
        </w:tabs>
        <w:spacing w:after="114"/>
        <w:ind w:left="1361" w:hanging="454"/>
        <w:rPr>
          <w:rFonts w:cs="Times New Roman"/>
          <w:highlight w:val="yellow"/>
        </w:rPr>
        <w:sectPr w:rsidR="00F8300C" w:rsidRPr="0093173A" w:rsidSect="00C41E04">
          <w:headerReference w:type="even" r:id="rId16"/>
          <w:headerReference w:type="default" r:id="rId17"/>
          <w:footerReference w:type="even" r:id="rId18"/>
          <w:footerReference w:type="default" r:id="rId19"/>
          <w:pgSz w:w="11906" w:h="16838"/>
          <w:pgMar w:top="1361" w:right="1797" w:bottom="1474" w:left="1797" w:header="283" w:footer="454" w:gutter="0"/>
          <w:cols w:space="708"/>
          <w:docGrid w:linePitch="360"/>
        </w:sectPr>
      </w:pPr>
    </w:p>
    <w:p w:rsidR="00F8300C" w:rsidRPr="0093173A" w:rsidRDefault="00F8300C" w:rsidP="007A4BF9">
      <w:pPr>
        <w:pStyle w:val="Heading6"/>
      </w:pPr>
      <w:r w:rsidRPr="0093173A">
        <w:lastRenderedPageBreak/>
        <w:t>Attachment A: Detailed policy specifications</w:t>
      </w:r>
    </w:p>
    <w:p w:rsidR="00F8300C" w:rsidRDefault="00F8300C" w:rsidP="00EA541E">
      <w:pPr>
        <w:pStyle w:val="BodyText"/>
      </w:pPr>
      <w:r w:rsidRPr="0093173A">
        <w:t>The proposal would replace the current 15 per cent flat tax rate on concessional superannuation contributions with a progressive marginal tax rate as follows:</w:t>
      </w:r>
    </w:p>
    <w:tbl>
      <w:tblPr>
        <w:tblStyle w:val="TableGrid8"/>
        <w:tblW w:w="2877" w:type="pct"/>
        <w:jc w:val="center"/>
        <w:tblInd w:w="0" w:type="dxa"/>
        <w:tblLook w:val="04A0" w:firstRow="1" w:lastRow="0" w:firstColumn="1" w:lastColumn="0" w:noHBand="0" w:noVBand="1"/>
      </w:tblPr>
      <w:tblGrid>
        <w:gridCol w:w="2554"/>
        <w:gridCol w:w="2234"/>
      </w:tblGrid>
      <w:tr w:rsidR="00F8300C" w:rsidTr="00F8300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67"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pPr>
              <w:pStyle w:val="TableText"/>
              <w:keepNext/>
              <w:keepLines/>
              <w:spacing w:beforeAutospacing="0" w:afterAutospacing="0"/>
              <w:jc w:val="center"/>
              <w:rPr>
                <w:b/>
                <w:lang w:eastAsia="en-AU"/>
              </w:rPr>
            </w:pPr>
            <w:r>
              <w:rPr>
                <w:lang w:eastAsia="en-AU"/>
              </w:rPr>
              <w:t xml:space="preserve">Income threshold </w:t>
            </w:r>
            <w:r>
              <w:rPr>
                <w:vertAlign w:val="superscript"/>
                <w:lang w:eastAsia="en-AU"/>
              </w:rPr>
              <w:t>(a)</w:t>
            </w:r>
            <w:r>
              <w:rPr>
                <w:vertAlign w:val="superscript"/>
                <w:lang w:eastAsia="en-AU"/>
              </w:rPr>
              <w:br/>
            </w:r>
            <w:r>
              <w:rPr>
                <w:lang w:eastAsia="en-AU"/>
              </w:rPr>
              <w:t>($)</w:t>
            </w:r>
          </w:p>
        </w:tc>
        <w:tc>
          <w:tcPr>
            <w:tcW w:w="2333"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pPr>
              <w:pStyle w:val="TableHeadingCentred"/>
              <w:spacing w:beforeAutospacing="0" w:afterAutospacing="0"/>
              <w:cnfStyle w:val="100000000000" w:firstRow="1" w:lastRow="0" w:firstColumn="0" w:lastColumn="0" w:oddVBand="0" w:evenVBand="0" w:oddHBand="0" w:evenHBand="0" w:firstRowFirstColumn="0" w:firstRowLastColumn="0" w:lastRowFirstColumn="0" w:lastRowLastColumn="0"/>
            </w:pPr>
            <w:r>
              <w:t>Superannuation contributions tax rate (%)</w:t>
            </w:r>
          </w:p>
        </w:tc>
      </w:tr>
      <w:tr w:rsidR="00F8300C" w:rsidTr="00F83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808080"/>
              <w:left w:val="single" w:sz="4" w:space="0" w:color="808080"/>
              <w:bottom w:val="single" w:sz="4" w:space="0" w:color="808080"/>
              <w:right w:val="single" w:sz="4" w:space="0" w:color="808080"/>
            </w:tcBorders>
            <w:hideMark/>
          </w:tcPr>
          <w:p w:rsidR="00F8300C" w:rsidRDefault="0045442C">
            <w:pPr>
              <w:ind w:left="227"/>
              <w:rPr>
                <w:szCs w:val="22"/>
                <w:lang w:eastAsia="en-AU"/>
              </w:rPr>
            </w:pPr>
            <w:r>
              <w:rPr>
                <w:lang w:eastAsia="en-AU"/>
              </w:rPr>
              <w:t>0 – 37,000</w:t>
            </w:r>
          </w:p>
        </w:tc>
        <w:tc>
          <w:tcPr>
            <w:tcW w:w="2333" w:type="pct"/>
            <w:tcBorders>
              <w:top w:val="single" w:sz="4" w:space="0" w:color="808080"/>
              <w:left w:val="single" w:sz="4" w:space="0" w:color="808080"/>
              <w:bottom w:val="single" w:sz="4" w:space="0" w:color="808080"/>
              <w:right w:val="single" w:sz="4" w:space="0" w:color="808080"/>
            </w:tcBorders>
            <w:hideMark/>
          </w:tcPr>
          <w:p w:rsidR="00F8300C" w:rsidRDefault="00F8300C">
            <w:pPr>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r>
      <w:tr w:rsidR="00F8300C" w:rsidTr="00F8300C">
        <w:trPr>
          <w:jc w:val="center"/>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808080"/>
              <w:left w:val="single" w:sz="4" w:space="0" w:color="808080"/>
              <w:bottom w:val="single" w:sz="4" w:space="0" w:color="808080"/>
              <w:right w:val="single" w:sz="4" w:space="0" w:color="808080"/>
            </w:tcBorders>
            <w:hideMark/>
          </w:tcPr>
          <w:p w:rsidR="00F8300C" w:rsidRDefault="00F8300C">
            <w:pPr>
              <w:ind w:left="227"/>
              <w:rPr>
                <w:szCs w:val="22"/>
                <w:lang w:eastAsia="en-AU"/>
              </w:rPr>
            </w:pPr>
            <w:r>
              <w:rPr>
                <w:lang w:eastAsia="en-AU"/>
              </w:rPr>
              <w:t>37,001 – 100,000</w:t>
            </w:r>
          </w:p>
        </w:tc>
        <w:tc>
          <w:tcPr>
            <w:tcW w:w="2333" w:type="pct"/>
            <w:tcBorders>
              <w:top w:val="single" w:sz="4" w:space="0" w:color="808080"/>
              <w:left w:val="single" w:sz="4" w:space="0" w:color="808080"/>
              <w:bottom w:val="single" w:sz="4" w:space="0" w:color="808080"/>
              <w:right w:val="single" w:sz="4" w:space="0" w:color="808080"/>
            </w:tcBorders>
            <w:hideMark/>
          </w:tcPr>
          <w:p w:rsidR="00F8300C" w:rsidRDefault="00F8300C">
            <w:pPr>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15</w:t>
            </w:r>
          </w:p>
        </w:tc>
      </w:tr>
      <w:tr w:rsidR="00F8300C" w:rsidTr="00F83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808080"/>
              <w:left w:val="single" w:sz="4" w:space="0" w:color="808080"/>
              <w:bottom w:val="single" w:sz="4" w:space="0" w:color="808080"/>
              <w:right w:val="single" w:sz="4" w:space="0" w:color="808080"/>
            </w:tcBorders>
            <w:hideMark/>
          </w:tcPr>
          <w:p w:rsidR="00F8300C" w:rsidRDefault="00F8300C">
            <w:pPr>
              <w:ind w:left="227"/>
              <w:rPr>
                <w:szCs w:val="22"/>
                <w:lang w:eastAsia="en-AU"/>
              </w:rPr>
            </w:pPr>
            <w:r>
              <w:rPr>
                <w:lang w:eastAsia="en-AU"/>
              </w:rPr>
              <w:t>100,001 – 150,000</w:t>
            </w:r>
          </w:p>
        </w:tc>
        <w:tc>
          <w:tcPr>
            <w:tcW w:w="2333" w:type="pct"/>
            <w:tcBorders>
              <w:top w:val="single" w:sz="4" w:space="0" w:color="808080"/>
              <w:left w:val="single" w:sz="4" w:space="0" w:color="808080"/>
              <w:bottom w:val="single" w:sz="4" w:space="0" w:color="808080"/>
              <w:right w:val="single" w:sz="4" w:space="0" w:color="808080"/>
            </w:tcBorders>
            <w:hideMark/>
          </w:tcPr>
          <w:p w:rsidR="00F8300C" w:rsidRDefault="00F8300C">
            <w:pPr>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22</w:t>
            </w:r>
          </w:p>
        </w:tc>
      </w:tr>
      <w:tr w:rsidR="00F8300C" w:rsidTr="00F8300C">
        <w:trPr>
          <w:jc w:val="center"/>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808080"/>
              <w:left w:val="single" w:sz="4" w:space="0" w:color="808080"/>
              <w:bottom w:val="single" w:sz="4" w:space="0" w:color="808080"/>
              <w:right w:val="single" w:sz="4" w:space="0" w:color="808080"/>
            </w:tcBorders>
            <w:hideMark/>
          </w:tcPr>
          <w:p w:rsidR="00F8300C" w:rsidRDefault="00F8300C">
            <w:pPr>
              <w:ind w:left="227"/>
              <w:rPr>
                <w:szCs w:val="22"/>
                <w:lang w:eastAsia="en-AU"/>
              </w:rPr>
            </w:pPr>
            <w:r>
              <w:rPr>
                <w:lang w:eastAsia="en-AU"/>
              </w:rPr>
              <w:t>150,001 onwards</w:t>
            </w:r>
          </w:p>
        </w:tc>
        <w:tc>
          <w:tcPr>
            <w:tcW w:w="2333" w:type="pct"/>
            <w:tcBorders>
              <w:top w:val="single" w:sz="4" w:space="0" w:color="808080"/>
              <w:left w:val="single" w:sz="4" w:space="0" w:color="808080"/>
              <w:bottom w:val="single" w:sz="4" w:space="0" w:color="808080"/>
              <w:right w:val="single" w:sz="4" w:space="0" w:color="808080"/>
            </w:tcBorders>
            <w:hideMark/>
          </w:tcPr>
          <w:p w:rsidR="00F8300C" w:rsidRDefault="00F8300C">
            <w:pPr>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32</w:t>
            </w:r>
          </w:p>
        </w:tc>
      </w:tr>
    </w:tbl>
    <w:p w:rsidR="00F8300C" w:rsidRPr="0093173A" w:rsidRDefault="00F8300C" w:rsidP="000B5C96">
      <w:pPr>
        <w:pStyle w:val="Footnotes"/>
        <w:numPr>
          <w:ilvl w:val="0"/>
          <w:numId w:val="29"/>
        </w:numPr>
        <w:ind w:left="284" w:hanging="284"/>
      </w:pPr>
      <w:r w:rsidRPr="0093173A">
        <w:rPr>
          <w:lang w:eastAsia="en-AU"/>
        </w:rPr>
        <w:t>Income thresholds would be indexed annually in line with growth in average weekly ordinary time earnings.  The income to determine contributions tax would be the sum of taxable income and concessional superannuation contributions.</w:t>
      </w:r>
    </w:p>
    <w:p w:rsidR="00F8300C" w:rsidRPr="0093173A" w:rsidRDefault="00F8300C" w:rsidP="00EA541E">
      <w:pPr>
        <w:pStyle w:val="BodyText17ptAbove"/>
        <w:rPr>
          <w:lang w:eastAsia="en-AU"/>
        </w:rPr>
      </w:pPr>
      <w:r w:rsidRPr="0093173A">
        <w:rPr>
          <w:lang w:eastAsia="en-AU"/>
        </w:rPr>
        <w:t>In addition:</w:t>
      </w:r>
    </w:p>
    <w:p w:rsidR="00F8300C" w:rsidRPr="0093173A" w:rsidRDefault="00F8300C" w:rsidP="00EA541E">
      <w:pPr>
        <w:pStyle w:val="ListBullet"/>
        <w:rPr>
          <w:lang w:eastAsia="en-AU"/>
        </w:rPr>
      </w:pPr>
      <w:r w:rsidRPr="0093173A">
        <w:rPr>
          <w:lang w:eastAsia="en-AU"/>
        </w:rPr>
        <w:t>the Government would contribute to superannuation funds on behalf of individuals with total income below the tax-free threshold ($18,200).  The Government contribution would be 15 cents for each dollar of concessional superannuation contributions</w:t>
      </w:r>
    </w:p>
    <w:p w:rsidR="00F8300C" w:rsidRDefault="00F8300C" w:rsidP="00EA541E">
      <w:pPr>
        <w:pStyle w:val="ListBullet2"/>
      </w:pPr>
      <w:r>
        <w:t>Total income would consist of assessable income, net investment losses, exempt foreign employment income, reportable superannuation contributions and reportable fringe benefits.</w:t>
      </w:r>
    </w:p>
    <w:p w:rsidR="00F8300C" w:rsidRPr="00E963C3" w:rsidRDefault="00F8300C" w:rsidP="00EA541E">
      <w:pPr>
        <w:pStyle w:val="ListBullet2"/>
      </w:pPr>
      <w:r w:rsidRPr="002A0295">
        <w:t>Net (rather than gross) business and investment income would also be included in the calculation of total income.</w:t>
      </w:r>
    </w:p>
    <w:p w:rsidR="00F8300C" w:rsidRPr="0093173A" w:rsidRDefault="00F8300C" w:rsidP="00EA541E">
      <w:pPr>
        <w:pStyle w:val="ListBullet"/>
        <w:rPr>
          <w:lang w:eastAsia="en-AU"/>
        </w:rPr>
      </w:pPr>
      <w:r w:rsidRPr="0093173A">
        <w:rPr>
          <w:lang w:eastAsia="en-AU"/>
        </w:rPr>
        <w:t>the Division 293 tax on contributions for very high income earners would be abolished</w:t>
      </w:r>
    </w:p>
    <w:p w:rsidR="00F8300C" w:rsidRPr="0093173A" w:rsidRDefault="00F8300C" w:rsidP="00EA541E">
      <w:pPr>
        <w:pStyle w:val="ListBullet"/>
        <w:rPr>
          <w:lang w:eastAsia="en-AU"/>
        </w:rPr>
      </w:pPr>
      <w:r w:rsidRPr="0093173A">
        <w:rPr>
          <w:lang w:eastAsia="en-AU"/>
        </w:rPr>
        <w:t>the LISC would be abolished (currently set to end after the 2016</w:t>
      </w:r>
      <w:r w:rsidRPr="0093173A">
        <w:rPr>
          <w:lang w:eastAsia="en-AU"/>
        </w:rPr>
        <w:noBreakHyphen/>
        <w:t xml:space="preserve">17 financial year) </w:t>
      </w:r>
    </w:p>
    <w:p w:rsidR="00F8300C" w:rsidRPr="0093173A" w:rsidRDefault="00F8300C" w:rsidP="00F8300C">
      <w:pPr>
        <w:pStyle w:val="ListBullet"/>
        <w:spacing w:after="114"/>
        <w:rPr>
          <w:lang w:eastAsia="en-AU"/>
        </w:rPr>
      </w:pPr>
      <w:r w:rsidRPr="0093173A">
        <w:rPr>
          <w:lang w:eastAsia="en-AU"/>
        </w:rPr>
        <w:t>the 2016</w:t>
      </w:r>
      <w:r w:rsidRPr="0093173A">
        <w:rPr>
          <w:lang w:eastAsia="en-AU"/>
        </w:rPr>
        <w:noBreakHyphen/>
        <w:t xml:space="preserve">17 Budget measure, </w:t>
      </w:r>
      <w:r w:rsidRPr="00EA541E">
        <w:rPr>
          <w:i/>
        </w:rPr>
        <w:t>Superannuation Reform Package - introducing a Low Income Superannuation Tax Offset (LISTO)</w:t>
      </w:r>
      <w:r w:rsidRPr="0093173A">
        <w:rPr>
          <w:lang w:eastAsia="en-AU"/>
        </w:rPr>
        <w:t xml:space="preserve"> would be reversed</w:t>
      </w:r>
    </w:p>
    <w:p w:rsidR="00F8300C" w:rsidRPr="0093173A" w:rsidRDefault="00F8300C" w:rsidP="00EA541E">
      <w:pPr>
        <w:pStyle w:val="ListBullet"/>
        <w:rPr>
          <w:lang w:eastAsia="en-AU"/>
        </w:rPr>
      </w:pPr>
      <w:r w:rsidRPr="0093173A">
        <w:rPr>
          <w:lang w:eastAsia="en-AU"/>
        </w:rPr>
        <w:t>the changes would not apply to members of unfunded defined benefits funds.</w:t>
      </w:r>
    </w:p>
    <w:p w:rsidR="00F8300C" w:rsidRPr="0093173A" w:rsidRDefault="00F8300C" w:rsidP="00F8300C">
      <w:pPr>
        <w:spacing w:before="113" w:line="260" w:lineRule="atLeast"/>
        <w:rPr>
          <w:sz w:val="20"/>
          <w:szCs w:val="20"/>
        </w:rPr>
      </w:pPr>
    </w:p>
    <w:p w:rsidR="00F8300C" w:rsidRPr="0093173A" w:rsidRDefault="00F8300C" w:rsidP="00F8300C">
      <w:pPr>
        <w:spacing w:before="113" w:line="260" w:lineRule="atLeast"/>
        <w:ind w:left="360" w:hanging="360"/>
        <w:rPr>
          <w:sz w:val="20"/>
          <w:szCs w:val="20"/>
          <w:highlight w:val="yellow"/>
        </w:rPr>
        <w:sectPr w:rsidR="00F8300C" w:rsidRPr="0093173A" w:rsidSect="007E3C99">
          <w:headerReference w:type="even" r:id="rId20"/>
          <w:headerReference w:type="default" r:id="rId21"/>
          <w:footerReference w:type="even" r:id="rId22"/>
          <w:footerReference w:type="default" r:id="rId23"/>
          <w:headerReference w:type="first" r:id="rId24"/>
          <w:footerReference w:type="first" r:id="rId25"/>
          <w:pgSz w:w="11906" w:h="16838"/>
          <w:pgMar w:top="1361" w:right="1797" w:bottom="1474" w:left="1797" w:header="283" w:footer="454" w:gutter="0"/>
          <w:cols w:space="708"/>
          <w:docGrid w:linePitch="360"/>
        </w:sectPr>
      </w:pPr>
    </w:p>
    <w:p w:rsidR="00F8300C" w:rsidRPr="0093173A" w:rsidRDefault="00F8300C" w:rsidP="007A4BF9">
      <w:pPr>
        <w:pStyle w:val="Heading6"/>
      </w:pPr>
      <w:r w:rsidRPr="0093173A">
        <w:lastRenderedPageBreak/>
        <w:t>Attachment B: A progressive superannuation system —financial implications</w:t>
      </w:r>
    </w:p>
    <w:p w:rsidR="00F8300C" w:rsidRDefault="00F8300C" w:rsidP="00905B06">
      <w:pPr>
        <w:pStyle w:val="Caption"/>
      </w:pPr>
      <w:r w:rsidRPr="0093173A">
        <w:t>Table B1: A progressive superannuation system - Fiscal balance</w:t>
      </w:r>
      <w:r w:rsidRPr="0093173A">
        <w:rPr>
          <w:vertAlign w:val="superscript"/>
        </w:rPr>
        <w:t>(a)(b)</w:t>
      </w:r>
    </w:p>
    <w:tbl>
      <w:tblPr>
        <w:tblStyle w:val="TableGrid9"/>
        <w:tblW w:w="5284" w:type="pct"/>
        <w:tblInd w:w="0" w:type="dxa"/>
        <w:tblLook w:val="04A0" w:firstRow="1" w:lastRow="0" w:firstColumn="1" w:lastColumn="0" w:noHBand="0" w:noVBand="1"/>
      </w:tblPr>
      <w:tblGrid>
        <w:gridCol w:w="2699"/>
        <w:gridCol w:w="1135"/>
        <w:gridCol w:w="1272"/>
        <w:gridCol w:w="1135"/>
        <w:gridCol w:w="1279"/>
        <w:gridCol w:w="1275"/>
      </w:tblGrid>
      <w:tr w:rsidR="00F8300C" w:rsidTr="00F830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pPr>
              <w:pStyle w:val="TableText"/>
              <w:keepNext/>
              <w:keepLines/>
              <w:spacing w:beforeAutospacing="0" w:afterAutospacing="0"/>
              <w:ind w:left="57" w:right="57"/>
              <w:rPr>
                <w:b/>
                <w:lang w:eastAsia="en-AU"/>
              </w:rPr>
            </w:pPr>
            <w:r>
              <w:rPr>
                <w:lang w:eastAsia="en-AU"/>
              </w:rPr>
              <w:t>($m)</w:t>
            </w:r>
          </w:p>
        </w:tc>
        <w:tc>
          <w:tcPr>
            <w:tcW w:w="645"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rsidP="00F8300C">
            <w:pPr>
              <w:pStyle w:val="TableHeadingCentred"/>
              <w:spacing w:beforeAutospacing="0" w:afterAutospacing="0"/>
              <w:ind w:left="57" w:right="57"/>
              <w:jc w:val="right"/>
              <w:cnfStyle w:val="100000000000" w:firstRow="1" w:lastRow="0" w:firstColumn="0" w:lastColumn="0" w:oddVBand="0" w:evenVBand="0" w:oddHBand="0" w:evenHBand="0" w:firstRowFirstColumn="0" w:firstRowLastColumn="0" w:lastRowFirstColumn="0" w:lastRowLastColumn="0"/>
            </w:pPr>
            <w:r>
              <w:t>2016–17</w:t>
            </w:r>
          </w:p>
        </w:tc>
        <w:tc>
          <w:tcPr>
            <w:tcW w:w="723"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rsidP="00F8300C">
            <w:pPr>
              <w:pStyle w:val="TableHeadingCentred"/>
              <w:spacing w:beforeAutospacing="0" w:afterAutospacing="0"/>
              <w:ind w:left="57" w:right="57"/>
              <w:jc w:val="right"/>
              <w:cnfStyle w:val="100000000000" w:firstRow="1" w:lastRow="0" w:firstColumn="0" w:lastColumn="0" w:oddVBand="0" w:evenVBand="0" w:oddHBand="0" w:evenHBand="0" w:firstRowFirstColumn="0" w:firstRowLastColumn="0" w:lastRowFirstColumn="0" w:lastRowLastColumn="0"/>
            </w:pPr>
            <w:r>
              <w:t>2017–18</w:t>
            </w:r>
          </w:p>
        </w:tc>
        <w:tc>
          <w:tcPr>
            <w:tcW w:w="645"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rsidP="00F8300C">
            <w:pPr>
              <w:pStyle w:val="TableHeadingCentred"/>
              <w:spacing w:beforeAutospacing="0" w:afterAutospacing="0"/>
              <w:ind w:left="57" w:right="57"/>
              <w:jc w:val="right"/>
              <w:cnfStyle w:val="100000000000" w:firstRow="1" w:lastRow="0" w:firstColumn="0" w:lastColumn="0" w:oddVBand="0" w:evenVBand="0" w:oddHBand="0" w:evenHBand="0" w:firstRowFirstColumn="0" w:firstRowLastColumn="0" w:lastRowFirstColumn="0" w:lastRowLastColumn="0"/>
            </w:pPr>
            <w:r>
              <w:t>2018–19</w:t>
            </w:r>
          </w:p>
        </w:tc>
        <w:tc>
          <w:tcPr>
            <w:tcW w:w="727"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rsidP="00F8300C">
            <w:pPr>
              <w:pStyle w:val="TableHeadingCentred"/>
              <w:spacing w:beforeAutospacing="0" w:afterAutospacing="0"/>
              <w:ind w:left="57" w:right="57"/>
              <w:jc w:val="right"/>
              <w:cnfStyle w:val="100000000000" w:firstRow="1" w:lastRow="0" w:firstColumn="0" w:lastColumn="0" w:oddVBand="0" w:evenVBand="0" w:oddHBand="0" w:evenHBand="0" w:firstRowFirstColumn="0" w:firstRowLastColumn="0" w:lastRowFirstColumn="0" w:lastRowLastColumn="0"/>
            </w:pPr>
            <w:r>
              <w:t>2019–20</w:t>
            </w:r>
          </w:p>
        </w:tc>
        <w:tc>
          <w:tcPr>
            <w:tcW w:w="725" w:type="pct"/>
            <w:tcBorders>
              <w:top w:val="single" w:sz="4" w:space="0" w:color="808080"/>
              <w:left w:val="single" w:sz="4" w:space="0" w:color="808080"/>
              <w:bottom w:val="single" w:sz="4" w:space="0" w:color="808080"/>
              <w:right w:val="single" w:sz="4" w:space="0" w:color="808080"/>
            </w:tcBorders>
            <w:vAlign w:val="center"/>
            <w:hideMark/>
          </w:tcPr>
          <w:p w:rsidR="00F8300C" w:rsidRPr="00F8300C" w:rsidRDefault="00F8300C" w:rsidP="00F8300C">
            <w:pPr>
              <w:pStyle w:val="TableHeadingCentred"/>
              <w:spacing w:beforeAutospacing="0" w:afterAutospacing="0"/>
              <w:ind w:left="57" w:right="57"/>
              <w:jc w:val="right"/>
              <w:cnfStyle w:val="100000000000" w:firstRow="1" w:lastRow="0" w:firstColumn="0" w:lastColumn="0" w:oddVBand="0" w:evenVBand="0" w:oddHBand="0" w:evenHBand="0" w:firstRowFirstColumn="0" w:firstRowLastColumn="0" w:lastRowFirstColumn="0" w:lastRowLastColumn="0"/>
              <w:rPr>
                <w:vertAlign w:val="superscript"/>
              </w:rPr>
            </w:pPr>
            <w:r w:rsidRPr="00F8300C">
              <w:t>Total to 2019–20</w:t>
            </w:r>
          </w:p>
        </w:tc>
      </w:tr>
      <w:tr w:rsidR="00F8300C" w:rsidTr="00F8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hideMark/>
          </w:tcPr>
          <w:p w:rsidR="00F8300C" w:rsidRDefault="00F8300C">
            <w:pPr>
              <w:pStyle w:val="TableText"/>
              <w:ind w:left="57" w:right="57"/>
              <w:rPr>
                <w:lang w:eastAsia="en-AU"/>
              </w:rPr>
            </w:pPr>
            <w:r>
              <w:rPr>
                <w:lang w:eastAsia="en-AU"/>
              </w:rPr>
              <w:t>Revenue</w:t>
            </w:r>
          </w:p>
        </w:tc>
        <w:tc>
          <w:tcPr>
            <w:tcW w:w="64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45442C">
            <w:pPr>
              <w:pStyle w:val="TableTextRight"/>
              <w:ind w:left="57" w:right="57"/>
              <w:cnfStyle w:val="000000100000" w:firstRow="0" w:lastRow="0" w:firstColumn="0" w:lastColumn="0" w:oddVBand="0" w:evenVBand="0" w:oddHBand="1" w:evenHBand="0" w:firstRowFirstColumn="0" w:firstRowLastColumn="0" w:lastRowFirstColumn="0" w:lastRowLastColumn="0"/>
              <w:rPr>
                <w:lang w:eastAsia="en-AU"/>
              </w:rPr>
            </w:pPr>
            <w:r w:rsidRPr="00F8300C">
              <w:rPr>
                <w:lang w:eastAsia="en-AU"/>
              </w:rPr>
              <w:t>2,450.0</w:t>
            </w:r>
          </w:p>
        </w:tc>
        <w:tc>
          <w:tcPr>
            <w:tcW w:w="723"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100000" w:firstRow="0" w:lastRow="0" w:firstColumn="0" w:lastColumn="0" w:oddVBand="0" w:evenVBand="0" w:oddHBand="1" w:evenHBand="0" w:firstRowFirstColumn="0" w:firstRowLastColumn="0" w:lastRowFirstColumn="0" w:lastRowLastColumn="0"/>
              <w:rPr>
                <w:lang w:eastAsia="en-AU"/>
              </w:rPr>
            </w:pPr>
            <w:r w:rsidRPr="00F8300C">
              <w:rPr>
                <w:lang w:eastAsia="en-AU"/>
              </w:rPr>
              <w:t>2,400.0</w:t>
            </w:r>
          </w:p>
        </w:tc>
        <w:tc>
          <w:tcPr>
            <w:tcW w:w="64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100000" w:firstRow="0" w:lastRow="0" w:firstColumn="0" w:lastColumn="0" w:oddVBand="0" w:evenVBand="0" w:oddHBand="1" w:evenHBand="0" w:firstRowFirstColumn="0" w:firstRowLastColumn="0" w:lastRowFirstColumn="0" w:lastRowLastColumn="0"/>
              <w:rPr>
                <w:lang w:eastAsia="en-AU"/>
              </w:rPr>
            </w:pPr>
            <w:r w:rsidRPr="00F8300C">
              <w:rPr>
                <w:lang w:eastAsia="en-AU"/>
              </w:rPr>
              <w:t>2,600.0</w:t>
            </w:r>
          </w:p>
        </w:tc>
        <w:tc>
          <w:tcPr>
            <w:tcW w:w="727"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100000" w:firstRow="0" w:lastRow="0" w:firstColumn="0" w:lastColumn="0" w:oddVBand="0" w:evenVBand="0" w:oddHBand="1" w:evenHBand="0" w:firstRowFirstColumn="0" w:firstRowLastColumn="0" w:lastRowFirstColumn="0" w:lastRowLastColumn="0"/>
              <w:rPr>
                <w:lang w:eastAsia="en-AU"/>
              </w:rPr>
            </w:pPr>
            <w:r w:rsidRPr="00F8300C">
              <w:rPr>
                <w:lang w:eastAsia="en-AU"/>
              </w:rPr>
              <w:t>2,650.0</w:t>
            </w:r>
          </w:p>
        </w:tc>
        <w:tc>
          <w:tcPr>
            <w:tcW w:w="72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100000" w:firstRow="0" w:lastRow="0" w:firstColumn="0" w:lastColumn="0" w:oddVBand="0" w:evenVBand="0" w:oddHBand="1" w:evenHBand="0" w:firstRowFirstColumn="0" w:firstRowLastColumn="0" w:lastRowFirstColumn="0" w:lastRowLastColumn="0"/>
              <w:rPr>
                <w:b/>
                <w:lang w:eastAsia="en-AU"/>
              </w:rPr>
            </w:pPr>
            <w:r w:rsidRPr="00F8300C">
              <w:rPr>
                <w:b/>
                <w:lang w:eastAsia="en-AU"/>
              </w:rPr>
              <w:t>10,100.0</w:t>
            </w:r>
          </w:p>
        </w:tc>
      </w:tr>
      <w:tr w:rsidR="00F8300C" w:rsidTr="00F8300C">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hideMark/>
          </w:tcPr>
          <w:p w:rsidR="00F8300C" w:rsidRDefault="00F8300C">
            <w:pPr>
              <w:pStyle w:val="TableText"/>
              <w:ind w:left="57" w:right="57"/>
              <w:rPr>
                <w:lang w:eastAsia="en-AU"/>
              </w:rPr>
            </w:pPr>
            <w:r>
              <w:rPr>
                <w:lang w:eastAsia="en-AU"/>
              </w:rPr>
              <w:t>Expenses</w:t>
            </w:r>
          </w:p>
        </w:tc>
        <w:tc>
          <w:tcPr>
            <w:tcW w:w="64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45442C">
            <w:pPr>
              <w:pStyle w:val="TableTextRight"/>
              <w:ind w:left="57" w:right="57"/>
              <w:cnfStyle w:val="000000000000" w:firstRow="0" w:lastRow="0" w:firstColumn="0" w:lastColumn="0" w:oddVBand="0" w:evenVBand="0" w:oddHBand="0" w:evenHBand="0" w:firstRowFirstColumn="0" w:firstRowLastColumn="0" w:lastRowFirstColumn="0" w:lastRowLastColumn="0"/>
              <w:rPr>
                <w:lang w:eastAsia="en-AU"/>
              </w:rPr>
            </w:pPr>
            <w:r w:rsidRPr="00F8300C">
              <w:rPr>
                <w:lang w:eastAsia="en-AU"/>
              </w:rPr>
              <w:t>630.0</w:t>
            </w:r>
          </w:p>
        </w:tc>
        <w:tc>
          <w:tcPr>
            <w:tcW w:w="723"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000000" w:firstRow="0" w:lastRow="0" w:firstColumn="0" w:lastColumn="0" w:oddVBand="0" w:evenVBand="0" w:oddHBand="0" w:evenHBand="0" w:firstRowFirstColumn="0" w:firstRowLastColumn="0" w:lastRowFirstColumn="0" w:lastRowLastColumn="0"/>
              <w:rPr>
                <w:lang w:eastAsia="en-AU"/>
              </w:rPr>
            </w:pPr>
            <w:r w:rsidRPr="00F8300C">
              <w:rPr>
                <w:lang w:eastAsia="en-AU"/>
              </w:rPr>
              <w:t>50.0</w:t>
            </w:r>
          </w:p>
        </w:tc>
        <w:tc>
          <w:tcPr>
            <w:tcW w:w="64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000000" w:firstRow="0" w:lastRow="0" w:firstColumn="0" w:lastColumn="0" w:oddVBand="0" w:evenVBand="0" w:oddHBand="0" w:evenHBand="0" w:firstRowFirstColumn="0" w:firstRowLastColumn="0" w:lastRowFirstColumn="0" w:lastRowLastColumn="0"/>
              <w:rPr>
                <w:lang w:eastAsia="en-AU"/>
              </w:rPr>
            </w:pPr>
            <w:r w:rsidRPr="00F8300C">
              <w:rPr>
                <w:lang w:eastAsia="en-AU"/>
              </w:rPr>
              <w:t>40.0</w:t>
            </w:r>
          </w:p>
        </w:tc>
        <w:tc>
          <w:tcPr>
            <w:tcW w:w="727"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000000" w:firstRow="0" w:lastRow="0" w:firstColumn="0" w:lastColumn="0" w:oddVBand="0" w:evenVBand="0" w:oddHBand="0" w:evenHBand="0" w:firstRowFirstColumn="0" w:firstRowLastColumn="0" w:lastRowFirstColumn="0" w:lastRowLastColumn="0"/>
              <w:rPr>
                <w:lang w:eastAsia="en-AU"/>
              </w:rPr>
            </w:pPr>
            <w:r w:rsidRPr="00F8300C">
              <w:rPr>
                <w:lang w:eastAsia="en-AU"/>
              </w:rPr>
              <w:t>30.0</w:t>
            </w:r>
          </w:p>
        </w:tc>
        <w:tc>
          <w:tcPr>
            <w:tcW w:w="72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000000" w:firstRow="0" w:lastRow="0" w:firstColumn="0" w:lastColumn="0" w:oddVBand="0" w:evenVBand="0" w:oddHBand="0" w:evenHBand="0" w:firstRowFirstColumn="0" w:firstRowLastColumn="0" w:lastRowFirstColumn="0" w:lastRowLastColumn="0"/>
              <w:rPr>
                <w:b/>
                <w:lang w:eastAsia="en-AU"/>
              </w:rPr>
            </w:pPr>
            <w:r w:rsidRPr="00F8300C">
              <w:rPr>
                <w:b/>
                <w:lang w:eastAsia="en-AU"/>
              </w:rPr>
              <w:t>750.0</w:t>
            </w:r>
          </w:p>
        </w:tc>
      </w:tr>
      <w:tr w:rsidR="00F8300C" w:rsidTr="00F8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hideMark/>
          </w:tcPr>
          <w:p w:rsidR="00F8300C" w:rsidRDefault="00F8300C">
            <w:pPr>
              <w:pStyle w:val="TableText"/>
              <w:ind w:left="57" w:right="57"/>
              <w:rPr>
                <w:i/>
                <w:lang w:eastAsia="en-AU"/>
              </w:rPr>
            </w:pPr>
            <w:r>
              <w:rPr>
                <w:i/>
                <w:lang w:eastAsia="en-AU"/>
              </w:rPr>
              <w:t>Administered expenses – ATO</w:t>
            </w:r>
          </w:p>
        </w:tc>
        <w:tc>
          <w:tcPr>
            <w:tcW w:w="64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45442C">
            <w:pPr>
              <w:pStyle w:val="TableTextRight"/>
              <w:ind w:left="57" w:right="57"/>
              <w:cnfStyle w:val="000000100000" w:firstRow="0" w:lastRow="0" w:firstColumn="0" w:lastColumn="0" w:oddVBand="0" w:evenVBand="0" w:oddHBand="1" w:evenHBand="0" w:firstRowFirstColumn="0" w:firstRowLastColumn="0" w:lastRowFirstColumn="0" w:lastRowLastColumn="0"/>
              <w:rPr>
                <w:i/>
                <w:lang w:eastAsia="en-AU"/>
              </w:rPr>
            </w:pPr>
            <w:r w:rsidRPr="00F8300C">
              <w:rPr>
                <w:i/>
                <w:lang w:eastAsia="en-AU"/>
              </w:rPr>
              <w:t>650.0</w:t>
            </w:r>
          </w:p>
        </w:tc>
        <w:tc>
          <w:tcPr>
            <w:tcW w:w="723"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100000" w:firstRow="0" w:lastRow="0" w:firstColumn="0" w:lastColumn="0" w:oddVBand="0" w:evenVBand="0" w:oddHBand="1" w:evenHBand="0" w:firstRowFirstColumn="0" w:firstRowLastColumn="0" w:lastRowFirstColumn="0" w:lastRowLastColumn="0"/>
              <w:rPr>
                <w:i/>
                <w:lang w:eastAsia="en-AU"/>
              </w:rPr>
            </w:pPr>
            <w:r w:rsidRPr="00F8300C">
              <w:rPr>
                <w:i/>
                <w:lang w:eastAsia="en-AU"/>
              </w:rPr>
              <w:t>70.0</w:t>
            </w:r>
          </w:p>
        </w:tc>
        <w:tc>
          <w:tcPr>
            <w:tcW w:w="64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100000" w:firstRow="0" w:lastRow="0" w:firstColumn="0" w:lastColumn="0" w:oddVBand="0" w:evenVBand="0" w:oddHBand="1" w:evenHBand="0" w:firstRowFirstColumn="0" w:firstRowLastColumn="0" w:lastRowFirstColumn="0" w:lastRowLastColumn="0"/>
              <w:rPr>
                <w:i/>
                <w:lang w:eastAsia="en-AU"/>
              </w:rPr>
            </w:pPr>
            <w:r w:rsidRPr="00F8300C">
              <w:rPr>
                <w:i/>
                <w:lang w:eastAsia="en-AU"/>
              </w:rPr>
              <w:t>70.0</w:t>
            </w:r>
          </w:p>
        </w:tc>
        <w:tc>
          <w:tcPr>
            <w:tcW w:w="727"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100000" w:firstRow="0" w:lastRow="0" w:firstColumn="0" w:lastColumn="0" w:oddVBand="0" w:evenVBand="0" w:oddHBand="1" w:evenHBand="0" w:firstRowFirstColumn="0" w:firstRowLastColumn="0" w:lastRowFirstColumn="0" w:lastRowLastColumn="0"/>
              <w:rPr>
                <w:i/>
                <w:lang w:eastAsia="en-AU"/>
              </w:rPr>
            </w:pPr>
            <w:r w:rsidRPr="00F8300C">
              <w:rPr>
                <w:i/>
                <w:lang w:eastAsia="en-AU"/>
              </w:rPr>
              <w:t>60.0</w:t>
            </w:r>
          </w:p>
        </w:tc>
        <w:tc>
          <w:tcPr>
            <w:tcW w:w="72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100000" w:firstRow="0" w:lastRow="0" w:firstColumn="0" w:lastColumn="0" w:oddVBand="0" w:evenVBand="0" w:oddHBand="1" w:evenHBand="0" w:firstRowFirstColumn="0" w:firstRowLastColumn="0" w:lastRowFirstColumn="0" w:lastRowLastColumn="0"/>
              <w:rPr>
                <w:b/>
                <w:i/>
                <w:lang w:eastAsia="en-AU"/>
              </w:rPr>
            </w:pPr>
            <w:r w:rsidRPr="00F8300C">
              <w:rPr>
                <w:b/>
                <w:i/>
                <w:lang w:eastAsia="en-AU"/>
              </w:rPr>
              <w:t>850.0</w:t>
            </w:r>
          </w:p>
        </w:tc>
      </w:tr>
      <w:tr w:rsidR="00F8300C" w:rsidTr="00F8300C">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hideMark/>
          </w:tcPr>
          <w:p w:rsidR="00F8300C" w:rsidRDefault="00F8300C">
            <w:pPr>
              <w:pStyle w:val="TableText"/>
              <w:ind w:left="57" w:right="57"/>
              <w:rPr>
                <w:i/>
                <w:lang w:eastAsia="en-AU"/>
              </w:rPr>
            </w:pPr>
            <w:r>
              <w:rPr>
                <w:i/>
                <w:lang w:eastAsia="en-AU"/>
              </w:rPr>
              <w:t>Departmental expenses – ATO</w:t>
            </w:r>
          </w:p>
        </w:tc>
        <w:tc>
          <w:tcPr>
            <w:tcW w:w="64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45442C">
            <w:pPr>
              <w:pStyle w:val="TableTextRight"/>
              <w:ind w:left="57" w:right="57"/>
              <w:cnfStyle w:val="000000000000" w:firstRow="0" w:lastRow="0" w:firstColumn="0" w:lastColumn="0" w:oddVBand="0" w:evenVBand="0" w:oddHBand="0" w:evenHBand="0" w:firstRowFirstColumn="0" w:firstRowLastColumn="0" w:lastRowFirstColumn="0" w:lastRowLastColumn="0"/>
              <w:rPr>
                <w:i/>
                <w:lang w:eastAsia="en-AU"/>
              </w:rPr>
            </w:pPr>
            <w:r w:rsidRPr="00F8300C">
              <w:rPr>
                <w:i/>
                <w:lang w:eastAsia="en-AU"/>
              </w:rPr>
              <w:t>-20.0</w:t>
            </w:r>
          </w:p>
        </w:tc>
        <w:tc>
          <w:tcPr>
            <w:tcW w:w="723"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000000" w:firstRow="0" w:lastRow="0" w:firstColumn="0" w:lastColumn="0" w:oddVBand="0" w:evenVBand="0" w:oddHBand="0" w:evenHBand="0" w:firstRowFirstColumn="0" w:firstRowLastColumn="0" w:lastRowFirstColumn="0" w:lastRowLastColumn="0"/>
              <w:rPr>
                <w:i/>
                <w:lang w:eastAsia="en-AU"/>
              </w:rPr>
            </w:pPr>
            <w:r w:rsidRPr="00F8300C">
              <w:rPr>
                <w:i/>
                <w:lang w:eastAsia="en-AU"/>
              </w:rPr>
              <w:t>-20.0</w:t>
            </w:r>
          </w:p>
        </w:tc>
        <w:tc>
          <w:tcPr>
            <w:tcW w:w="64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000000" w:firstRow="0" w:lastRow="0" w:firstColumn="0" w:lastColumn="0" w:oddVBand="0" w:evenVBand="0" w:oddHBand="0" w:evenHBand="0" w:firstRowFirstColumn="0" w:firstRowLastColumn="0" w:lastRowFirstColumn="0" w:lastRowLastColumn="0"/>
              <w:rPr>
                <w:i/>
                <w:lang w:eastAsia="en-AU"/>
              </w:rPr>
            </w:pPr>
            <w:r w:rsidRPr="00F8300C">
              <w:rPr>
                <w:i/>
                <w:lang w:eastAsia="en-AU"/>
              </w:rPr>
              <w:t>-30.0</w:t>
            </w:r>
          </w:p>
        </w:tc>
        <w:tc>
          <w:tcPr>
            <w:tcW w:w="727"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000000" w:firstRow="0" w:lastRow="0" w:firstColumn="0" w:lastColumn="0" w:oddVBand="0" w:evenVBand="0" w:oddHBand="0" w:evenHBand="0" w:firstRowFirstColumn="0" w:firstRowLastColumn="0" w:lastRowFirstColumn="0" w:lastRowLastColumn="0"/>
              <w:rPr>
                <w:i/>
                <w:lang w:eastAsia="en-AU"/>
              </w:rPr>
            </w:pPr>
            <w:r w:rsidRPr="00F8300C">
              <w:rPr>
                <w:i/>
                <w:lang w:eastAsia="en-AU"/>
              </w:rPr>
              <w:t>-30.0</w:t>
            </w:r>
          </w:p>
        </w:tc>
        <w:tc>
          <w:tcPr>
            <w:tcW w:w="725" w:type="pct"/>
            <w:tcBorders>
              <w:top w:val="single" w:sz="4" w:space="0" w:color="808080"/>
              <w:left w:val="single" w:sz="4" w:space="0" w:color="808080"/>
              <w:bottom w:val="single" w:sz="4" w:space="0" w:color="808080"/>
              <w:right w:val="single" w:sz="4" w:space="0" w:color="808080"/>
            </w:tcBorders>
            <w:hideMark/>
          </w:tcPr>
          <w:p w:rsidR="00F8300C" w:rsidRPr="00F8300C" w:rsidRDefault="00F8300C" w:rsidP="002815B7">
            <w:pPr>
              <w:pStyle w:val="TableTextRight"/>
              <w:ind w:left="57" w:right="57"/>
              <w:cnfStyle w:val="000000000000" w:firstRow="0" w:lastRow="0" w:firstColumn="0" w:lastColumn="0" w:oddVBand="0" w:evenVBand="0" w:oddHBand="0" w:evenHBand="0" w:firstRowFirstColumn="0" w:firstRowLastColumn="0" w:lastRowFirstColumn="0" w:lastRowLastColumn="0"/>
              <w:rPr>
                <w:b/>
                <w:i/>
                <w:lang w:eastAsia="en-AU"/>
              </w:rPr>
            </w:pPr>
            <w:r w:rsidRPr="00F8300C">
              <w:rPr>
                <w:b/>
                <w:i/>
                <w:lang w:eastAsia="en-AU"/>
              </w:rPr>
              <w:t>-100.0</w:t>
            </w:r>
          </w:p>
        </w:tc>
      </w:tr>
      <w:tr w:rsidR="00F8300C" w:rsidTr="00F8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pPr>
              <w:pStyle w:val="TableTextCentred"/>
              <w:keepNext/>
              <w:keepLines/>
              <w:ind w:left="57" w:right="57"/>
              <w:jc w:val="left"/>
              <w:rPr>
                <w:b/>
              </w:rPr>
            </w:pPr>
            <w:r>
              <w:rPr>
                <w:b/>
              </w:rPr>
              <w:t>Total</w:t>
            </w:r>
          </w:p>
        </w:tc>
        <w:tc>
          <w:tcPr>
            <w:tcW w:w="645"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rsidP="0045442C">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rPr>
              <w:t>3,080.0</w:t>
            </w:r>
          </w:p>
        </w:tc>
        <w:tc>
          <w:tcPr>
            <w:tcW w:w="723"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rPr>
              <w:t>2,450.0</w:t>
            </w:r>
          </w:p>
        </w:tc>
        <w:tc>
          <w:tcPr>
            <w:tcW w:w="645"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rPr>
              <w:t>2,640.0</w:t>
            </w:r>
          </w:p>
        </w:tc>
        <w:tc>
          <w:tcPr>
            <w:tcW w:w="727"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rPr>
              <w:t>2,680.0</w:t>
            </w:r>
          </w:p>
        </w:tc>
        <w:tc>
          <w:tcPr>
            <w:tcW w:w="725"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rPr>
              <w:t>10,850.0</w:t>
            </w:r>
          </w:p>
        </w:tc>
      </w:tr>
    </w:tbl>
    <w:p w:rsidR="00F8300C" w:rsidRPr="0093173A" w:rsidRDefault="00F8300C" w:rsidP="000B5C96">
      <w:pPr>
        <w:pStyle w:val="Footnotes"/>
        <w:numPr>
          <w:ilvl w:val="0"/>
          <w:numId w:val="30"/>
        </w:numPr>
        <w:ind w:left="284" w:hanging="284"/>
      </w:pPr>
      <w:r w:rsidRPr="0093173A">
        <w:t xml:space="preserve">A positive number for the fiscal balance indicates an increase in revenue or a decrease in expenses in accrual terms. A negative number for the fiscal balance indicates an increase in expenses in accrual terms.  </w:t>
      </w:r>
    </w:p>
    <w:p w:rsidR="00F8300C" w:rsidRPr="0093173A" w:rsidRDefault="00F8300C" w:rsidP="000B5C96">
      <w:pPr>
        <w:pStyle w:val="Footnotes"/>
        <w:numPr>
          <w:ilvl w:val="0"/>
          <w:numId w:val="30"/>
        </w:numPr>
        <w:ind w:left="284" w:hanging="284"/>
      </w:pPr>
      <w:r w:rsidRPr="0093173A">
        <w:t>Figures may not sum to totals due to rounding.</w:t>
      </w:r>
    </w:p>
    <w:p w:rsidR="00F8300C" w:rsidRDefault="00F8300C" w:rsidP="00905B06">
      <w:pPr>
        <w:pStyle w:val="Caption"/>
      </w:pPr>
      <w:r w:rsidRPr="0093173A">
        <w:t>Table B2: A progressive superannuation system - Underlying cash balance</w:t>
      </w:r>
      <w:r w:rsidRPr="0093173A">
        <w:rPr>
          <w:vertAlign w:val="superscript"/>
        </w:rPr>
        <w:t>(a)(b)</w:t>
      </w:r>
    </w:p>
    <w:tbl>
      <w:tblPr>
        <w:tblStyle w:val="TableGrid10"/>
        <w:tblW w:w="5284" w:type="pct"/>
        <w:tblInd w:w="0" w:type="dxa"/>
        <w:tblLook w:val="04A0" w:firstRow="1" w:lastRow="0" w:firstColumn="1" w:lastColumn="0" w:noHBand="0" w:noVBand="1"/>
      </w:tblPr>
      <w:tblGrid>
        <w:gridCol w:w="2699"/>
        <w:gridCol w:w="1135"/>
        <w:gridCol w:w="1274"/>
        <w:gridCol w:w="1135"/>
        <w:gridCol w:w="1277"/>
        <w:gridCol w:w="1275"/>
      </w:tblGrid>
      <w:tr w:rsidR="00F8300C" w:rsidTr="00F830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pPr>
              <w:pStyle w:val="TableText"/>
              <w:keepNext/>
              <w:keepLines/>
              <w:spacing w:beforeAutospacing="0" w:afterAutospacing="0"/>
              <w:ind w:left="57" w:right="57"/>
              <w:rPr>
                <w:b/>
                <w:lang w:eastAsia="en-AU"/>
              </w:rPr>
            </w:pPr>
            <w:r>
              <w:rPr>
                <w:lang w:eastAsia="en-AU"/>
              </w:rPr>
              <w:t>($m)</w:t>
            </w:r>
          </w:p>
        </w:tc>
        <w:tc>
          <w:tcPr>
            <w:tcW w:w="645"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pPr>
              <w:pStyle w:val="TableHeadingCentred"/>
              <w:spacing w:beforeAutospacing="0" w:afterAutospacing="0"/>
              <w:ind w:left="57" w:right="57"/>
              <w:cnfStyle w:val="100000000000" w:firstRow="1" w:lastRow="0" w:firstColumn="0" w:lastColumn="0" w:oddVBand="0" w:evenVBand="0" w:oddHBand="0" w:evenHBand="0" w:firstRowFirstColumn="0" w:firstRowLastColumn="0" w:lastRowFirstColumn="0" w:lastRowLastColumn="0"/>
            </w:pPr>
            <w:r>
              <w:t>2016–17</w:t>
            </w:r>
          </w:p>
        </w:tc>
        <w:tc>
          <w:tcPr>
            <w:tcW w:w="724"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pPr>
              <w:pStyle w:val="TableHeadingCentred"/>
              <w:spacing w:beforeAutospacing="0" w:afterAutospacing="0"/>
              <w:ind w:left="57" w:right="57"/>
              <w:cnfStyle w:val="100000000000" w:firstRow="1" w:lastRow="0" w:firstColumn="0" w:lastColumn="0" w:oddVBand="0" w:evenVBand="0" w:oddHBand="0" w:evenHBand="0" w:firstRowFirstColumn="0" w:firstRowLastColumn="0" w:lastRowFirstColumn="0" w:lastRowLastColumn="0"/>
            </w:pPr>
            <w:r>
              <w:t>2017–18</w:t>
            </w:r>
          </w:p>
        </w:tc>
        <w:tc>
          <w:tcPr>
            <w:tcW w:w="645"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pPr>
              <w:pStyle w:val="TableHeadingCentred"/>
              <w:spacing w:beforeAutospacing="0" w:afterAutospacing="0"/>
              <w:ind w:left="57" w:right="57"/>
              <w:cnfStyle w:val="100000000000" w:firstRow="1" w:lastRow="0" w:firstColumn="0" w:lastColumn="0" w:oddVBand="0" w:evenVBand="0" w:oddHBand="0" w:evenHBand="0" w:firstRowFirstColumn="0" w:firstRowLastColumn="0" w:lastRowFirstColumn="0" w:lastRowLastColumn="0"/>
            </w:pPr>
            <w:r>
              <w:t>2018–19</w:t>
            </w:r>
          </w:p>
        </w:tc>
        <w:tc>
          <w:tcPr>
            <w:tcW w:w="726"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pPr>
              <w:pStyle w:val="TableHeadingCentred"/>
              <w:spacing w:beforeAutospacing="0" w:afterAutospacing="0"/>
              <w:ind w:left="57" w:right="57"/>
              <w:cnfStyle w:val="100000000000" w:firstRow="1" w:lastRow="0" w:firstColumn="0" w:lastColumn="0" w:oddVBand="0" w:evenVBand="0" w:oddHBand="0" w:evenHBand="0" w:firstRowFirstColumn="0" w:firstRowLastColumn="0" w:lastRowFirstColumn="0" w:lastRowLastColumn="0"/>
            </w:pPr>
            <w:r>
              <w:t>2019–20</w:t>
            </w:r>
          </w:p>
        </w:tc>
        <w:tc>
          <w:tcPr>
            <w:tcW w:w="725" w:type="pct"/>
            <w:tcBorders>
              <w:top w:val="single" w:sz="4" w:space="0" w:color="808080"/>
              <w:left w:val="single" w:sz="4" w:space="0" w:color="808080"/>
              <w:bottom w:val="single" w:sz="4" w:space="0" w:color="808080"/>
              <w:right w:val="single" w:sz="4" w:space="0" w:color="808080"/>
            </w:tcBorders>
            <w:vAlign w:val="center"/>
            <w:hideMark/>
          </w:tcPr>
          <w:p w:rsidR="00F8300C" w:rsidRDefault="00F8300C">
            <w:pPr>
              <w:pStyle w:val="TableHeadingCentred"/>
              <w:spacing w:beforeAutospacing="0" w:afterAutospacing="0"/>
              <w:ind w:left="57" w:right="57"/>
              <w:cnfStyle w:val="100000000000" w:firstRow="1" w:lastRow="0" w:firstColumn="0" w:lastColumn="0" w:oddVBand="0" w:evenVBand="0" w:oddHBand="0" w:evenHBand="0" w:firstRowFirstColumn="0" w:firstRowLastColumn="0" w:lastRowFirstColumn="0" w:lastRowLastColumn="0"/>
              <w:rPr>
                <w:vertAlign w:val="superscript"/>
              </w:rPr>
            </w:pPr>
            <w:r>
              <w:rPr>
                <w:b w:val="0"/>
              </w:rPr>
              <w:t>Total to 2019–20</w:t>
            </w:r>
          </w:p>
        </w:tc>
      </w:tr>
      <w:tr w:rsidR="00F8300C" w:rsidTr="00F8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hideMark/>
          </w:tcPr>
          <w:p w:rsidR="00F8300C" w:rsidRDefault="00F8300C">
            <w:pPr>
              <w:pStyle w:val="TableText"/>
              <w:ind w:left="57" w:right="57"/>
              <w:rPr>
                <w:lang w:eastAsia="en-AU"/>
              </w:rPr>
            </w:pPr>
            <w:r>
              <w:rPr>
                <w:lang w:eastAsia="en-AU"/>
              </w:rPr>
              <w:t>Receipts</w:t>
            </w:r>
          </w:p>
        </w:tc>
        <w:tc>
          <w:tcPr>
            <w:tcW w:w="64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pPr>
            <w:r>
              <w:t>2,450.0</w:t>
            </w:r>
          </w:p>
        </w:tc>
        <w:tc>
          <w:tcPr>
            <w:tcW w:w="724"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pPr>
            <w:r>
              <w:t>2,450.0</w:t>
            </w:r>
          </w:p>
        </w:tc>
        <w:tc>
          <w:tcPr>
            <w:tcW w:w="64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pPr>
            <w:r>
              <w:t>2,700.0</w:t>
            </w:r>
          </w:p>
        </w:tc>
        <w:tc>
          <w:tcPr>
            <w:tcW w:w="726"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pPr>
            <w:r>
              <w:t>2,800.0</w:t>
            </w:r>
          </w:p>
        </w:tc>
        <w:tc>
          <w:tcPr>
            <w:tcW w:w="72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rPr>
              <w:t>10,400.0</w:t>
            </w:r>
          </w:p>
        </w:tc>
      </w:tr>
      <w:tr w:rsidR="00F8300C" w:rsidTr="00F8300C">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hideMark/>
          </w:tcPr>
          <w:p w:rsidR="00F8300C" w:rsidRDefault="00F8300C">
            <w:pPr>
              <w:pStyle w:val="TableText"/>
              <w:ind w:left="57" w:right="57"/>
              <w:rPr>
                <w:lang w:eastAsia="en-AU"/>
              </w:rPr>
            </w:pPr>
            <w:r>
              <w:rPr>
                <w:lang w:eastAsia="en-AU"/>
              </w:rPr>
              <w:t>Payments</w:t>
            </w:r>
          </w:p>
        </w:tc>
        <w:tc>
          <w:tcPr>
            <w:tcW w:w="64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000000" w:firstRow="0" w:lastRow="0" w:firstColumn="0" w:lastColumn="0" w:oddVBand="0" w:evenVBand="0" w:oddHBand="0" w:evenHBand="0" w:firstRowFirstColumn="0" w:firstRowLastColumn="0" w:lastRowFirstColumn="0" w:lastRowLastColumn="0"/>
            </w:pPr>
            <w:r>
              <w:t>-20.0</w:t>
            </w:r>
          </w:p>
        </w:tc>
        <w:tc>
          <w:tcPr>
            <w:tcW w:w="724"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000000" w:firstRow="0" w:lastRow="0" w:firstColumn="0" w:lastColumn="0" w:oddVBand="0" w:evenVBand="0" w:oddHBand="0" w:evenHBand="0" w:firstRowFirstColumn="0" w:firstRowLastColumn="0" w:lastRowFirstColumn="0" w:lastRowLastColumn="0"/>
            </w:pPr>
            <w:r>
              <w:t>520.0</w:t>
            </w:r>
          </w:p>
        </w:tc>
        <w:tc>
          <w:tcPr>
            <w:tcW w:w="64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000000" w:firstRow="0" w:lastRow="0" w:firstColumn="0" w:lastColumn="0" w:oddVBand="0" w:evenVBand="0" w:oddHBand="0" w:evenHBand="0" w:firstRowFirstColumn="0" w:firstRowLastColumn="0" w:lastRowFirstColumn="0" w:lastRowLastColumn="0"/>
            </w:pPr>
            <w:r>
              <w:t>120.0</w:t>
            </w:r>
          </w:p>
        </w:tc>
        <w:tc>
          <w:tcPr>
            <w:tcW w:w="726"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000000" w:firstRow="0" w:lastRow="0" w:firstColumn="0" w:lastColumn="0" w:oddVBand="0" w:evenVBand="0" w:oddHBand="0" w:evenHBand="0" w:firstRowFirstColumn="0" w:firstRowLastColumn="0" w:lastRowFirstColumn="0" w:lastRowLastColumn="0"/>
            </w:pPr>
            <w:r>
              <w:t>50.0</w:t>
            </w:r>
          </w:p>
        </w:tc>
        <w:tc>
          <w:tcPr>
            <w:tcW w:w="72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000000" w:firstRow="0" w:lastRow="0" w:firstColumn="0" w:lastColumn="0" w:oddVBand="0" w:evenVBand="0" w:oddHBand="0" w:evenHBand="0" w:firstRowFirstColumn="0" w:firstRowLastColumn="0" w:lastRowFirstColumn="0" w:lastRowLastColumn="0"/>
              <w:rPr>
                <w:b/>
              </w:rPr>
            </w:pPr>
            <w:r>
              <w:rPr>
                <w:b/>
              </w:rPr>
              <w:t>670.0</w:t>
            </w:r>
          </w:p>
        </w:tc>
      </w:tr>
      <w:tr w:rsidR="00F8300C" w:rsidTr="00F8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hideMark/>
          </w:tcPr>
          <w:p w:rsidR="00F8300C" w:rsidRDefault="00F8300C">
            <w:pPr>
              <w:pStyle w:val="TableText"/>
              <w:ind w:left="57" w:right="57"/>
              <w:rPr>
                <w:i/>
                <w:lang w:eastAsia="en-AU"/>
              </w:rPr>
            </w:pPr>
            <w:r>
              <w:rPr>
                <w:i/>
                <w:lang w:eastAsia="en-AU"/>
              </w:rPr>
              <w:t>Administered expenses – ATO</w:t>
            </w:r>
          </w:p>
        </w:tc>
        <w:tc>
          <w:tcPr>
            <w:tcW w:w="64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i/>
              </w:rPr>
            </w:pPr>
            <w:r>
              <w:rPr>
                <w:i/>
              </w:rPr>
              <w:t xml:space="preserve">-  </w:t>
            </w:r>
          </w:p>
        </w:tc>
        <w:tc>
          <w:tcPr>
            <w:tcW w:w="724"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i/>
              </w:rPr>
            </w:pPr>
            <w:r>
              <w:rPr>
                <w:i/>
              </w:rPr>
              <w:t>540.0</w:t>
            </w:r>
          </w:p>
        </w:tc>
        <w:tc>
          <w:tcPr>
            <w:tcW w:w="64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i/>
              </w:rPr>
            </w:pPr>
            <w:r>
              <w:rPr>
                <w:i/>
              </w:rPr>
              <w:t>150.0</w:t>
            </w:r>
          </w:p>
        </w:tc>
        <w:tc>
          <w:tcPr>
            <w:tcW w:w="726"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i/>
              </w:rPr>
            </w:pPr>
            <w:r>
              <w:rPr>
                <w:i/>
              </w:rPr>
              <w:t>80.0</w:t>
            </w:r>
          </w:p>
        </w:tc>
        <w:tc>
          <w:tcPr>
            <w:tcW w:w="72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i/>
              </w:rPr>
            </w:pPr>
            <w:r>
              <w:rPr>
                <w:b/>
                <w:i/>
              </w:rPr>
              <w:t>770.0</w:t>
            </w:r>
          </w:p>
        </w:tc>
      </w:tr>
      <w:tr w:rsidR="00F8300C" w:rsidTr="00F8300C">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hideMark/>
          </w:tcPr>
          <w:p w:rsidR="00F8300C" w:rsidRDefault="00F8300C">
            <w:pPr>
              <w:pStyle w:val="TableText"/>
              <w:ind w:left="57" w:right="57"/>
              <w:rPr>
                <w:i/>
                <w:lang w:eastAsia="en-AU"/>
              </w:rPr>
            </w:pPr>
            <w:r>
              <w:rPr>
                <w:i/>
                <w:lang w:eastAsia="en-AU"/>
              </w:rPr>
              <w:t>Departmental expenses – ATO</w:t>
            </w:r>
          </w:p>
        </w:tc>
        <w:tc>
          <w:tcPr>
            <w:tcW w:w="64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000000" w:firstRow="0" w:lastRow="0" w:firstColumn="0" w:lastColumn="0" w:oddVBand="0" w:evenVBand="0" w:oddHBand="0" w:evenHBand="0" w:firstRowFirstColumn="0" w:firstRowLastColumn="0" w:lastRowFirstColumn="0" w:lastRowLastColumn="0"/>
              <w:rPr>
                <w:i/>
              </w:rPr>
            </w:pPr>
            <w:r>
              <w:rPr>
                <w:i/>
              </w:rPr>
              <w:t>-20.0</w:t>
            </w:r>
          </w:p>
        </w:tc>
        <w:tc>
          <w:tcPr>
            <w:tcW w:w="724"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000000" w:firstRow="0" w:lastRow="0" w:firstColumn="0" w:lastColumn="0" w:oddVBand="0" w:evenVBand="0" w:oddHBand="0" w:evenHBand="0" w:firstRowFirstColumn="0" w:firstRowLastColumn="0" w:lastRowFirstColumn="0" w:lastRowLastColumn="0"/>
              <w:rPr>
                <w:i/>
              </w:rPr>
            </w:pPr>
            <w:r>
              <w:rPr>
                <w:i/>
              </w:rPr>
              <w:t>-20.0</w:t>
            </w:r>
          </w:p>
        </w:tc>
        <w:tc>
          <w:tcPr>
            <w:tcW w:w="64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000000" w:firstRow="0" w:lastRow="0" w:firstColumn="0" w:lastColumn="0" w:oddVBand="0" w:evenVBand="0" w:oddHBand="0" w:evenHBand="0" w:firstRowFirstColumn="0" w:firstRowLastColumn="0" w:lastRowFirstColumn="0" w:lastRowLastColumn="0"/>
              <w:rPr>
                <w:i/>
              </w:rPr>
            </w:pPr>
            <w:r>
              <w:rPr>
                <w:i/>
              </w:rPr>
              <w:t>-30.0</w:t>
            </w:r>
          </w:p>
        </w:tc>
        <w:tc>
          <w:tcPr>
            <w:tcW w:w="726"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000000" w:firstRow="0" w:lastRow="0" w:firstColumn="0" w:lastColumn="0" w:oddVBand="0" w:evenVBand="0" w:oddHBand="0" w:evenHBand="0" w:firstRowFirstColumn="0" w:firstRowLastColumn="0" w:lastRowFirstColumn="0" w:lastRowLastColumn="0"/>
              <w:rPr>
                <w:i/>
              </w:rPr>
            </w:pPr>
            <w:r>
              <w:rPr>
                <w:i/>
              </w:rPr>
              <w:t>-30.0</w:t>
            </w:r>
          </w:p>
        </w:tc>
        <w:tc>
          <w:tcPr>
            <w:tcW w:w="725" w:type="pct"/>
            <w:tcBorders>
              <w:top w:val="single" w:sz="4" w:space="0" w:color="808080"/>
              <w:left w:val="single" w:sz="4" w:space="0" w:color="808080"/>
              <w:bottom w:val="single" w:sz="4" w:space="0" w:color="808080"/>
              <w:right w:val="single" w:sz="4" w:space="0" w:color="808080"/>
            </w:tcBorders>
            <w:hideMark/>
          </w:tcPr>
          <w:p w:rsidR="00F8300C" w:rsidRDefault="00F8300C" w:rsidP="002815B7">
            <w:pPr>
              <w:pStyle w:val="TableTextCentred"/>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-100.0</w:t>
            </w:r>
          </w:p>
        </w:tc>
      </w:tr>
      <w:tr w:rsidR="00F8300C" w:rsidTr="00F8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pPr>
              <w:pStyle w:val="TableTextCentred"/>
              <w:keepNext/>
              <w:keepLines/>
              <w:ind w:left="57" w:right="57"/>
              <w:jc w:val="left"/>
              <w:rPr>
                <w:b/>
              </w:rPr>
            </w:pPr>
            <w:r>
              <w:rPr>
                <w:b/>
              </w:rPr>
              <w:t>Total</w:t>
            </w:r>
          </w:p>
        </w:tc>
        <w:tc>
          <w:tcPr>
            <w:tcW w:w="645"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rPr>
              <w:t>2,430.0</w:t>
            </w:r>
          </w:p>
        </w:tc>
        <w:tc>
          <w:tcPr>
            <w:tcW w:w="724"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rPr>
              <w:t>2,970.0</w:t>
            </w:r>
          </w:p>
        </w:tc>
        <w:tc>
          <w:tcPr>
            <w:tcW w:w="645"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rPr>
              <w:t>2,820.0</w:t>
            </w:r>
          </w:p>
        </w:tc>
        <w:tc>
          <w:tcPr>
            <w:tcW w:w="726"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rPr>
              <w:t>2,850.0</w:t>
            </w:r>
          </w:p>
        </w:tc>
        <w:tc>
          <w:tcPr>
            <w:tcW w:w="725" w:type="pct"/>
            <w:tcBorders>
              <w:top w:val="single" w:sz="4" w:space="0" w:color="808080"/>
              <w:left w:val="single" w:sz="4" w:space="0" w:color="808080"/>
              <w:bottom w:val="single" w:sz="4" w:space="0" w:color="808080"/>
              <w:right w:val="single" w:sz="4" w:space="0" w:color="808080"/>
            </w:tcBorders>
            <w:shd w:val="clear" w:color="auto" w:fill="D7DDE9"/>
            <w:hideMark/>
          </w:tcPr>
          <w:p w:rsidR="00F8300C" w:rsidRDefault="00F8300C" w:rsidP="002815B7">
            <w:pPr>
              <w:pStyle w:val="TableTextCentred"/>
              <w:ind w:left="57" w:right="57"/>
              <w:jc w:val="right"/>
              <w:cnfStyle w:val="000000100000" w:firstRow="0" w:lastRow="0" w:firstColumn="0" w:lastColumn="0" w:oddVBand="0" w:evenVBand="0" w:oddHBand="1" w:evenHBand="0" w:firstRowFirstColumn="0" w:firstRowLastColumn="0" w:lastRowFirstColumn="0" w:lastRowLastColumn="0"/>
              <w:rPr>
                <w:b/>
              </w:rPr>
            </w:pPr>
            <w:r>
              <w:rPr>
                <w:b/>
              </w:rPr>
              <w:t>11,070.0</w:t>
            </w:r>
          </w:p>
        </w:tc>
      </w:tr>
    </w:tbl>
    <w:p w:rsidR="00F8300C" w:rsidRPr="0093173A" w:rsidRDefault="00F8300C" w:rsidP="000B5C96">
      <w:pPr>
        <w:pStyle w:val="Footnotes"/>
        <w:numPr>
          <w:ilvl w:val="0"/>
          <w:numId w:val="31"/>
        </w:numPr>
        <w:ind w:left="284" w:hanging="284"/>
      </w:pPr>
      <w:r w:rsidRPr="0093173A" w:rsidDel="0066665A">
        <w:t>A positive number for the underlying cash balance indicates an increase in revenue or a decrease in expenses in cash terms.</w:t>
      </w:r>
      <w:r w:rsidRPr="0093173A">
        <w:t xml:space="preserve">  </w:t>
      </w:r>
      <w:r w:rsidRPr="0093173A" w:rsidDel="0066665A">
        <w:t xml:space="preserve">A negative number for the underlying cash balance indicates an increase in </w:t>
      </w:r>
      <w:r w:rsidRPr="0093173A">
        <w:t>outlays</w:t>
      </w:r>
      <w:r w:rsidRPr="0093173A" w:rsidDel="0066665A">
        <w:t xml:space="preserve"> in cash terms.</w:t>
      </w:r>
    </w:p>
    <w:p w:rsidR="00F8300C" w:rsidRPr="0093173A" w:rsidRDefault="00F8300C" w:rsidP="000B5C96">
      <w:pPr>
        <w:pStyle w:val="Footnotes"/>
        <w:numPr>
          <w:ilvl w:val="0"/>
          <w:numId w:val="30"/>
        </w:numPr>
        <w:ind w:left="284" w:hanging="284"/>
      </w:pPr>
      <w:r w:rsidRPr="0093173A">
        <w:t>Figures may not sum to totals due to rounding.</w:t>
      </w:r>
    </w:p>
    <w:p w:rsidR="00F10BED" w:rsidRDefault="00F10BED" w:rsidP="000B5C96">
      <w:pPr>
        <w:pStyle w:val="Footnotes"/>
        <w:numPr>
          <w:ilvl w:val="0"/>
          <w:numId w:val="30"/>
        </w:numPr>
        <w:ind w:left="284" w:hanging="284"/>
        <w:sectPr w:rsidR="00F10BED" w:rsidSect="007E3C99">
          <w:headerReference w:type="even" r:id="rId26"/>
          <w:headerReference w:type="default" r:id="rId27"/>
          <w:footerReference w:type="even" r:id="rId28"/>
          <w:footerReference w:type="default" r:id="rId29"/>
          <w:headerReference w:type="first" r:id="rId30"/>
          <w:footerReference w:type="first" r:id="rId31"/>
          <w:pgSz w:w="11906" w:h="16838"/>
          <w:pgMar w:top="1361" w:right="1797" w:bottom="1474" w:left="1797" w:header="283" w:footer="454" w:gutter="0"/>
          <w:cols w:space="708"/>
          <w:docGrid w:linePitch="360"/>
        </w:sectPr>
      </w:pPr>
    </w:p>
    <w:p w:rsidR="004A6E8A" w:rsidRDefault="00F8300C" w:rsidP="007A4BF9">
      <w:pPr>
        <w:pStyle w:val="Heading5"/>
        <w:rPr>
          <w:rFonts w:eastAsia="Times New Roman"/>
        </w:rPr>
      </w:pPr>
      <w:bookmarkStart w:id="7" w:name="_Toc458015769"/>
      <w:bookmarkStart w:id="8" w:name="_Toc458090608"/>
      <w:r>
        <w:rPr>
          <w:rFonts w:eastAsia="Times New Roman"/>
        </w:rPr>
        <w:lastRenderedPageBreak/>
        <w:t>GRN002</w:t>
      </w:r>
      <w:r w:rsidRPr="0093173A">
        <w:rPr>
          <w:rFonts w:eastAsia="Times New Roman"/>
        </w:rPr>
        <w:t xml:space="preserve">: </w:t>
      </w:r>
      <w:r>
        <w:rPr>
          <w:rFonts w:eastAsia="Times New Roman"/>
        </w:rPr>
        <w:t>Defence Spending for a Confident Australia</w:t>
      </w:r>
      <w:bookmarkEnd w:id="7"/>
      <w:bookmarkEnd w:id="8"/>
    </w:p>
    <w:p w:rsidR="004A6E8A" w:rsidRDefault="004A6E8A" w:rsidP="007A4BF9">
      <w:pPr>
        <w:pStyle w:val="BodyText"/>
        <w:rPr>
          <w:rFonts w:ascii="Georgia" w:eastAsia="Times New Roman" w:hAnsi="Georgia"/>
          <w:color w:val="636366"/>
          <w:sz w:val="24"/>
        </w:rPr>
      </w:pPr>
      <w:r w:rsidRPr="0093173A">
        <w:rPr>
          <w:noProof/>
          <w:lang w:eastAsia="en-AU"/>
        </w:rPr>
        <w:drawing>
          <wp:inline distT="0" distB="0" distL="0" distR="0" wp14:anchorId="0BA5B827" wp14:editId="6F9674A6">
            <wp:extent cx="2696845" cy="572135"/>
            <wp:effectExtent l="0" t="0" r="8255" b="0"/>
            <wp:docPr id="11" name="Picture 1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F8300C" w:rsidRPr="007A4BF9" w:rsidRDefault="00F8300C" w:rsidP="004A6E8A">
      <w:pPr>
        <w:keepNext/>
        <w:keepLines/>
        <w:spacing w:before="180" w:after="60"/>
        <w:outlineLvl w:val="4"/>
        <w:rPr>
          <w:rStyle w:val="Heading6Char"/>
        </w:rPr>
      </w:pPr>
      <w:r w:rsidRPr="007A4BF9">
        <w:rPr>
          <w:rStyle w:val="Heading6Char"/>
        </w:rPr>
        <w:t>Policy costing—during the caretaker period for the</w:t>
      </w:r>
      <w:r w:rsidRPr="001C46AF">
        <w:rPr>
          <w:rFonts w:ascii="Georgia" w:hAnsi="Georgia"/>
          <w:bCs/>
          <w:color w:val="2B3B5F"/>
          <w:spacing w:val="-6"/>
          <w:kern w:val="32"/>
          <w:sz w:val="32"/>
          <w:szCs w:val="32"/>
        </w:rPr>
        <w:t xml:space="preserve"> </w:t>
      </w:r>
      <w:r w:rsidRPr="007A4BF9">
        <w:rPr>
          <w:rStyle w:val="Heading6Char"/>
        </w:rPr>
        <w:t>2016 general election</w:t>
      </w:r>
    </w:p>
    <w:tbl>
      <w:tblPr>
        <w:tblStyle w:val="Style11"/>
        <w:tblW w:w="8340" w:type="dxa"/>
        <w:tblLook w:val="04A0" w:firstRow="1" w:lastRow="0" w:firstColumn="1" w:lastColumn="0" w:noHBand="0" w:noVBand="1"/>
      </w:tblPr>
      <w:tblGrid>
        <w:gridCol w:w="3005"/>
        <w:gridCol w:w="5335"/>
      </w:tblGrid>
      <w:tr w:rsidR="00F8300C" w:rsidRPr="00AF49FE" w:rsidTr="006804CA">
        <w:trPr>
          <w:cnfStyle w:val="100000000000" w:firstRow="1" w:lastRow="0" w:firstColumn="0" w:lastColumn="0" w:oddVBand="0" w:evenVBand="0" w:oddHBand="0" w:evenHBand="0" w:firstRowFirstColumn="0" w:firstRowLastColumn="0" w:lastRowFirstColumn="0" w:lastRowLastColumn="0"/>
        </w:trPr>
        <w:tc>
          <w:tcPr>
            <w:tcW w:w="3005" w:type="dxa"/>
          </w:tcPr>
          <w:p w:rsidR="00F8300C" w:rsidRPr="00AF49FE" w:rsidRDefault="00F8300C" w:rsidP="00AF49FE">
            <w:pPr>
              <w:pStyle w:val="PullOutBoxHeading"/>
              <w:rPr>
                <w:b/>
                <w:sz w:val="22"/>
              </w:rPr>
            </w:pPr>
            <w:r w:rsidRPr="00AF49FE">
              <w:rPr>
                <w:b/>
                <w:sz w:val="22"/>
              </w:rPr>
              <w:t>Name of proposal:</w:t>
            </w:r>
          </w:p>
        </w:tc>
        <w:tc>
          <w:tcPr>
            <w:tcW w:w="5335" w:type="dxa"/>
          </w:tcPr>
          <w:p w:rsidR="00F8300C" w:rsidRPr="00AF49FE" w:rsidRDefault="00F8300C" w:rsidP="00AF49FE">
            <w:pPr>
              <w:pStyle w:val="PullOutBoxHeading"/>
              <w:rPr>
                <w:b/>
                <w:sz w:val="22"/>
              </w:rPr>
            </w:pPr>
            <w:r w:rsidRPr="00AF49FE">
              <w:rPr>
                <w:b/>
                <w:sz w:val="22"/>
              </w:rPr>
              <w:t>Defence Spending</w:t>
            </w:r>
          </w:p>
        </w:tc>
      </w:tr>
      <w:tr w:rsidR="00F8300C" w:rsidRPr="001C46AF" w:rsidTr="00C40D92">
        <w:tc>
          <w:tcPr>
            <w:tcW w:w="3005" w:type="dxa"/>
          </w:tcPr>
          <w:p w:rsidR="00F8300C" w:rsidRPr="001C46AF" w:rsidRDefault="00F8300C" w:rsidP="00AF49FE">
            <w:pPr>
              <w:pStyle w:val="PullOutBoxBodyText"/>
            </w:pPr>
            <w:r w:rsidRPr="001C46AF">
              <w:t>Summary of proposal:</w:t>
            </w:r>
          </w:p>
        </w:tc>
        <w:tc>
          <w:tcPr>
            <w:tcW w:w="5335" w:type="dxa"/>
          </w:tcPr>
          <w:p w:rsidR="00F8300C" w:rsidRPr="001C46AF" w:rsidRDefault="00F8300C" w:rsidP="00AF49FE">
            <w:pPr>
              <w:pStyle w:val="PullOutBoxBodyText"/>
            </w:pPr>
            <w:r w:rsidRPr="001C46AF">
              <w:t>The proposal would reduce the amount of expenditure on defence from 2017-18 to arrive at 75 per cent of total Defence expenditure projected for 2020-21.  Defence funding would thereafter be maintained at 1.5 per cent of Gross Domestic Product (GDP).</w:t>
            </w:r>
          </w:p>
          <w:p w:rsidR="00F8300C" w:rsidRPr="001C46AF" w:rsidRDefault="00F8300C" w:rsidP="00AF49FE">
            <w:pPr>
              <w:pStyle w:val="PullOutBoxBodyText"/>
            </w:pPr>
            <w:r w:rsidRPr="001C46AF">
              <w:t>The proposal would have effect from 1 July 2017.</w:t>
            </w:r>
          </w:p>
        </w:tc>
      </w:tr>
      <w:tr w:rsidR="00F8300C" w:rsidRPr="001C46AF" w:rsidTr="005B2F0D">
        <w:tc>
          <w:tcPr>
            <w:tcW w:w="3005" w:type="dxa"/>
          </w:tcPr>
          <w:p w:rsidR="00F8300C" w:rsidRPr="001C46AF" w:rsidRDefault="00F8300C" w:rsidP="00AF49FE">
            <w:pPr>
              <w:pStyle w:val="PullOutBoxBodyText"/>
            </w:pPr>
            <w:r w:rsidRPr="001C46AF">
              <w:t>Person/party requesting costing:</w:t>
            </w:r>
          </w:p>
        </w:tc>
        <w:tc>
          <w:tcPr>
            <w:tcW w:w="5335" w:type="dxa"/>
          </w:tcPr>
          <w:p w:rsidR="00F8300C" w:rsidRPr="001C46AF" w:rsidRDefault="00F8300C" w:rsidP="00AF49FE">
            <w:pPr>
              <w:pStyle w:val="PullOutBoxBodyText"/>
            </w:pPr>
            <w:r w:rsidRPr="001C46AF">
              <w:t>Senator Richard Di Natale, Australian Greens</w:t>
            </w:r>
          </w:p>
        </w:tc>
      </w:tr>
      <w:tr w:rsidR="00F8300C" w:rsidRPr="001C46AF" w:rsidTr="005B2F0D">
        <w:tc>
          <w:tcPr>
            <w:tcW w:w="3005" w:type="dxa"/>
          </w:tcPr>
          <w:p w:rsidR="00F8300C" w:rsidRPr="001C46AF" w:rsidRDefault="00F8300C" w:rsidP="00AF49FE">
            <w:pPr>
              <w:pStyle w:val="PullOutBoxBodyText"/>
            </w:pPr>
            <w:r w:rsidRPr="001C46AF">
              <w:t>Date of public release of policy:</w:t>
            </w:r>
          </w:p>
        </w:tc>
        <w:tc>
          <w:tcPr>
            <w:tcW w:w="5335" w:type="dxa"/>
          </w:tcPr>
          <w:p w:rsidR="00F8300C" w:rsidRPr="001C46AF" w:rsidRDefault="00F8300C" w:rsidP="00AF49FE">
            <w:pPr>
              <w:pStyle w:val="PullOutBoxBodyText"/>
            </w:pPr>
            <w:r w:rsidRPr="001C46AF">
              <w:t xml:space="preserve">23 June 2016 </w:t>
            </w:r>
          </w:p>
        </w:tc>
      </w:tr>
      <w:tr w:rsidR="00F8300C" w:rsidRPr="001C46AF" w:rsidTr="005B2F0D">
        <w:tc>
          <w:tcPr>
            <w:tcW w:w="3005" w:type="dxa"/>
          </w:tcPr>
          <w:p w:rsidR="00F8300C" w:rsidRPr="001C46AF" w:rsidRDefault="00F8300C" w:rsidP="00AF49FE">
            <w:pPr>
              <w:pStyle w:val="PullOutBoxBodyText"/>
            </w:pPr>
            <w:r w:rsidRPr="001C46AF">
              <w:t>Date costing request received:</w:t>
            </w:r>
          </w:p>
        </w:tc>
        <w:tc>
          <w:tcPr>
            <w:tcW w:w="5335" w:type="dxa"/>
          </w:tcPr>
          <w:p w:rsidR="00F8300C" w:rsidRPr="001C46AF" w:rsidRDefault="00F8300C" w:rsidP="00AF49FE">
            <w:pPr>
              <w:pStyle w:val="PullOutBoxBodyText"/>
            </w:pPr>
            <w:r w:rsidRPr="001C46AF">
              <w:t>23 June 2016</w:t>
            </w:r>
          </w:p>
        </w:tc>
      </w:tr>
      <w:tr w:rsidR="00F8300C" w:rsidRPr="001C46AF" w:rsidTr="005B2F0D">
        <w:tc>
          <w:tcPr>
            <w:tcW w:w="3005" w:type="dxa"/>
          </w:tcPr>
          <w:p w:rsidR="00F8300C" w:rsidRPr="001C46AF" w:rsidRDefault="00F8300C" w:rsidP="00AF49FE">
            <w:pPr>
              <w:pStyle w:val="PullOutBoxBodyText"/>
            </w:pPr>
            <w:r w:rsidRPr="001C46AF">
              <w:t>Date costing completed:</w:t>
            </w:r>
          </w:p>
        </w:tc>
        <w:tc>
          <w:tcPr>
            <w:tcW w:w="5335" w:type="dxa"/>
          </w:tcPr>
          <w:p w:rsidR="00F8300C" w:rsidRPr="001C46AF" w:rsidRDefault="00F8300C" w:rsidP="00AF49FE">
            <w:pPr>
              <w:pStyle w:val="PullOutBoxBodyText"/>
            </w:pPr>
            <w:r w:rsidRPr="001C46AF">
              <w:t>24 June 2016</w:t>
            </w:r>
          </w:p>
        </w:tc>
      </w:tr>
      <w:tr w:rsidR="00F8300C" w:rsidRPr="001C46AF" w:rsidTr="005B2F0D">
        <w:tc>
          <w:tcPr>
            <w:tcW w:w="3005" w:type="dxa"/>
          </w:tcPr>
          <w:p w:rsidR="00F8300C" w:rsidRPr="001C46AF" w:rsidRDefault="00F8300C" w:rsidP="00AF49FE">
            <w:pPr>
              <w:pStyle w:val="PullOutBoxBodyText"/>
            </w:pPr>
            <w:r w:rsidRPr="001C46AF">
              <w:t>Expiry date for the costing:</w:t>
            </w:r>
          </w:p>
        </w:tc>
        <w:tc>
          <w:tcPr>
            <w:tcW w:w="5335" w:type="dxa"/>
          </w:tcPr>
          <w:p w:rsidR="00F8300C" w:rsidRPr="001C46AF" w:rsidRDefault="00F8300C" w:rsidP="00AF49FE">
            <w:pPr>
              <w:pStyle w:val="PullOutBoxBodyText"/>
            </w:pPr>
            <w:r w:rsidRPr="001C46AF">
              <w:t>Release of the next economic and fiscal outlook report</w:t>
            </w:r>
          </w:p>
        </w:tc>
      </w:tr>
    </w:tbl>
    <w:p w:rsidR="00F8300C" w:rsidRPr="001C46AF" w:rsidRDefault="00F8300C" w:rsidP="00905B06">
      <w:pPr>
        <w:pStyle w:val="CostingsH7"/>
      </w:pPr>
      <w:r w:rsidRPr="001C46AF">
        <w:t>Costing overview</w:t>
      </w:r>
    </w:p>
    <w:p w:rsidR="00F8300C" w:rsidRPr="001C46AF" w:rsidRDefault="00F8300C" w:rsidP="00F10BED">
      <w:pPr>
        <w:pStyle w:val="BodyText"/>
      </w:pPr>
      <w:r w:rsidRPr="001C46AF">
        <w:t>This proposal would be expected to increase the fiscal and underlying cash balances by $14,111 million over the 2016</w:t>
      </w:r>
      <w:r w:rsidRPr="001C46AF">
        <w:noBreakHyphen/>
        <w:t xml:space="preserve">17 Budget forward estimates period.  This impact reflects a decrease in departmental expenses including capital investment.  This proposal would have an ongoing impact that extends beyond the forward estimates period.  The impacts over 2016-17 to 2026-27 are included at </w:t>
      </w:r>
      <w:r w:rsidRPr="001C46AF">
        <w:rPr>
          <w:u w:val="single"/>
        </w:rPr>
        <w:t>Attachment A</w:t>
      </w:r>
      <w:r w:rsidRPr="001C46AF">
        <w:t>.</w:t>
      </w:r>
    </w:p>
    <w:p w:rsidR="00F8300C" w:rsidRPr="001C46AF" w:rsidRDefault="00F8300C" w:rsidP="00F10BED">
      <w:pPr>
        <w:pStyle w:val="BodyText"/>
      </w:pPr>
      <w:r w:rsidRPr="001C46AF">
        <w:t>This costing is considered to be of medium to high reliability.  Although the costing is based on the 2016 Defence White Paper projections, the amount of future uncommitted funds is uncertain.</w:t>
      </w:r>
    </w:p>
    <w:p w:rsidR="00F8300C" w:rsidRPr="001C46AF" w:rsidRDefault="00F8300C" w:rsidP="004D6BCC">
      <w:pPr>
        <w:pStyle w:val="Caption"/>
      </w:pPr>
      <w:r w:rsidRPr="001C46AF">
        <w:lastRenderedPageBreak/>
        <w:t>Table 1: Financial implications (outturn prices)</w:t>
      </w:r>
      <w:r w:rsidRPr="001C46AF">
        <w:rPr>
          <w:vertAlign w:val="superscript"/>
        </w:rPr>
        <w:t>(a)(b)</w:t>
      </w:r>
    </w:p>
    <w:tbl>
      <w:tblPr>
        <w:tblStyle w:val="TableGrid1"/>
        <w:tblW w:w="4993" w:type="pct"/>
        <w:tblLook w:val="04A0" w:firstRow="1" w:lastRow="0" w:firstColumn="1" w:lastColumn="0" w:noHBand="0" w:noVBand="1"/>
      </w:tblPr>
      <w:tblGrid>
        <w:gridCol w:w="2645"/>
        <w:gridCol w:w="1134"/>
        <w:gridCol w:w="1133"/>
        <w:gridCol w:w="1133"/>
        <w:gridCol w:w="1133"/>
        <w:gridCol w:w="1132"/>
      </w:tblGrid>
      <w:tr w:rsidR="00F8300C" w:rsidRPr="001C46AF" w:rsidTr="005B2F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F8300C" w:rsidRPr="001C46AF" w:rsidRDefault="00F8300C" w:rsidP="004D6BCC">
            <w:pPr>
              <w:keepNext/>
              <w:keepLines/>
              <w:ind w:left="57" w:right="57"/>
              <w:rPr>
                <w:rFonts w:ascii="Calibri" w:hAnsi="Calibri"/>
                <w:szCs w:val="20"/>
              </w:rPr>
            </w:pPr>
            <w:r w:rsidRPr="001C46AF">
              <w:rPr>
                <w:rFonts w:ascii="Calibri" w:hAnsi="Calibri"/>
                <w:szCs w:val="20"/>
              </w:rPr>
              <w:t>Impact on ($m)</w:t>
            </w:r>
          </w:p>
        </w:tc>
        <w:tc>
          <w:tcPr>
            <w:tcW w:w="682" w:type="pct"/>
          </w:tcPr>
          <w:p w:rsidR="00F8300C" w:rsidRPr="001C46AF" w:rsidRDefault="00F8300C" w:rsidP="004D6BCC">
            <w:pPr>
              <w:keepNext/>
              <w:keepLines/>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2016–17</w:t>
            </w:r>
          </w:p>
        </w:tc>
        <w:tc>
          <w:tcPr>
            <w:tcW w:w="682" w:type="pct"/>
          </w:tcPr>
          <w:p w:rsidR="00F8300C" w:rsidRPr="001C46AF" w:rsidRDefault="00F8300C" w:rsidP="004D6BCC">
            <w:pPr>
              <w:keepNext/>
              <w:keepLines/>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2017–18</w:t>
            </w:r>
          </w:p>
        </w:tc>
        <w:tc>
          <w:tcPr>
            <w:tcW w:w="682" w:type="pct"/>
          </w:tcPr>
          <w:p w:rsidR="00F8300C" w:rsidRPr="001C46AF" w:rsidRDefault="00F8300C" w:rsidP="004D6BCC">
            <w:pPr>
              <w:keepNext/>
              <w:keepLines/>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2018–19</w:t>
            </w:r>
          </w:p>
        </w:tc>
        <w:tc>
          <w:tcPr>
            <w:tcW w:w="682" w:type="pct"/>
          </w:tcPr>
          <w:p w:rsidR="00F8300C" w:rsidRPr="001C46AF" w:rsidRDefault="00F8300C" w:rsidP="004D6BCC">
            <w:pPr>
              <w:keepNext/>
              <w:keepLines/>
              <w:ind w:left="57" w:right="57"/>
              <w:cnfStyle w:val="100000000000" w:firstRow="1" w:lastRow="0" w:firstColumn="0" w:lastColumn="0" w:oddVBand="0" w:evenVBand="0" w:oddHBand="0" w:evenHBand="0" w:firstRowFirstColumn="0" w:firstRowLastColumn="0" w:lastRowFirstColumn="0" w:lastRowLastColumn="0"/>
              <w:rPr>
                <w:rFonts w:ascii="Calibri" w:hAnsi="Calibri"/>
                <w:b/>
                <w:szCs w:val="20"/>
              </w:rPr>
            </w:pPr>
            <w:r w:rsidRPr="001C46AF">
              <w:rPr>
                <w:rFonts w:ascii="Calibri" w:hAnsi="Calibri"/>
                <w:szCs w:val="20"/>
              </w:rPr>
              <w:t>2019–20</w:t>
            </w:r>
          </w:p>
        </w:tc>
        <w:tc>
          <w:tcPr>
            <w:tcW w:w="681" w:type="pct"/>
          </w:tcPr>
          <w:p w:rsidR="00F8300C" w:rsidRPr="001C46AF" w:rsidRDefault="00F8300C" w:rsidP="004D6BCC">
            <w:pPr>
              <w:keepNext/>
              <w:keepLines/>
              <w:ind w:left="57" w:right="57"/>
              <w:cnfStyle w:val="100000000000" w:firstRow="1" w:lastRow="0" w:firstColumn="0" w:lastColumn="0" w:oddVBand="0" w:evenVBand="0" w:oddHBand="0" w:evenHBand="0" w:firstRowFirstColumn="0" w:firstRowLastColumn="0" w:lastRowFirstColumn="0" w:lastRowLastColumn="0"/>
              <w:rPr>
                <w:rFonts w:ascii="Calibri" w:hAnsi="Calibri"/>
                <w:b/>
                <w:szCs w:val="20"/>
              </w:rPr>
            </w:pPr>
            <w:r w:rsidRPr="001C46AF">
              <w:rPr>
                <w:rFonts w:ascii="Calibri" w:hAnsi="Calibri"/>
                <w:b/>
                <w:szCs w:val="20"/>
              </w:rPr>
              <w:t>Total</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F8300C" w:rsidRPr="001C46AF" w:rsidRDefault="00F8300C" w:rsidP="004D6BCC">
            <w:pPr>
              <w:keepNext/>
              <w:keepLines/>
              <w:ind w:left="57" w:right="57"/>
              <w:rPr>
                <w:szCs w:val="20"/>
              </w:rPr>
            </w:pPr>
            <w:r w:rsidRPr="001C46AF">
              <w:rPr>
                <w:szCs w:val="20"/>
              </w:rPr>
              <w:t>Fiscal balance</w:t>
            </w:r>
          </w:p>
        </w:tc>
        <w:tc>
          <w:tcPr>
            <w:tcW w:w="682" w:type="pct"/>
          </w:tcPr>
          <w:p w:rsidR="00F8300C" w:rsidRPr="001C46AF" w:rsidRDefault="00F8300C" w:rsidP="004D6BC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C46AF">
              <w:rPr>
                <w:rFonts w:ascii="Calibri" w:hAnsi="Calibri"/>
                <w:szCs w:val="20"/>
              </w:rPr>
              <w:t>-</w:t>
            </w:r>
          </w:p>
        </w:tc>
        <w:tc>
          <w:tcPr>
            <w:tcW w:w="682" w:type="pct"/>
          </w:tcPr>
          <w:p w:rsidR="00F8300C" w:rsidRPr="001C46AF" w:rsidRDefault="00F8300C" w:rsidP="004D6BC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C46AF">
              <w:rPr>
                <w:rFonts w:ascii="Calibri" w:hAnsi="Calibri"/>
                <w:szCs w:val="20"/>
              </w:rPr>
              <w:t>2,159.0</w:t>
            </w:r>
          </w:p>
        </w:tc>
        <w:tc>
          <w:tcPr>
            <w:tcW w:w="682" w:type="pct"/>
          </w:tcPr>
          <w:p w:rsidR="00F8300C" w:rsidRPr="001C46AF" w:rsidRDefault="00F8300C" w:rsidP="004D6BC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C46AF">
              <w:rPr>
                <w:rFonts w:ascii="Calibri" w:hAnsi="Calibri"/>
                <w:szCs w:val="20"/>
              </w:rPr>
              <w:t>4,597.0</w:t>
            </w:r>
          </w:p>
        </w:tc>
        <w:tc>
          <w:tcPr>
            <w:tcW w:w="682" w:type="pct"/>
          </w:tcPr>
          <w:p w:rsidR="00F8300C" w:rsidRPr="001C46AF" w:rsidRDefault="00F8300C" w:rsidP="004D6BC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C46AF">
              <w:rPr>
                <w:rFonts w:ascii="Calibri" w:hAnsi="Calibri"/>
                <w:szCs w:val="20"/>
              </w:rPr>
              <w:t>7,355.0</w:t>
            </w:r>
          </w:p>
        </w:tc>
        <w:tc>
          <w:tcPr>
            <w:tcW w:w="681" w:type="pct"/>
          </w:tcPr>
          <w:p w:rsidR="00F8300C" w:rsidRPr="001C46AF" w:rsidRDefault="00F8300C" w:rsidP="004D6BC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1C46AF">
              <w:rPr>
                <w:rFonts w:ascii="Calibri" w:hAnsi="Calibri"/>
                <w:b/>
                <w:szCs w:val="20"/>
              </w:rPr>
              <w:t>14,111.0</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1" w:type="pct"/>
          </w:tcPr>
          <w:p w:rsidR="00F8300C" w:rsidRPr="001C46AF" w:rsidRDefault="00F8300C" w:rsidP="004D6BCC">
            <w:pPr>
              <w:keepNext/>
              <w:keepLines/>
              <w:ind w:left="57" w:right="57"/>
              <w:rPr>
                <w:szCs w:val="20"/>
              </w:rPr>
            </w:pPr>
            <w:r w:rsidRPr="001C46AF">
              <w:rPr>
                <w:szCs w:val="20"/>
              </w:rPr>
              <w:t>Underlying cash balance</w:t>
            </w:r>
          </w:p>
        </w:tc>
        <w:tc>
          <w:tcPr>
            <w:tcW w:w="682" w:type="pct"/>
          </w:tcPr>
          <w:p w:rsidR="00F8300C" w:rsidRPr="001C46AF" w:rsidRDefault="00F8300C" w:rsidP="004D6BCC">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w:t>
            </w:r>
          </w:p>
        </w:tc>
        <w:tc>
          <w:tcPr>
            <w:tcW w:w="682" w:type="pct"/>
          </w:tcPr>
          <w:p w:rsidR="00F8300C" w:rsidRPr="001C46AF" w:rsidRDefault="00F8300C" w:rsidP="004D6BCC">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2,159.0</w:t>
            </w:r>
          </w:p>
        </w:tc>
        <w:tc>
          <w:tcPr>
            <w:tcW w:w="682" w:type="pct"/>
          </w:tcPr>
          <w:p w:rsidR="00F8300C" w:rsidRPr="001C46AF" w:rsidRDefault="00F8300C" w:rsidP="004D6BCC">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4,597.0</w:t>
            </w:r>
          </w:p>
        </w:tc>
        <w:tc>
          <w:tcPr>
            <w:tcW w:w="682" w:type="pct"/>
          </w:tcPr>
          <w:p w:rsidR="00F8300C" w:rsidRPr="001C46AF" w:rsidRDefault="00F8300C" w:rsidP="004D6BCC">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7,355.0</w:t>
            </w:r>
          </w:p>
        </w:tc>
        <w:tc>
          <w:tcPr>
            <w:tcW w:w="681" w:type="pct"/>
          </w:tcPr>
          <w:p w:rsidR="00F8300C" w:rsidRPr="001C46AF" w:rsidRDefault="00F8300C" w:rsidP="004D6BCC">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1C46AF">
              <w:rPr>
                <w:rFonts w:ascii="Calibri" w:hAnsi="Calibri"/>
                <w:b/>
                <w:szCs w:val="20"/>
              </w:rPr>
              <w:t>14,111.0</w:t>
            </w:r>
          </w:p>
        </w:tc>
      </w:tr>
    </w:tbl>
    <w:p w:rsidR="00F8300C" w:rsidRPr="00F3505A" w:rsidRDefault="00F8300C" w:rsidP="000B5C96">
      <w:pPr>
        <w:pStyle w:val="Footnotes"/>
        <w:keepNext/>
        <w:keepLines/>
        <w:numPr>
          <w:ilvl w:val="0"/>
          <w:numId w:val="32"/>
        </w:numPr>
        <w:ind w:left="284" w:hanging="284"/>
      </w:pPr>
      <w:r w:rsidRPr="00F3505A">
        <w:t>A positive number represents an increase in the relevant budget balance, a negative number represents a decrease</w:t>
      </w:r>
      <w:r w:rsidRPr="00F3505A" w:rsidDel="0066665A">
        <w:t>.</w:t>
      </w:r>
    </w:p>
    <w:p w:rsidR="00F8300C" w:rsidRPr="001C46AF" w:rsidRDefault="00F8300C" w:rsidP="000B5C96">
      <w:pPr>
        <w:pStyle w:val="Footnotes"/>
        <w:keepNext/>
        <w:keepLines/>
        <w:numPr>
          <w:ilvl w:val="0"/>
          <w:numId w:val="32"/>
        </w:numPr>
        <w:ind w:left="284" w:hanging="284"/>
      </w:pPr>
      <w:r w:rsidRPr="001C46AF">
        <w:t>Figures may not sum to totals due to rounding.</w:t>
      </w:r>
    </w:p>
    <w:p w:rsidR="00F8300C" w:rsidRPr="001C46AF" w:rsidRDefault="00F8300C" w:rsidP="000B5C96">
      <w:pPr>
        <w:pStyle w:val="Footnotes"/>
        <w:numPr>
          <w:ilvl w:val="0"/>
          <w:numId w:val="33"/>
        </w:numPr>
        <w:ind w:left="284" w:hanging="284"/>
      </w:pPr>
      <w:r w:rsidRPr="001C46AF">
        <w:tab/>
        <w:t>Indicates nil.</w:t>
      </w:r>
    </w:p>
    <w:p w:rsidR="00F8300C" w:rsidRPr="001C46AF" w:rsidRDefault="00F8300C" w:rsidP="00905B06">
      <w:pPr>
        <w:pStyle w:val="CostingsH7"/>
      </w:pPr>
      <w:r w:rsidRPr="001C46AF">
        <w:t>Key assumptions</w:t>
      </w:r>
    </w:p>
    <w:p w:rsidR="00F8300C" w:rsidRPr="001C46AF" w:rsidRDefault="00F8300C" w:rsidP="00F10BED">
      <w:pPr>
        <w:pStyle w:val="BodyText"/>
      </w:pPr>
      <w:r w:rsidRPr="001C46AF">
        <w:t>It has been assumed that there would be sufficient future uncommitted funds to meet the savings profile.</w:t>
      </w:r>
    </w:p>
    <w:p w:rsidR="00F8300C" w:rsidRPr="001C46AF" w:rsidRDefault="00F8300C" w:rsidP="00905B06">
      <w:pPr>
        <w:pStyle w:val="CostingsH7"/>
      </w:pPr>
      <w:r w:rsidRPr="001C46AF">
        <w:t>Methodology</w:t>
      </w:r>
    </w:p>
    <w:p w:rsidR="00F8300C" w:rsidRPr="001C46AF" w:rsidRDefault="00F8300C" w:rsidP="00F10BED">
      <w:pPr>
        <w:pStyle w:val="BodyText"/>
      </w:pPr>
      <w:r w:rsidRPr="001C46AF">
        <w:t>Baseline estimates of defence expenditure used in this costing are the 2016-17 Budget estimates over the period 2016-17 to 2019-20 and 2016 Defence White Paper projections across the medium term.</w:t>
      </w:r>
    </w:p>
    <w:p w:rsidR="00F8300C" w:rsidRPr="001C46AF" w:rsidRDefault="00F8300C" w:rsidP="00F10BED">
      <w:pPr>
        <w:pStyle w:val="BodyText"/>
      </w:pPr>
      <w:r w:rsidRPr="001C46AF">
        <w:t>Defence expenditure estimates under the proposal were calculated by reducing the baseline estimates by 6.25 per cent per annum cumulatively over the period 2017-18 to 2020-21.  For 2021-22 onwards, annual defence expenditure was calculated at 1.5 per cent of projected GDP.</w:t>
      </w:r>
    </w:p>
    <w:p w:rsidR="00F8300C" w:rsidRPr="001C46AF" w:rsidRDefault="00F8300C" w:rsidP="00905B06">
      <w:pPr>
        <w:pStyle w:val="CostingsH7"/>
      </w:pPr>
      <w:r w:rsidRPr="001C46AF">
        <w:t>Data sources</w:t>
      </w:r>
    </w:p>
    <w:p w:rsidR="00F8300C" w:rsidRPr="001C46AF" w:rsidRDefault="00F8300C" w:rsidP="00F10BED">
      <w:pPr>
        <w:pStyle w:val="ListBullet"/>
        <w:rPr>
          <w:lang w:eastAsia="en-AU"/>
        </w:rPr>
      </w:pPr>
      <w:r w:rsidRPr="001C46AF">
        <w:rPr>
          <w:lang w:eastAsia="en-AU"/>
        </w:rPr>
        <w:t>2016</w:t>
      </w:r>
      <w:r w:rsidRPr="001C46AF">
        <w:rPr>
          <w:lang w:eastAsia="en-AU"/>
        </w:rPr>
        <w:noBreakHyphen/>
        <w:t>17 Defence Portfolio Budget Statements, p. 104</w:t>
      </w:r>
    </w:p>
    <w:p w:rsidR="00F8300C" w:rsidRPr="001C46AF" w:rsidRDefault="00F8300C" w:rsidP="00B57595">
      <w:pPr>
        <w:pStyle w:val="ListBullet"/>
        <w:rPr>
          <w:lang w:eastAsia="en-AU"/>
        </w:rPr>
      </w:pPr>
      <w:r w:rsidRPr="001C46AF">
        <w:rPr>
          <w:lang w:eastAsia="en-AU"/>
        </w:rPr>
        <w:t>2016 Defence White Paper, p.180</w:t>
      </w:r>
    </w:p>
    <w:p w:rsidR="00F8300C" w:rsidRPr="001C46AF" w:rsidRDefault="00F8300C" w:rsidP="00B57595">
      <w:pPr>
        <w:pStyle w:val="BodyText"/>
        <w:sectPr w:rsidR="00F8300C" w:rsidRPr="001C46AF" w:rsidSect="007E3C99">
          <w:headerReference w:type="even" r:id="rId32"/>
          <w:headerReference w:type="default" r:id="rId33"/>
          <w:footerReference w:type="even" r:id="rId34"/>
          <w:footerReference w:type="default" r:id="rId35"/>
          <w:pgSz w:w="11906" w:h="16838"/>
          <w:pgMar w:top="1361" w:right="1797" w:bottom="1474" w:left="1797" w:header="283" w:footer="454" w:gutter="0"/>
          <w:cols w:space="708"/>
          <w:docGrid w:linePitch="360"/>
        </w:sectPr>
      </w:pPr>
    </w:p>
    <w:p w:rsidR="00F8300C" w:rsidRPr="001C46AF" w:rsidRDefault="00F8300C" w:rsidP="007A4BF9">
      <w:pPr>
        <w:pStyle w:val="Heading6"/>
      </w:pPr>
      <w:r w:rsidRPr="001C46AF">
        <w:lastRenderedPageBreak/>
        <w:t>Attachment A: Defence Spending—financial implications</w:t>
      </w:r>
    </w:p>
    <w:p w:rsidR="00F8300C" w:rsidRPr="001C46AF" w:rsidRDefault="00F8300C" w:rsidP="00905B06">
      <w:pPr>
        <w:pStyle w:val="Caption"/>
      </w:pPr>
      <w:r w:rsidRPr="001C46AF">
        <w:t>Table A1: Defence spending – Financial implications (outturn prices)</w:t>
      </w:r>
      <w:r w:rsidRPr="001C46AF">
        <w:rPr>
          <w:vertAlign w:val="superscript"/>
        </w:rPr>
        <w:t>(a)(b)</w:t>
      </w:r>
    </w:p>
    <w:tbl>
      <w:tblPr>
        <w:tblStyle w:val="TableGrid1"/>
        <w:tblW w:w="4948" w:type="pct"/>
        <w:tblLook w:val="0680" w:firstRow="0" w:lastRow="0" w:firstColumn="1" w:lastColumn="0" w:noHBand="1" w:noVBand="1"/>
      </w:tblPr>
      <w:tblGrid>
        <w:gridCol w:w="2016"/>
        <w:gridCol w:w="849"/>
        <w:gridCol w:w="846"/>
        <w:gridCol w:w="846"/>
        <w:gridCol w:w="846"/>
        <w:gridCol w:w="851"/>
        <w:gridCol w:w="846"/>
        <w:gridCol w:w="846"/>
        <w:gridCol w:w="846"/>
        <w:gridCol w:w="846"/>
        <w:gridCol w:w="846"/>
        <w:gridCol w:w="846"/>
        <w:gridCol w:w="847"/>
        <w:gridCol w:w="939"/>
      </w:tblGrid>
      <w:tr w:rsidR="00F8300C" w:rsidRPr="001C46AF" w:rsidTr="005B2F0D">
        <w:trPr>
          <w:cantSplit/>
        </w:trPr>
        <w:tc>
          <w:tcPr>
            <w:cnfStyle w:val="001000000000" w:firstRow="0" w:lastRow="0" w:firstColumn="1" w:lastColumn="0" w:oddVBand="0" w:evenVBand="0" w:oddHBand="0" w:evenHBand="0" w:firstRowFirstColumn="0" w:firstRowLastColumn="0" w:lastRowFirstColumn="0" w:lastRowLastColumn="0"/>
            <w:tcW w:w="770" w:type="pct"/>
            <w:shd w:val="clear" w:color="auto" w:fill="D7DDE9"/>
          </w:tcPr>
          <w:p w:rsidR="00F8300C" w:rsidRPr="001C46AF" w:rsidRDefault="00F8300C" w:rsidP="005B2F0D">
            <w:pPr>
              <w:keepNext/>
              <w:keepLines/>
              <w:ind w:left="57" w:right="57"/>
            </w:pPr>
            <w:r w:rsidRPr="001C46AF">
              <w:t>($m)</w:t>
            </w:r>
          </w:p>
        </w:tc>
        <w:tc>
          <w:tcPr>
            <w:tcW w:w="325"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1C46AF">
              <w:t>2016–17</w:t>
            </w:r>
          </w:p>
        </w:tc>
        <w:tc>
          <w:tcPr>
            <w:tcW w:w="324"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1C46AF">
              <w:t>2017–18</w:t>
            </w:r>
          </w:p>
        </w:tc>
        <w:tc>
          <w:tcPr>
            <w:tcW w:w="324"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1C46AF">
              <w:t>2018–19</w:t>
            </w:r>
          </w:p>
        </w:tc>
        <w:tc>
          <w:tcPr>
            <w:tcW w:w="324"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1C46AF">
              <w:t>2019–20</w:t>
            </w:r>
          </w:p>
        </w:tc>
        <w:tc>
          <w:tcPr>
            <w:tcW w:w="326"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rPr>
                <w:b/>
              </w:rPr>
            </w:pPr>
            <w:r w:rsidRPr="001C46AF">
              <w:rPr>
                <w:b/>
              </w:rPr>
              <w:t>Total to 2019–20</w:t>
            </w:r>
          </w:p>
        </w:tc>
        <w:tc>
          <w:tcPr>
            <w:tcW w:w="324"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1C46AF">
              <w:t>2020–21</w:t>
            </w:r>
          </w:p>
        </w:tc>
        <w:tc>
          <w:tcPr>
            <w:tcW w:w="324"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1C46AF">
              <w:t>2021–22</w:t>
            </w:r>
          </w:p>
        </w:tc>
        <w:tc>
          <w:tcPr>
            <w:tcW w:w="324"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1C46AF">
              <w:t>2022–23</w:t>
            </w:r>
          </w:p>
        </w:tc>
        <w:tc>
          <w:tcPr>
            <w:tcW w:w="324"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1C46AF">
              <w:t>2023–24</w:t>
            </w:r>
          </w:p>
        </w:tc>
        <w:tc>
          <w:tcPr>
            <w:tcW w:w="324"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1C46AF">
              <w:t>2024–25</w:t>
            </w:r>
          </w:p>
        </w:tc>
        <w:tc>
          <w:tcPr>
            <w:tcW w:w="324"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1C46AF">
              <w:t>2025–26</w:t>
            </w:r>
          </w:p>
        </w:tc>
        <w:tc>
          <w:tcPr>
            <w:tcW w:w="324"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1C46AF">
              <w:t>2026–27</w:t>
            </w:r>
          </w:p>
        </w:tc>
        <w:tc>
          <w:tcPr>
            <w:tcW w:w="339" w:type="pct"/>
            <w:shd w:val="clear" w:color="auto" w:fill="D7DDE9"/>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rPr>
                <w:b/>
              </w:rPr>
            </w:pPr>
            <w:r w:rsidRPr="001C46AF">
              <w:rPr>
                <w:b/>
              </w:rPr>
              <w:t>Total to 2026–27</w:t>
            </w:r>
          </w:p>
        </w:tc>
      </w:tr>
      <w:tr w:rsidR="00F8300C" w:rsidRPr="001C46AF" w:rsidTr="005B2F0D">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F8300C" w:rsidRPr="001C46AF" w:rsidRDefault="00F8300C" w:rsidP="005B2F0D">
            <w:pPr>
              <w:keepNext/>
              <w:keepLines/>
              <w:ind w:left="57" w:right="57"/>
              <w:rPr>
                <w:b/>
              </w:rPr>
            </w:pPr>
            <w:r w:rsidRPr="001C46AF">
              <w:rPr>
                <w:b/>
              </w:rPr>
              <w:t>Impact on fiscal and underlying cash balances – expenses</w:t>
            </w:r>
          </w:p>
        </w:tc>
      </w:tr>
      <w:tr w:rsidR="00F8300C" w:rsidRPr="001C46AF" w:rsidTr="005B2F0D">
        <w:trPr>
          <w:cantSplit/>
        </w:trPr>
        <w:tc>
          <w:tcPr>
            <w:cnfStyle w:val="001000000000" w:firstRow="0" w:lastRow="0" w:firstColumn="1" w:lastColumn="0" w:oddVBand="0" w:evenVBand="0" w:oddHBand="0" w:evenHBand="0" w:firstRowFirstColumn="0" w:firstRowLastColumn="0" w:lastRowFirstColumn="0" w:lastRowLastColumn="0"/>
            <w:tcW w:w="770" w:type="pct"/>
          </w:tcPr>
          <w:p w:rsidR="00F8300C" w:rsidRPr="001C46AF" w:rsidRDefault="00F8300C" w:rsidP="005B2F0D">
            <w:pPr>
              <w:keepNext/>
              <w:keepLines/>
              <w:ind w:left="57" w:right="57"/>
            </w:pPr>
            <w:r w:rsidRPr="001C46AF">
              <w:t>Defence expenditure</w:t>
            </w:r>
          </w:p>
        </w:tc>
        <w:tc>
          <w:tcPr>
            <w:tcW w:w="325"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w:t>
            </w:r>
          </w:p>
        </w:tc>
        <w:tc>
          <w:tcPr>
            <w:tcW w:w="324"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2,159.0</w:t>
            </w:r>
          </w:p>
        </w:tc>
        <w:tc>
          <w:tcPr>
            <w:tcW w:w="324"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4,597.0</w:t>
            </w:r>
          </w:p>
        </w:tc>
        <w:tc>
          <w:tcPr>
            <w:tcW w:w="324"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7,355.0</w:t>
            </w:r>
          </w:p>
        </w:tc>
        <w:tc>
          <w:tcPr>
            <w:tcW w:w="326"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rPr>
                <w:b/>
              </w:rPr>
            </w:pPr>
            <w:r w:rsidRPr="001C46AF">
              <w:rPr>
                <w:b/>
              </w:rPr>
              <w:t>14,111.0</w:t>
            </w:r>
          </w:p>
        </w:tc>
        <w:tc>
          <w:tcPr>
            <w:tcW w:w="324"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10,596.0</w:t>
            </w:r>
          </w:p>
        </w:tc>
        <w:tc>
          <w:tcPr>
            <w:tcW w:w="324"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14,287.0</w:t>
            </w:r>
          </w:p>
        </w:tc>
        <w:tc>
          <w:tcPr>
            <w:tcW w:w="324"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16,464.0</w:t>
            </w:r>
          </w:p>
        </w:tc>
        <w:tc>
          <w:tcPr>
            <w:tcW w:w="324"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17,795.0</w:t>
            </w:r>
          </w:p>
        </w:tc>
        <w:tc>
          <w:tcPr>
            <w:tcW w:w="324"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18,723.0</w:t>
            </w:r>
          </w:p>
        </w:tc>
        <w:tc>
          <w:tcPr>
            <w:tcW w:w="324"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19,758.0</w:t>
            </w:r>
          </w:p>
        </w:tc>
        <w:tc>
          <w:tcPr>
            <w:tcW w:w="324"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20,845.0</w:t>
            </w:r>
          </w:p>
        </w:tc>
        <w:tc>
          <w:tcPr>
            <w:tcW w:w="339" w:type="pct"/>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rPr>
                <w:b/>
              </w:rPr>
            </w:pPr>
            <w:r w:rsidRPr="001C46AF">
              <w:rPr>
                <w:b/>
              </w:rPr>
              <w:t>132,579.0</w:t>
            </w:r>
          </w:p>
        </w:tc>
      </w:tr>
      <w:tr w:rsidR="00F8300C" w:rsidRPr="001C46AF" w:rsidTr="005B2F0D">
        <w:trPr>
          <w:cantSplit/>
        </w:trPr>
        <w:tc>
          <w:tcPr>
            <w:cnfStyle w:val="001000000000" w:firstRow="0" w:lastRow="0" w:firstColumn="1" w:lastColumn="0" w:oddVBand="0" w:evenVBand="0" w:oddHBand="0" w:evenHBand="0" w:firstRowFirstColumn="0" w:firstRowLastColumn="0" w:lastRowFirstColumn="0" w:lastRowLastColumn="0"/>
            <w:tcW w:w="770" w:type="pct"/>
            <w:shd w:val="clear" w:color="auto" w:fill="D7DDE9"/>
          </w:tcPr>
          <w:p w:rsidR="00F8300C" w:rsidRPr="001C46AF" w:rsidRDefault="00F8300C" w:rsidP="005B2F0D">
            <w:pPr>
              <w:keepNext/>
              <w:keepLines/>
              <w:ind w:left="57" w:right="57"/>
              <w:rPr>
                <w:b/>
              </w:rPr>
            </w:pPr>
            <w:r w:rsidRPr="001C46AF">
              <w:rPr>
                <w:b/>
              </w:rPr>
              <w:t>Total</w:t>
            </w:r>
          </w:p>
        </w:tc>
        <w:tc>
          <w:tcPr>
            <w:tcW w:w="325"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w:t>
            </w:r>
          </w:p>
        </w:tc>
        <w:tc>
          <w:tcPr>
            <w:tcW w:w="324"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2,159.0</w:t>
            </w:r>
          </w:p>
        </w:tc>
        <w:tc>
          <w:tcPr>
            <w:tcW w:w="324"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4,597.0</w:t>
            </w:r>
          </w:p>
        </w:tc>
        <w:tc>
          <w:tcPr>
            <w:tcW w:w="324"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7,355.0</w:t>
            </w:r>
          </w:p>
        </w:tc>
        <w:tc>
          <w:tcPr>
            <w:tcW w:w="326"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rPr>
                <w:b/>
              </w:rPr>
            </w:pPr>
            <w:r w:rsidRPr="001C46AF">
              <w:rPr>
                <w:b/>
              </w:rPr>
              <w:t>14,111.0</w:t>
            </w:r>
          </w:p>
        </w:tc>
        <w:tc>
          <w:tcPr>
            <w:tcW w:w="324"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10,596.0</w:t>
            </w:r>
          </w:p>
        </w:tc>
        <w:tc>
          <w:tcPr>
            <w:tcW w:w="324"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14,287.0</w:t>
            </w:r>
          </w:p>
        </w:tc>
        <w:tc>
          <w:tcPr>
            <w:tcW w:w="324"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16,464.0</w:t>
            </w:r>
          </w:p>
        </w:tc>
        <w:tc>
          <w:tcPr>
            <w:tcW w:w="324"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17,795.0</w:t>
            </w:r>
          </w:p>
        </w:tc>
        <w:tc>
          <w:tcPr>
            <w:tcW w:w="324"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18,723.0</w:t>
            </w:r>
          </w:p>
        </w:tc>
        <w:tc>
          <w:tcPr>
            <w:tcW w:w="324"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19,758.0</w:t>
            </w:r>
          </w:p>
        </w:tc>
        <w:tc>
          <w:tcPr>
            <w:tcW w:w="324"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pPr>
            <w:r w:rsidRPr="001C46AF">
              <w:t>20,845.0</w:t>
            </w:r>
          </w:p>
        </w:tc>
        <w:tc>
          <w:tcPr>
            <w:tcW w:w="339" w:type="pct"/>
            <w:shd w:val="clear" w:color="auto" w:fill="D7DDE9"/>
          </w:tcPr>
          <w:p w:rsidR="00F8300C" w:rsidRPr="001C46AF" w:rsidRDefault="00F8300C" w:rsidP="005B2F0D">
            <w:pPr>
              <w:jc w:val="right"/>
              <w:cnfStyle w:val="000000000000" w:firstRow="0" w:lastRow="0" w:firstColumn="0" w:lastColumn="0" w:oddVBand="0" w:evenVBand="0" w:oddHBand="0" w:evenHBand="0" w:firstRowFirstColumn="0" w:firstRowLastColumn="0" w:lastRowFirstColumn="0" w:lastRowLastColumn="0"/>
              <w:rPr>
                <w:b/>
              </w:rPr>
            </w:pPr>
            <w:r w:rsidRPr="001C46AF">
              <w:rPr>
                <w:b/>
              </w:rPr>
              <w:t>132,579.0</w:t>
            </w:r>
          </w:p>
        </w:tc>
      </w:tr>
    </w:tbl>
    <w:p w:rsidR="00F8300C" w:rsidRPr="003A154A" w:rsidRDefault="00F8300C" w:rsidP="000B5C96">
      <w:pPr>
        <w:pStyle w:val="Footnotes"/>
        <w:numPr>
          <w:ilvl w:val="0"/>
          <w:numId w:val="27"/>
        </w:numPr>
        <w:ind w:left="284" w:hanging="284"/>
      </w:pPr>
      <w:r w:rsidRPr="003A154A">
        <w:t>A positive number for the underlying cash and fiscal balances indicates a decrease in expenditure.</w:t>
      </w:r>
    </w:p>
    <w:p w:rsidR="00F8300C" w:rsidRPr="001C46AF" w:rsidRDefault="00F8300C" w:rsidP="00594AA9">
      <w:pPr>
        <w:pStyle w:val="Footnotes"/>
      </w:pPr>
      <w:r w:rsidRPr="001C46AF">
        <w:t xml:space="preserve">Figures may not sum to totals due to rounding.  </w:t>
      </w:r>
    </w:p>
    <w:p w:rsidR="00F8300C" w:rsidRDefault="00F8300C" w:rsidP="000B5C96">
      <w:pPr>
        <w:pStyle w:val="Footnotes"/>
        <w:numPr>
          <w:ilvl w:val="0"/>
          <w:numId w:val="33"/>
        </w:numPr>
        <w:ind w:left="284" w:hanging="284"/>
      </w:pPr>
      <w:r w:rsidRPr="001C46AF">
        <w:tab/>
        <w:t>Indicates nil.</w:t>
      </w:r>
    </w:p>
    <w:p w:rsidR="00F8300C" w:rsidRDefault="00F8300C" w:rsidP="00594AA9">
      <w:pPr>
        <w:pStyle w:val="Footnotes"/>
        <w:sectPr w:rsidR="00F8300C" w:rsidSect="007E3C99">
          <w:headerReference w:type="even" r:id="rId36"/>
          <w:headerReference w:type="default" r:id="rId37"/>
          <w:footerReference w:type="even" r:id="rId38"/>
          <w:footerReference w:type="default" r:id="rId39"/>
          <w:pgSz w:w="16838" w:h="11906" w:orient="landscape"/>
          <w:pgMar w:top="1361" w:right="1797" w:bottom="1474" w:left="1797" w:header="283" w:footer="454" w:gutter="0"/>
          <w:cols w:space="708"/>
          <w:docGrid w:linePitch="360"/>
        </w:sectPr>
      </w:pPr>
    </w:p>
    <w:p w:rsidR="00F8300C" w:rsidRPr="001C46AF" w:rsidRDefault="00F8300C" w:rsidP="007A4BF9">
      <w:pPr>
        <w:pStyle w:val="Heading5"/>
        <w:rPr>
          <w:rFonts w:eastAsia="Times New Roman"/>
        </w:rPr>
      </w:pPr>
      <w:bookmarkStart w:id="9" w:name="_Toc456766786"/>
      <w:bookmarkStart w:id="10" w:name="_Toc457819880"/>
      <w:bookmarkStart w:id="11" w:name="_Toc458015770"/>
      <w:bookmarkStart w:id="12" w:name="_Toc458090609"/>
      <w:r w:rsidRPr="001C46AF">
        <w:rPr>
          <w:rFonts w:eastAsia="Times New Roman"/>
        </w:rPr>
        <w:lastRenderedPageBreak/>
        <w:t>GRN003: An end to Fossil Fuel Subsidies</w:t>
      </w:r>
      <w:bookmarkEnd w:id="9"/>
      <w:bookmarkEnd w:id="10"/>
      <w:bookmarkEnd w:id="11"/>
      <w:bookmarkEnd w:id="12"/>
    </w:p>
    <w:p w:rsidR="00F8300C" w:rsidRDefault="00F8300C" w:rsidP="007A4BF9">
      <w:pPr>
        <w:pStyle w:val="BodyText"/>
      </w:pPr>
      <w:r w:rsidRPr="001C46AF">
        <w:rPr>
          <w:noProof/>
          <w:lang w:eastAsia="en-AU"/>
        </w:rPr>
        <w:drawing>
          <wp:inline distT="0" distB="0" distL="0" distR="0" wp14:anchorId="7A060541" wp14:editId="54047FAE">
            <wp:extent cx="2696845" cy="572135"/>
            <wp:effectExtent l="0" t="0" r="8255" b="0"/>
            <wp:docPr id="8" name="Picture 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F8300C" w:rsidRPr="001C46AF" w:rsidRDefault="00F8300C" w:rsidP="007A4BF9">
      <w:pPr>
        <w:pStyle w:val="Heading6"/>
      </w:pPr>
      <w:r w:rsidRPr="001C46AF">
        <w:t>Policy costing—during the caretaker period for the 2016 general election</w:t>
      </w:r>
    </w:p>
    <w:tbl>
      <w:tblPr>
        <w:tblStyle w:val="Style12"/>
        <w:tblW w:w="8340" w:type="dxa"/>
        <w:tblLook w:val="04A0" w:firstRow="1" w:lastRow="0" w:firstColumn="1" w:lastColumn="0" w:noHBand="0" w:noVBand="1"/>
      </w:tblPr>
      <w:tblGrid>
        <w:gridCol w:w="3005"/>
        <w:gridCol w:w="5335"/>
      </w:tblGrid>
      <w:tr w:rsidR="00F8300C" w:rsidRPr="00AF49FE" w:rsidTr="005B2F0D">
        <w:trPr>
          <w:cnfStyle w:val="100000000000" w:firstRow="1" w:lastRow="0" w:firstColumn="0" w:lastColumn="0" w:oddVBand="0" w:evenVBand="0" w:oddHBand="0" w:evenHBand="0" w:firstRowFirstColumn="0" w:firstRowLastColumn="0" w:lastRowFirstColumn="0" w:lastRowLastColumn="0"/>
        </w:trPr>
        <w:tc>
          <w:tcPr>
            <w:tcW w:w="3005" w:type="dxa"/>
          </w:tcPr>
          <w:p w:rsidR="00F8300C" w:rsidRPr="00AF49FE" w:rsidRDefault="00F8300C" w:rsidP="00AF49FE">
            <w:pPr>
              <w:pStyle w:val="PullOutBoxHeading"/>
              <w:rPr>
                <w:b/>
                <w:sz w:val="22"/>
              </w:rPr>
            </w:pPr>
            <w:r w:rsidRPr="00AF49FE">
              <w:rPr>
                <w:b/>
                <w:sz w:val="22"/>
              </w:rPr>
              <w:t>Name of proposal:</w:t>
            </w:r>
          </w:p>
        </w:tc>
        <w:tc>
          <w:tcPr>
            <w:tcW w:w="5335" w:type="dxa"/>
          </w:tcPr>
          <w:p w:rsidR="00F8300C" w:rsidRPr="00AF49FE" w:rsidRDefault="00F8300C" w:rsidP="00AF49FE">
            <w:pPr>
              <w:pStyle w:val="PullOutBoxHeading"/>
              <w:rPr>
                <w:b/>
                <w:sz w:val="22"/>
              </w:rPr>
            </w:pPr>
            <w:r w:rsidRPr="00AF49FE">
              <w:rPr>
                <w:b/>
                <w:sz w:val="22"/>
              </w:rPr>
              <w:t>Ending subsidies for fossil fuel use and extraction</w:t>
            </w:r>
          </w:p>
        </w:tc>
      </w:tr>
      <w:tr w:rsidR="00F8300C" w:rsidRPr="001C46AF" w:rsidTr="005B2F0D">
        <w:tc>
          <w:tcPr>
            <w:tcW w:w="3005" w:type="dxa"/>
          </w:tcPr>
          <w:p w:rsidR="00F8300C" w:rsidRPr="001C46AF" w:rsidRDefault="00F8300C" w:rsidP="004C4DCA">
            <w:pPr>
              <w:spacing w:after="120" w:line="300" w:lineRule="atLeast"/>
            </w:pPr>
            <w:r w:rsidRPr="001C46AF">
              <w:t>Summary of proposal:</w:t>
            </w:r>
          </w:p>
        </w:tc>
        <w:tc>
          <w:tcPr>
            <w:tcW w:w="5335" w:type="dxa"/>
          </w:tcPr>
          <w:p w:rsidR="00F8300C" w:rsidRPr="001C46AF" w:rsidRDefault="00F8300C" w:rsidP="00E1733B">
            <w:pPr>
              <w:pStyle w:val="PullOutBoxBodyText"/>
            </w:pPr>
            <w:r w:rsidRPr="001C46AF">
              <w:t>The proposal would abolish:</w:t>
            </w:r>
          </w:p>
          <w:p w:rsidR="00F8300C" w:rsidRPr="001C46AF" w:rsidRDefault="00F8300C" w:rsidP="00E1733B">
            <w:pPr>
              <w:pStyle w:val="PullOutBoxBullet"/>
              <w:rPr>
                <w:lang w:eastAsia="en-AU"/>
              </w:rPr>
            </w:pPr>
            <w:r w:rsidRPr="001C46AF">
              <w:rPr>
                <w:lang w:eastAsia="en-AU"/>
              </w:rPr>
              <w:t>Fuel Tax Credits (FTCs) for all industries except agricultural businesses</w:t>
            </w:r>
          </w:p>
          <w:p w:rsidR="00F8300C" w:rsidRPr="001C46AF" w:rsidRDefault="00F8300C" w:rsidP="00E1733B">
            <w:pPr>
              <w:pStyle w:val="PullOutBoxBullet"/>
              <w:rPr>
                <w:lang w:eastAsia="en-AU"/>
              </w:rPr>
            </w:pPr>
            <w:r w:rsidRPr="001C46AF">
              <w:rPr>
                <w:lang w:eastAsia="en-AU"/>
              </w:rPr>
              <w:t>the frontier exploration uplift from the Petroleum Resource Rent Tax (PRRT)</w:t>
            </w:r>
          </w:p>
          <w:p w:rsidR="00F8300C" w:rsidRPr="001C46AF" w:rsidRDefault="00F8300C" w:rsidP="00E1733B">
            <w:pPr>
              <w:pStyle w:val="PullOutBoxBullet"/>
              <w:rPr>
                <w:lang w:eastAsia="en-AU"/>
              </w:rPr>
            </w:pPr>
            <w:r w:rsidRPr="001C46AF">
              <w:rPr>
                <w:lang w:eastAsia="en-AU"/>
              </w:rPr>
              <w:t>accelerated asset depreciation for aircraft, the oil and gas industry and motor vehicles (except for those used for agricultural purposes)</w:t>
            </w:r>
          </w:p>
          <w:p w:rsidR="00F8300C" w:rsidRPr="001C46AF" w:rsidRDefault="00F8300C" w:rsidP="00E1733B">
            <w:pPr>
              <w:pStyle w:val="PullOutBoxBullet"/>
              <w:rPr>
                <w:lang w:eastAsia="en-AU"/>
              </w:rPr>
            </w:pPr>
            <w:r w:rsidRPr="001C46AF">
              <w:rPr>
                <w:lang w:eastAsia="en-AU"/>
              </w:rPr>
              <w:t>the immediate deduction for exploration and prospecting expenses for the mining industry, including the Mining Exploration Development Incentive</w:t>
            </w:r>
          </w:p>
          <w:p w:rsidR="00F8300C" w:rsidRPr="001C46AF" w:rsidRDefault="00F8300C" w:rsidP="00E1733B">
            <w:pPr>
              <w:pStyle w:val="PullOutBoxBullet"/>
              <w:rPr>
                <w:lang w:eastAsia="en-AU"/>
              </w:rPr>
            </w:pPr>
            <w:r w:rsidRPr="001C46AF">
              <w:rPr>
                <w:lang w:eastAsia="en-AU"/>
              </w:rPr>
              <w:t>the Australia-China Science and Research Fund (ACSRF).</w:t>
            </w:r>
          </w:p>
          <w:p w:rsidR="00F8300C" w:rsidRPr="001C46AF" w:rsidRDefault="00F8300C" w:rsidP="00E1733B">
            <w:pPr>
              <w:pStyle w:val="PullOutBoxBodyText"/>
            </w:pPr>
            <w:r w:rsidRPr="001C46AF">
              <w:t>The proposal would have effect from 1 September 2016.</w:t>
            </w:r>
          </w:p>
        </w:tc>
      </w:tr>
      <w:tr w:rsidR="00F8300C" w:rsidRPr="001C46AF" w:rsidTr="005B2F0D">
        <w:tc>
          <w:tcPr>
            <w:tcW w:w="3005" w:type="dxa"/>
          </w:tcPr>
          <w:p w:rsidR="00F8300C" w:rsidRPr="001C46AF" w:rsidRDefault="00F8300C" w:rsidP="00E1733B">
            <w:pPr>
              <w:pStyle w:val="PullOutBoxBodyText"/>
            </w:pPr>
            <w:r w:rsidRPr="001C46AF">
              <w:t>Person/party requesting costing:</w:t>
            </w:r>
          </w:p>
        </w:tc>
        <w:tc>
          <w:tcPr>
            <w:tcW w:w="5335" w:type="dxa"/>
          </w:tcPr>
          <w:p w:rsidR="00F8300C" w:rsidRPr="001C46AF" w:rsidRDefault="00F8300C" w:rsidP="00E1733B">
            <w:pPr>
              <w:pStyle w:val="PullOutBoxBodyText"/>
            </w:pPr>
            <w:r w:rsidRPr="001C46AF">
              <w:t>Senator Richard Di Natale, Australian Greens</w:t>
            </w:r>
          </w:p>
        </w:tc>
      </w:tr>
      <w:tr w:rsidR="00F8300C" w:rsidRPr="001C46AF" w:rsidTr="005B2F0D">
        <w:tc>
          <w:tcPr>
            <w:tcW w:w="3005" w:type="dxa"/>
          </w:tcPr>
          <w:p w:rsidR="00F8300C" w:rsidRPr="001C46AF" w:rsidRDefault="00F8300C" w:rsidP="00E1733B">
            <w:pPr>
              <w:pStyle w:val="PullOutBoxBodyText"/>
            </w:pPr>
            <w:r w:rsidRPr="001C46AF">
              <w:t>Date of public release of policy:</w:t>
            </w:r>
          </w:p>
        </w:tc>
        <w:tc>
          <w:tcPr>
            <w:tcW w:w="5335" w:type="dxa"/>
          </w:tcPr>
          <w:p w:rsidR="00F8300C" w:rsidRPr="001C46AF" w:rsidRDefault="00F8300C" w:rsidP="00E1733B">
            <w:pPr>
              <w:pStyle w:val="PullOutBoxBodyText"/>
            </w:pPr>
            <w:r w:rsidRPr="001C46AF">
              <w:t>22 April 2016</w:t>
            </w:r>
          </w:p>
          <w:p w:rsidR="00F8300C" w:rsidRPr="001C46AF" w:rsidRDefault="00E46526" w:rsidP="00E1733B">
            <w:pPr>
              <w:pStyle w:val="PullOutBoxBodyText"/>
            </w:pPr>
            <w:hyperlink r:id="rId40" w:history="1">
              <w:r w:rsidR="00F8300C" w:rsidRPr="001C46AF">
                <w:rPr>
                  <w:color w:val="000000" w:themeColor="hyperlink"/>
                  <w:u w:val="single"/>
                </w:rPr>
                <w:t>http://greens.org.au/news/vic/australian-greens-pledge-implement-paris-agreement</w:t>
              </w:r>
            </w:hyperlink>
            <w:r w:rsidR="00F8300C" w:rsidRPr="001C46AF">
              <w:t xml:space="preserve"> </w:t>
            </w:r>
          </w:p>
        </w:tc>
      </w:tr>
      <w:tr w:rsidR="00F8300C" w:rsidRPr="001C46AF" w:rsidTr="005B2F0D">
        <w:tc>
          <w:tcPr>
            <w:tcW w:w="3005" w:type="dxa"/>
          </w:tcPr>
          <w:p w:rsidR="00F8300C" w:rsidRPr="001C46AF" w:rsidRDefault="00F8300C" w:rsidP="00E1733B">
            <w:pPr>
              <w:pStyle w:val="PullOutBoxBodyText"/>
            </w:pPr>
            <w:r w:rsidRPr="001C46AF">
              <w:t>Date costing request received:</w:t>
            </w:r>
          </w:p>
        </w:tc>
        <w:tc>
          <w:tcPr>
            <w:tcW w:w="5335" w:type="dxa"/>
          </w:tcPr>
          <w:p w:rsidR="00F8300C" w:rsidRPr="001C46AF" w:rsidRDefault="00F8300C" w:rsidP="00E1733B">
            <w:pPr>
              <w:pStyle w:val="PullOutBoxBodyText"/>
            </w:pPr>
            <w:r w:rsidRPr="001C46AF">
              <w:t>23 June 2016</w:t>
            </w:r>
          </w:p>
        </w:tc>
      </w:tr>
      <w:tr w:rsidR="00F8300C" w:rsidRPr="001C46AF" w:rsidTr="005B2F0D">
        <w:tc>
          <w:tcPr>
            <w:tcW w:w="3005" w:type="dxa"/>
          </w:tcPr>
          <w:p w:rsidR="00F8300C" w:rsidRPr="001C46AF" w:rsidRDefault="00F8300C" w:rsidP="00E1733B">
            <w:pPr>
              <w:pStyle w:val="PullOutBoxBodyText"/>
            </w:pPr>
            <w:r w:rsidRPr="001C46AF">
              <w:t>Date costing completed</w:t>
            </w:r>
          </w:p>
        </w:tc>
        <w:tc>
          <w:tcPr>
            <w:tcW w:w="5335" w:type="dxa"/>
          </w:tcPr>
          <w:p w:rsidR="00F8300C" w:rsidRPr="001C46AF" w:rsidRDefault="00F8300C" w:rsidP="00E1733B">
            <w:pPr>
              <w:pStyle w:val="PullOutBoxBodyText"/>
            </w:pPr>
            <w:r w:rsidRPr="001C46AF">
              <w:t>25 June 2016</w:t>
            </w:r>
          </w:p>
        </w:tc>
      </w:tr>
      <w:tr w:rsidR="00F8300C" w:rsidRPr="001C46AF" w:rsidTr="005B2F0D">
        <w:tc>
          <w:tcPr>
            <w:tcW w:w="3005" w:type="dxa"/>
          </w:tcPr>
          <w:p w:rsidR="00F8300C" w:rsidRPr="001C46AF" w:rsidRDefault="00F8300C" w:rsidP="00E1733B">
            <w:pPr>
              <w:pStyle w:val="PullOutBoxBodyText"/>
            </w:pPr>
            <w:r w:rsidRPr="001C46AF">
              <w:t>Expiry date for the costing:</w:t>
            </w:r>
          </w:p>
        </w:tc>
        <w:tc>
          <w:tcPr>
            <w:tcW w:w="5335" w:type="dxa"/>
          </w:tcPr>
          <w:p w:rsidR="00F8300C" w:rsidRPr="001C46AF" w:rsidRDefault="00F8300C" w:rsidP="00E1733B">
            <w:pPr>
              <w:pStyle w:val="PullOutBoxBodyText"/>
            </w:pPr>
            <w:r w:rsidRPr="001C46AF">
              <w:t>Release of the next economic and fiscal outlook report</w:t>
            </w:r>
          </w:p>
        </w:tc>
      </w:tr>
    </w:tbl>
    <w:p w:rsidR="00F8300C" w:rsidRPr="001C46AF" w:rsidRDefault="00F8300C" w:rsidP="006A5E2F">
      <w:pPr>
        <w:pStyle w:val="CostingsH7"/>
      </w:pPr>
      <w:r w:rsidRPr="001C46AF">
        <w:lastRenderedPageBreak/>
        <w:t>Costing overview</w:t>
      </w:r>
    </w:p>
    <w:p w:rsidR="00F8300C" w:rsidRPr="001C46AF" w:rsidRDefault="00F8300C" w:rsidP="006A5E2F">
      <w:pPr>
        <w:pStyle w:val="BodyText"/>
        <w:keepNext/>
        <w:keepLines/>
      </w:pPr>
      <w:r w:rsidRPr="009405C6">
        <w:t>This proposal would be expected to increase the fiscal balance by $23,963 million and increase the underlying cash balance by $23,113 million over the 2016-17 Budget forward</w:t>
      </w:r>
      <w:r w:rsidRPr="001C46AF">
        <w:t xml:space="preserve"> estimates period.  The fiscal balance impact reflects a net increase in revenue of $1,600 million and a decrease in expenses of $22,363 million.</w:t>
      </w:r>
    </w:p>
    <w:p w:rsidR="00F8300C" w:rsidRPr="001C46AF" w:rsidRDefault="00F8300C" w:rsidP="009405C6">
      <w:pPr>
        <w:pStyle w:val="BodyText"/>
      </w:pPr>
      <w:r w:rsidRPr="001C46AF">
        <w:t>The underlying cash balance impact of this proposal differs from the fiscal balance impact because of a timing difference between when the FTC expense is recognised and when it is paid.</w:t>
      </w:r>
    </w:p>
    <w:p w:rsidR="00F8300C" w:rsidRPr="001C46AF" w:rsidRDefault="00F8300C" w:rsidP="009405C6">
      <w:pPr>
        <w:pStyle w:val="BodyText"/>
      </w:pPr>
      <w:r w:rsidRPr="001C46AF">
        <w:t xml:space="preserve">A detailed breakdown of the components of the costing is included at </w:t>
      </w:r>
      <w:r w:rsidRPr="001C46AF">
        <w:rPr>
          <w:u w:val="single"/>
        </w:rPr>
        <w:t>Attachment A</w:t>
      </w:r>
      <w:r w:rsidRPr="001C46AF">
        <w:t>.</w:t>
      </w:r>
    </w:p>
    <w:p w:rsidR="00F8300C" w:rsidRPr="001C46AF" w:rsidRDefault="00F8300C" w:rsidP="009405C6">
      <w:pPr>
        <w:pStyle w:val="BodyText"/>
      </w:pPr>
      <w:r w:rsidRPr="001C46AF">
        <w:t>The proposal would have an ongoing impact that extends beyond the 2016-17 Budget forward estimates period.  The revenue impacts of the proposed abolition of accelerated depreciation and immediate deductions for exploration and prospecting would be expected to decline over time as the timing effect unwinds.</w:t>
      </w:r>
    </w:p>
    <w:p w:rsidR="00F8300C" w:rsidRPr="001C46AF" w:rsidRDefault="00F8300C" w:rsidP="009405C6">
      <w:pPr>
        <w:pStyle w:val="BodyText"/>
      </w:pPr>
      <w:r w:rsidRPr="001C46AF">
        <w:t xml:space="preserve">Departmental expenses as a result of abolishing the ACSRF would be expected to decrease by $1.2 million over the 2016-17 Budget forward estimates period.  Departmental expenses for other components of this costing are not expected to be significant and have not been included in this costing. </w:t>
      </w:r>
    </w:p>
    <w:p w:rsidR="00F8300C" w:rsidRPr="001C46AF" w:rsidRDefault="00F8300C" w:rsidP="009405C6">
      <w:pPr>
        <w:pStyle w:val="BodyText"/>
      </w:pPr>
      <w:r w:rsidRPr="001C46AF">
        <w:t xml:space="preserve">This costing is considered to be of low reliability as it is based on a number of assumptions and projected aggregate data. </w:t>
      </w:r>
    </w:p>
    <w:p w:rsidR="00F8300C" w:rsidRPr="001C46AF" w:rsidRDefault="00F8300C" w:rsidP="00905B06">
      <w:pPr>
        <w:pStyle w:val="Caption"/>
      </w:pPr>
      <w:r w:rsidRPr="001C46AF">
        <w:t>Table 1: Financial implications (outturn prices)</w:t>
      </w:r>
      <w:r w:rsidRPr="001C46AF">
        <w:rPr>
          <w:vertAlign w:val="superscript"/>
        </w:rPr>
        <w:t>(a)(b)</w:t>
      </w:r>
    </w:p>
    <w:tbl>
      <w:tblPr>
        <w:tblStyle w:val="TableGrid2"/>
        <w:tblW w:w="4993" w:type="pct"/>
        <w:tblLook w:val="04A0" w:firstRow="1" w:lastRow="0" w:firstColumn="1" w:lastColumn="0" w:noHBand="0" w:noVBand="1"/>
      </w:tblPr>
      <w:tblGrid>
        <w:gridCol w:w="2644"/>
        <w:gridCol w:w="1133"/>
        <w:gridCol w:w="1134"/>
        <w:gridCol w:w="1134"/>
        <w:gridCol w:w="1134"/>
        <w:gridCol w:w="1132"/>
      </w:tblGrid>
      <w:tr w:rsidR="00F8300C" w:rsidRPr="001C46AF" w:rsidTr="005B2F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F8300C" w:rsidRPr="001C46AF" w:rsidRDefault="00F8300C" w:rsidP="005B2F0D">
            <w:pPr>
              <w:keepNext/>
              <w:keepLines/>
              <w:rPr>
                <w:rFonts w:ascii="Calibri" w:hAnsi="Calibri"/>
                <w:szCs w:val="20"/>
              </w:rPr>
            </w:pPr>
            <w:r w:rsidRPr="001C46AF">
              <w:rPr>
                <w:rFonts w:ascii="Calibri" w:hAnsi="Calibri"/>
                <w:szCs w:val="20"/>
              </w:rPr>
              <w:t>Impact on ($m)</w:t>
            </w:r>
          </w:p>
        </w:tc>
        <w:tc>
          <w:tcPr>
            <w:tcW w:w="682" w:type="pct"/>
          </w:tcPr>
          <w:p w:rsidR="00F8300C" w:rsidRPr="001C46AF" w:rsidRDefault="00F8300C" w:rsidP="005B2F0D">
            <w:pPr>
              <w:keepNext/>
              <w:keepLines/>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2016–17</w:t>
            </w:r>
          </w:p>
        </w:tc>
        <w:tc>
          <w:tcPr>
            <w:tcW w:w="682" w:type="pct"/>
          </w:tcPr>
          <w:p w:rsidR="00F8300C" w:rsidRPr="001C46AF" w:rsidRDefault="00F8300C" w:rsidP="005B2F0D">
            <w:pPr>
              <w:keepNext/>
              <w:keepLines/>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2017–18</w:t>
            </w:r>
          </w:p>
        </w:tc>
        <w:tc>
          <w:tcPr>
            <w:tcW w:w="682" w:type="pct"/>
          </w:tcPr>
          <w:p w:rsidR="00F8300C" w:rsidRPr="001C46AF" w:rsidRDefault="00F8300C" w:rsidP="005B2F0D">
            <w:pPr>
              <w:keepNext/>
              <w:keepLines/>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2018–19</w:t>
            </w:r>
          </w:p>
        </w:tc>
        <w:tc>
          <w:tcPr>
            <w:tcW w:w="682" w:type="pct"/>
          </w:tcPr>
          <w:p w:rsidR="00F8300C" w:rsidRPr="001C46AF" w:rsidRDefault="00F8300C" w:rsidP="005B2F0D">
            <w:pPr>
              <w:keepNext/>
              <w:keepLines/>
              <w:cnfStyle w:val="100000000000" w:firstRow="1" w:lastRow="0" w:firstColumn="0" w:lastColumn="0" w:oddVBand="0" w:evenVBand="0" w:oddHBand="0" w:evenHBand="0" w:firstRowFirstColumn="0" w:firstRowLastColumn="0" w:lastRowFirstColumn="0" w:lastRowLastColumn="0"/>
              <w:rPr>
                <w:rFonts w:ascii="Calibri" w:hAnsi="Calibri"/>
                <w:b/>
                <w:szCs w:val="20"/>
              </w:rPr>
            </w:pPr>
            <w:r w:rsidRPr="001C46AF">
              <w:rPr>
                <w:rFonts w:ascii="Calibri" w:hAnsi="Calibri"/>
                <w:szCs w:val="20"/>
              </w:rPr>
              <w:t>2019–20</w:t>
            </w:r>
          </w:p>
        </w:tc>
        <w:tc>
          <w:tcPr>
            <w:tcW w:w="681" w:type="pct"/>
          </w:tcPr>
          <w:p w:rsidR="00F8300C" w:rsidRPr="001C46AF" w:rsidRDefault="00F8300C" w:rsidP="005B2F0D">
            <w:pPr>
              <w:keepNext/>
              <w:keepLines/>
              <w:cnfStyle w:val="100000000000" w:firstRow="1" w:lastRow="0" w:firstColumn="0" w:lastColumn="0" w:oddVBand="0" w:evenVBand="0" w:oddHBand="0" w:evenHBand="0" w:firstRowFirstColumn="0" w:firstRowLastColumn="0" w:lastRowFirstColumn="0" w:lastRowLastColumn="0"/>
              <w:rPr>
                <w:rFonts w:ascii="Calibri" w:hAnsi="Calibri"/>
                <w:b/>
                <w:szCs w:val="20"/>
              </w:rPr>
            </w:pPr>
            <w:r w:rsidRPr="001C46AF">
              <w:rPr>
                <w:rFonts w:ascii="Calibri" w:hAnsi="Calibri"/>
                <w:b/>
                <w:szCs w:val="20"/>
              </w:rPr>
              <w:t>Total</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F8300C" w:rsidRPr="001C46AF" w:rsidRDefault="00F8300C" w:rsidP="005B2F0D">
            <w:pPr>
              <w:keepNext/>
              <w:keepLines/>
              <w:rPr>
                <w:szCs w:val="20"/>
              </w:rPr>
            </w:pPr>
            <w:r w:rsidRPr="001C46AF">
              <w:rPr>
                <w:szCs w:val="20"/>
              </w:rPr>
              <w:t>Fiscal balance</w:t>
            </w:r>
          </w:p>
        </w:tc>
        <w:tc>
          <w:tcPr>
            <w:tcW w:w="682" w:type="pct"/>
          </w:tcPr>
          <w:p w:rsidR="00F8300C" w:rsidRPr="001C46AF" w:rsidRDefault="00F8300C" w:rsidP="005B2F0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C46AF">
              <w:rPr>
                <w:rFonts w:ascii="Calibri" w:hAnsi="Calibri"/>
                <w:szCs w:val="20"/>
              </w:rPr>
              <w:t>4,854.5</w:t>
            </w:r>
          </w:p>
        </w:tc>
        <w:tc>
          <w:tcPr>
            <w:tcW w:w="682" w:type="pct"/>
          </w:tcPr>
          <w:p w:rsidR="00F8300C" w:rsidRPr="001C46AF" w:rsidRDefault="00F8300C" w:rsidP="005B2F0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C46AF">
              <w:rPr>
                <w:rFonts w:ascii="Calibri" w:hAnsi="Calibri"/>
                <w:szCs w:val="20"/>
              </w:rPr>
              <w:t>6,052.8</w:t>
            </w:r>
          </w:p>
        </w:tc>
        <w:tc>
          <w:tcPr>
            <w:tcW w:w="682" w:type="pct"/>
          </w:tcPr>
          <w:p w:rsidR="00F8300C" w:rsidRPr="001C46AF" w:rsidRDefault="00F8300C" w:rsidP="005B2F0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C46AF">
              <w:rPr>
                <w:rFonts w:ascii="Calibri" w:hAnsi="Calibri"/>
                <w:szCs w:val="20"/>
              </w:rPr>
              <w:t>6,402.6</w:t>
            </w:r>
          </w:p>
        </w:tc>
        <w:tc>
          <w:tcPr>
            <w:tcW w:w="682" w:type="pct"/>
          </w:tcPr>
          <w:p w:rsidR="00F8300C" w:rsidRPr="001C46AF" w:rsidRDefault="00F8300C" w:rsidP="005B2F0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C46AF">
              <w:rPr>
                <w:rFonts w:ascii="Calibri" w:hAnsi="Calibri"/>
                <w:szCs w:val="20"/>
              </w:rPr>
              <w:t>6,652.6</w:t>
            </w:r>
          </w:p>
        </w:tc>
        <w:tc>
          <w:tcPr>
            <w:tcW w:w="681" w:type="pct"/>
          </w:tcPr>
          <w:p w:rsidR="00F8300C" w:rsidRPr="001C46AF" w:rsidRDefault="00F8300C" w:rsidP="005B2F0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1C46AF">
              <w:rPr>
                <w:rFonts w:ascii="Calibri" w:hAnsi="Calibri"/>
                <w:b/>
                <w:szCs w:val="20"/>
              </w:rPr>
              <w:t>23,962.5</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1" w:type="pct"/>
          </w:tcPr>
          <w:p w:rsidR="00F8300C" w:rsidRPr="001C46AF" w:rsidRDefault="00F8300C" w:rsidP="005B2F0D">
            <w:pPr>
              <w:keepNext/>
              <w:keepLines/>
              <w:rPr>
                <w:szCs w:val="20"/>
              </w:rPr>
            </w:pPr>
            <w:r w:rsidRPr="001C46AF">
              <w:rPr>
                <w:szCs w:val="20"/>
              </w:rPr>
              <w:t>Underlying cash balance</w:t>
            </w:r>
          </w:p>
        </w:tc>
        <w:tc>
          <w:tcPr>
            <w:tcW w:w="682" w:type="pct"/>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4,254.5</w:t>
            </w:r>
          </w:p>
        </w:tc>
        <w:tc>
          <w:tcPr>
            <w:tcW w:w="682" w:type="pct"/>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5,902.8</w:t>
            </w:r>
          </w:p>
        </w:tc>
        <w:tc>
          <w:tcPr>
            <w:tcW w:w="682" w:type="pct"/>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6,352.6</w:t>
            </w:r>
          </w:p>
        </w:tc>
        <w:tc>
          <w:tcPr>
            <w:tcW w:w="682" w:type="pct"/>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1C46AF">
              <w:rPr>
                <w:rFonts w:ascii="Calibri" w:hAnsi="Calibri"/>
                <w:szCs w:val="20"/>
              </w:rPr>
              <w:t>6,602.6</w:t>
            </w:r>
          </w:p>
        </w:tc>
        <w:tc>
          <w:tcPr>
            <w:tcW w:w="681" w:type="pct"/>
          </w:tcPr>
          <w:p w:rsidR="00F8300C" w:rsidRPr="001C46AF"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1C46AF">
              <w:rPr>
                <w:rFonts w:ascii="Calibri" w:hAnsi="Calibri"/>
                <w:b/>
                <w:szCs w:val="20"/>
              </w:rPr>
              <w:t>23,112.5</w:t>
            </w:r>
          </w:p>
        </w:tc>
      </w:tr>
    </w:tbl>
    <w:p w:rsidR="00F8300C" w:rsidRDefault="00F8300C" w:rsidP="000B5C96">
      <w:pPr>
        <w:pStyle w:val="Footnotes"/>
        <w:numPr>
          <w:ilvl w:val="0"/>
          <w:numId w:val="34"/>
        </w:numPr>
        <w:ind w:left="284" w:hanging="284"/>
      </w:pPr>
      <w:r w:rsidRPr="001C46AF">
        <w:t>A positive number indicates an increase in the relevant budget balance, a negative number a decrease.</w:t>
      </w:r>
    </w:p>
    <w:p w:rsidR="00F8300C" w:rsidRPr="00033AA1" w:rsidRDefault="00F8300C" w:rsidP="000B5C96">
      <w:pPr>
        <w:pStyle w:val="Footnotes"/>
        <w:numPr>
          <w:ilvl w:val="0"/>
          <w:numId w:val="34"/>
        </w:numPr>
        <w:ind w:left="284" w:hanging="284"/>
      </w:pPr>
      <w:r w:rsidRPr="00033AA1">
        <w:t>Figures may not sum to totals due to rounding.</w:t>
      </w:r>
    </w:p>
    <w:p w:rsidR="00F8300C" w:rsidRDefault="00F8300C" w:rsidP="00905B06">
      <w:pPr>
        <w:pStyle w:val="CostingsH7"/>
      </w:pPr>
      <w:r w:rsidRPr="001C46AF">
        <w:t>Key assumptions</w:t>
      </w:r>
    </w:p>
    <w:p w:rsidR="00F8300C" w:rsidRPr="001C46AF" w:rsidRDefault="00F8300C" w:rsidP="009405C6">
      <w:pPr>
        <w:pStyle w:val="CostingsH8"/>
      </w:pPr>
      <w:r w:rsidRPr="001C46AF">
        <w:t>Assumptions relating to the abolition of FTCs</w:t>
      </w:r>
    </w:p>
    <w:p w:rsidR="00F8300C" w:rsidRPr="001C46AF" w:rsidRDefault="00F8300C" w:rsidP="009405C6">
      <w:pPr>
        <w:pStyle w:val="ListBullet"/>
        <w:rPr>
          <w:rFonts w:cs="SymbolMT"/>
          <w:lang w:eastAsia="en-AU"/>
        </w:rPr>
      </w:pPr>
      <w:r w:rsidRPr="001C46AF">
        <w:rPr>
          <w:lang w:eastAsia="en-AU"/>
        </w:rPr>
        <w:t>The costing assumes that business fuel usage does not change as a result of the proposal.</w:t>
      </w:r>
    </w:p>
    <w:p w:rsidR="00F8300C" w:rsidRPr="00DC766E" w:rsidRDefault="00F8300C" w:rsidP="00F8300C">
      <w:pPr>
        <w:pStyle w:val="Bullet2"/>
        <w:ind w:left="908" w:hanging="454"/>
        <w:rPr>
          <w:rFonts w:cs="SymbolMT"/>
        </w:rPr>
      </w:pPr>
      <w:r w:rsidRPr="00DC766E">
        <w:t xml:space="preserve">Removing eligibility for claiming business fuel expenses has the potential to have a negative impact on the economy as it could increase costs across the production chain.  However, consistent with </w:t>
      </w:r>
      <w:r w:rsidRPr="009405C6">
        <w:rPr>
          <w:rFonts w:eastAsiaTheme="minorHAnsi" w:cstheme="minorBidi"/>
          <w:i/>
          <w:lang w:eastAsia="en-US"/>
        </w:rPr>
        <w:t>Charter of Budget Honesty Guidelines</w:t>
      </w:r>
      <w:r w:rsidRPr="00DC766E">
        <w:t>, broader macroeconomic implications have not been included in this costing.</w:t>
      </w:r>
    </w:p>
    <w:p w:rsidR="00F8300C" w:rsidRPr="001C46AF" w:rsidRDefault="00F8300C" w:rsidP="009405C6">
      <w:pPr>
        <w:pStyle w:val="ListBullet"/>
        <w:rPr>
          <w:rFonts w:cs="SymbolMT"/>
          <w:lang w:eastAsia="en-AU"/>
        </w:rPr>
      </w:pPr>
      <w:r w:rsidRPr="001C46AF">
        <w:rPr>
          <w:lang w:eastAsia="en-AU"/>
        </w:rPr>
        <w:lastRenderedPageBreak/>
        <w:t>On an underlying cash balance basis, FTCs are recognised when they are paid by the Australian Taxation Office (ATO).  It is assumed that most FTC is paid in the year the expense is incurred with the remainder paid in the following year.  This reflects the fact that FTC payments are made by the ATO in arrears, and accounts for the fact that businesses can either submit their Goods and Services Tax (GST) annually, quarterly, or monthly.</w:t>
      </w:r>
    </w:p>
    <w:p w:rsidR="00F8300C" w:rsidRPr="001C46AF" w:rsidRDefault="00F8300C" w:rsidP="009405C6">
      <w:pPr>
        <w:pStyle w:val="ListBullet"/>
        <w:rPr>
          <w:rFonts w:cs="SymbolMT"/>
          <w:lang w:eastAsia="en-AU"/>
        </w:rPr>
      </w:pPr>
      <w:r w:rsidRPr="001C46AF">
        <w:rPr>
          <w:lang w:eastAsia="en-AU"/>
        </w:rPr>
        <w:t>Agriculture represents approximately 12 per cent of FTC claims.</w:t>
      </w:r>
    </w:p>
    <w:p w:rsidR="00F8300C" w:rsidRPr="001C46AF" w:rsidRDefault="00F8300C" w:rsidP="009405C6">
      <w:pPr>
        <w:pStyle w:val="CostingsH8"/>
      </w:pPr>
      <w:r w:rsidRPr="001C46AF">
        <w:t xml:space="preserve">Assumptions relating to the abolition of the frontier exploration uplift from the PRRT </w:t>
      </w:r>
    </w:p>
    <w:p w:rsidR="00F8300C" w:rsidRPr="001C46AF" w:rsidRDefault="00F8300C" w:rsidP="009405C6">
      <w:pPr>
        <w:pStyle w:val="ListBullet"/>
        <w:rPr>
          <w:lang w:eastAsia="en-AU"/>
        </w:rPr>
      </w:pPr>
      <w:r w:rsidRPr="001C46AF">
        <w:rPr>
          <w:lang w:eastAsia="en-AU"/>
        </w:rPr>
        <w:t>Data relating to 2014-15 petroleum project expenses and associated carry forward losses is assumed to be representative of PRRT operations across each financial year through the 2016-17 Budget forward estimates period.</w:t>
      </w:r>
    </w:p>
    <w:p w:rsidR="00F8300C" w:rsidRPr="001C46AF" w:rsidRDefault="00F8300C" w:rsidP="009405C6">
      <w:pPr>
        <w:pStyle w:val="ListBullet"/>
        <w:rPr>
          <w:lang w:eastAsia="en-AU"/>
        </w:rPr>
      </w:pPr>
      <w:r w:rsidRPr="001C46AF">
        <w:rPr>
          <w:lang w:eastAsia="en-AU"/>
        </w:rPr>
        <w:t>PRRT project expenses will grow in line with the Consumer Price Index (CPI) each year and the base year data is adjusted to allow for changes in PRRT revenue collected since the base year.</w:t>
      </w:r>
    </w:p>
    <w:p w:rsidR="00F8300C" w:rsidRPr="001C46AF" w:rsidRDefault="00F8300C" w:rsidP="009405C6">
      <w:pPr>
        <w:pStyle w:val="ListBullet"/>
        <w:rPr>
          <w:bCs/>
          <w:lang w:eastAsia="en-AU"/>
        </w:rPr>
      </w:pPr>
      <w:r w:rsidRPr="001C46AF">
        <w:rPr>
          <w:lang w:eastAsia="en-AU"/>
        </w:rPr>
        <w:t>The company tax rate for companies affected by the proposal is assumed to be 30 per cent over the 2016-17 Budget forward estimates period.</w:t>
      </w:r>
    </w:p>
    <w:p w:rsidR="00F8300C" w:rsidRPr="001C46AF" w:rsidRDefault="00F8300C" w:rsidP="009405C6">
      <w:pPr>
        <w:pStyle w:val="CostingsH8"/>
      </w:pPr>
      <w:r w:rsidRPr="001C46AF">
        <w:t>Assumptions relating to the abolition of accelerated asset depreciation</w:t>
      </w:r>
    </w:p>
    <w:p w:rsidR="00F8300C" w:rsidRPr="001C46AF" w:rsidRDefault="00F8300C" w:rsidP="009405C6">
      <w:pPr>
        <w:pStyle w:val="ListBullet"/>
        <w:rPr>
          <w:lang w:eastAsia="en-AU"/>
        </w:rPr>
      </w:pPr>
      <w:r w:rsidRPr="001C46AF">
        <w:rPr>
          <w:lang w:eastAsia="en-AU"/>
        </w:rPr>
        <w:t>The costing assumes that there is no change to the overall level or timing of investment as a result of this proposal.</w:t>
      </w:r>
    </w:p>
    <w:p w:rsidR="00F8300C" w:rsidRPr="001C46AF" w:rsidRDefault="00F8300C" w:rsidP="009405C6">
      <w:pPr>
        <w:pStyle w:val="ListBullet"/>
        <w:rPr>
          <w:lang w:eastAsia="en-AU"/>
        </w:rPr>
      </w:pPr>
      <w:r w:rsidRPr="001C46AF">
        <w:rPr>
          <w:lang w:eastAsia="en-AU"/>
        </w:rPr>
        <w:t>Where there are varying safe harbour effective lives for the same category of asset, an average was taken to arrive at the safe harbour asset life.</w:t>
      </w:r>
    </w:p>
    <w:p w:rsidR="00F8300C" w:rsidRPr="001C46AF" w:rsidRDefault="00F8300C" w:rsidP="009405C6">
      <w:pPr>
        <w:pStyle w:val="ListBullet"/>
        <w:rPr>
          <w:lang w:eastAsia="en-AU"/>
        </w:rPr>
      </w:pPr>
      <w:r w:rsidRPr="001C46AF">
        <w:rPr>
          <w:lang w:eastAsia="en-AU"/>
        </w:rPr>
        <w:t>Assets are assumed to be purchased evenly throughout the year.</w:t>
      </w:r>
    </w:p>
    <w:p w:rsidR="00F8300C" w:rsidRPr="001C46AF" w:rsidRDefault="00F8300C" w:rsidP="009405C6">
      <w:pPr>
        <w:pStyle w:val="ListBullet"/>
        <w:rPr>
          <w:lang w:eastAsia="en-AU"/>
        </w:rPr>
      </w:pPr>
      <w:r w:rsidRPr="001C46AF">
        <w:rPr>
          <w:lang w:eastAsia="en-AU"/>
        </w:rPr>
        <w:t>Taxpayers are assumed to utilise deductions according to the following profile:</w:t>
      </w:r>
    </w:p>
    <w:p w:rsidR="00F8300C" w:rsidRPr="00DC766E" w:rsidRDefault="00F8300C" w:rsidP="009405C6">
      <w:pPr>
        <w:pStyle w:val="ListBullet2"/>
      </w:pPr>
      <w:r w:rsidRPr="00DC766E">
        <w:t>75 per cent are taxable in the year they purchase the depreciable assets</w:t>
      </w:r>
    </w:p>
    <w:p w:rsidR="00F8300C" w:rsidRPr="00DC766E" w:rsidRDefault="00F8300C" w:rsidP="009405C6">
      <w:pPr>
        <w:pStyle w:val="ListBullet2"/>
      </w:pPr>
      <w:r w:rsidRPr="00DC766E">
        <w:t>15 per cent become taxable in the year after they purchased the asset</w:t>
      </w:r>
    </w:p>
    <w:p w:rsidR="00F8300C" w:rsidRPr="00DC766E" w:rsidRDefault="00F8300C" w:rsidP="009405C6">
      <w:pPr>
        <w:pStyle w:val="ListBullet2"/>
      </w:pPr>
      <w:r w:rsidRPr="00DC766E">
        <w:t>5 per cent become taxable two years after they purchased the asset.</w:t>
      </w:r>
    </w:p>
    <w:p w:rsidR="00F8300C" w:rsidRPr="001C46AF" w:rsidRDefault="00F8300C" w:rsidP="009405C6">
      <w:pPr>
        <w:pStyle w:val="ListBullet"/>
        <w:rPr>
          <w:lang w:eastAsia="en-AU"/>
        </w:rPr>
      </w:pPr>
      <w:r w:rsidRPr="001C46AF">
        <w:rPr>
          <w:lang w:eastAsia="en-AU"/>
        </w:rPr>
        <w:t>10 per cent of vehicles are assumed to be used for agricultural purposes.</w:t>
      </w:r>
    </w:p>
    <w:p w:rsidR="00F8300C" w:rsidRPr="001C46AF" w:rsidRDefault="00F8300C" w:rsidP="009405C6">
      <w:pPr>
        <w:pStyle w:val="CostingsH8"/>
      </w:pPr>
      <w:r w:rsidRPr="001C46AF">
        <w:t>Assumptions relating to the abolition of the immediate deduction for exploration and prospecting</w:t>
      </w:r>
    </w:p>
    <w:p w:rsidR="00F8300C" w:rsidRPr="001C46AF" w:rsidRDefault="00F8300C" w:rsidP="009405C6">
      <w:pPr>
        <w:pStyle w:val="ListBullet"/>
        <w:rPr>
          <w:lang w:eastAsia="en-AU"/>
        </w:rPr>
      </w:pPr>
      <w:r w:rsidRPr="001C46AF">
        <w:rPr>
          <w:lang w:eastAsia="en-AU"/>
        </w:rPr>
        <w:t>Taxpayers are assumed to utilise deductions associated with exploration and prospecting according to their taxable/non-taxable status.</w:t>
      </w:r>
    </w:p>
    <w:p w:rsidR="00F8300C" w:rsidRPr="001C46AF" w:rsidRDefault="00F8300C" w:rsidP="009405C6">
      <w:pPr>
        <w:pStyle w:val="ListBullet"/>
        <w:rPr>
          <w:lang w:eastAsia="en-AU"/>
        </w:rPr>
      </w:pPr>
      <w:r w:rsidRPr="001C46AF">
        <w:rPr>
          <w:lang w:eastAsia="en-AU"/>
        </w:rPr>
        <w:t>Exploration and prospecting assets are assumed to have a 15 year effective life under the proposal.</w:t>
      </w:r>
    </w:p>
    <w:p w:rsidR="00F8300C" w:rsidRPr="001C46AF" w:rsidRDefault="00F8300C" w:rsidP="006A5E2F">
      <w:pPr>
        <w:pStyle w:val="CostingsH8"/>
      </w:pPr>
      <w:r w:rsidRPr="001C46AF">
        <w:lastRenderedPageBreak/>
        <w:t>Assumptions relating to the abolition of the ACSRF</w:t>
      </w:r>
    </w:p>
    <w:p w:rsidR="00F8300C" w:rsidRPr="001C46AF" w:rsidRDefault="00F8300C" w:rsidP="006A5E2F">
      <w:pPr>
        <w:pStyle w:val="ListBullet"/>
        <w:keepNext/>
        <w:rPr>
          <w:lang w:eastAsia="en-AU"/>
        </w:rPr>
      </w:pPr>
      <w:r w:rsidRPr="001C46AF">
        <w:rPr>
          <w:lang w:eastAsia="en-AU"/>
        </w:rPr>
        <w:t>It is assumed that contracts already signed by the Department of Industry, Innovation and Science (DIIS) would be honoured.</w:t>
      </w:r>
    </w:p>
    <w:p w:rsidR="00F8300C" w:rsidRPr="00DC766E" w:rsidRDefault="00F8300C" w:rsidP="009405C6">
      <w:pPr>
        <w:pStyle w:val="ListBullet2"/>
      </w:pPr>
      <w:r w:rsidRPr="00DC766E">
        <w:t>The proportion of allocated funding that is contractually committed as at 1 September 2016 for the 2016-17 financial year is assumed to be consistent with the proportion committed at a similar point in time for the 2015-16 financial year.</w:t>
      </w:r>
    </w:p>
    <w:p w:rsidR="00F8300C" w:rsidRPr="001C46AF" w:rsidRDefault="00F8300C" w:rsidP="00905B06">
      <w:pPr>
        <w:pStyle w:val="CostingsH7"/>
      </w:pPr>
      <w:r w:rsidRPr="001C46AF">
        <w:t>Methodology</w:t>
      </w:r>
    </w:p>
    <w:p w:rsidR="00F8300C" w:rsidRPr="001C46AF" w:rsidRDefault="00F8300C" w:rsidP="009405C6">
      <w:pPr>
        <w:pStyle w:val="BodyText"/>
      </w:pPr>
      <w:r w:rsidRPr="001C46AF">
        <w:t>All estimates have been rounded to the nearest $50 million, except for impacts resulting from the abolition of the ACSRF which have been rounded to the nearest $0.1 million.</w:t>
      </w:r>
    </w:p>
    <w:p w:rsidR="00F8300C" w:rsidRPr="001C46AF" w:rsidRDefault="00F8300C" w:rsidP="009405C6">
      <w:pPr>
        <w:pStyle w:val="CostingsH8"/>
      </w:pPr>
      <w:r w:rsidRPr="001C46AF">
        <w:t>Methodology for the abolition of FTCs</w:t>
      </w:r>
    </w:p>
    <w:p w:rsidR="00F8300C" w:rsidRPr="001C46AF" w:rsidRDefault="00F8300C" w:rsidP="009405C6">
      <w:pPr>
        <w:pStyle w:val="BodyText"/>
      </w:pPr>
      <w:r w:rsidRPr="001C46AF">
        <w:t>The forward estimates for FTC expenses were adjusted to remove expected claims, except from agricultural entities.  This amount was then adjusted to allow for the 1 September 2016 start date of the proposal.</w:t>
      </w:r>
    </w:p>
    <w:p w:rsidR="00F8300C" w:rsidRPr="001C46AF" w:rsidRDefault="00F8300C" w:rsidP="009405C6">
      <w:pPr>
        <w:pStyle w:val="CostingsH8"/>
      </w:pPr>
      <w:r w:rsidRPr="001C46AF">
        <w:t xml:space="preserve">Methodology for abolishing the frontier exploration uplift from the PRRT </w:t>
      </w:r>
    </w:p>
    <w:p w:rsidR="00F8300C" w:rsidRPr="001C46AF" w:rsidRDefault="00F8300C" w:rsidP="009405C6">
      <w:pPr>
        <w:pStyle w:val="BodyText"/>
      </w:pPr>
      <w:r w:rsidRPr="001C46AF">
        <w:t>Project-level mining expenses were estimated based on 2014-15 data.  Project-level revenues were adjusted such that total estimated PRRT revenue across the 2016</w:t>
      </w:r>
      <w:r w:rsidRPr="001C46AF">
        <w:noBreakHyphen/>
        <w:t>17 Budget forward estimates period matched estimates from the 2016-17 Budget.  The estimated uplift component of frontier expenditure was estimated by taking a percentage of expenditure that was reported under the relevant labels and calculating the impact on tax payable.</w:t>
      </w:r>
    </w:p>
    <w:p w:rsidR="00F8300C" w:rsidRPr="001C46AF" w:rsidRDefault="00F8300C" w:rsidP="009405C6">
      <w:pPr>
        <w:pStyle w:val="CostingsH8"/>
      </w:pPr>
      <w:r w:rsidRPr="001C46AF">
        <w:t>Methodology for the abolition of accelerated asset depreciation and the immediate deduction for exploration and prospecting</w:t>
      </w:r>
    </w:p>
    <w:p w:rsidR="00F8300C" w:rsidRPr="001C46AF" w:rsidRDefault="00F8300C" w:rsidP="009405C6">
      <w:pPr>
        <w:pStyle w:val="BodyText"/>
      </w:pPr>
      <w:r w:rsidRPr="001C46AF">
        <w:t>The impact of these proposals was estimated by calculating the impact of total deductions expected under the proposal less the impact of total deductions currently expected.</w:t>
      </w:r>
    </w:p>
    <w:p w:rsidR="00F8300C" w:rsidRPr="001C46AF" w:rsidRDefault="00F8300C" w:rsidP="009405C6">
      <w:pPr>
        <w:pStyle w:val="CostingsH8"/>
      </w:pPr>
      <w:r w:rsidRPr="001C46AF">
        <w:t>Methodology for the abolition of the ACSRF</w:t>
      </w:r>
    </w:p>
    <w:p w:rsidR="00F8300C" w:rsidRPr="001C46AF" w:rsidRDefault="00F8300C" w:rsidP="009405C6">
      <w:pPr>
        <w:pStyle w:val="BodyText"/>
      </w:pPr>
      <w:r w:rsidRPr="001C46AF">
        <w:t>The impact of this proposal was estimated by reversing the forward estimates for the ACSRF, less the estimated amount of funds that have been contractually obligated at 1 September 2016.  The amount of committed funds was based on data provided by DIIS. Departmental savings for this part of the request were based on data provided by DIIS.</w:t>
      </w:r>
    </w:p>
    <w:p w:rsidR="00F8300C" w:rsidRPr="001C46AF" w:rsidRDefault="00F8300C" w:rsidP="006A5E2F">
      <w:pPr>
        <w:pStyle w:val="CostingsH7"/>
      </w:pPr>
      <w:r w:rsidRPr="001C46AF">
        <w:lastRenderedPageBreak/>
        <w:t>Data sources</w:t>
      </w:r>
    </w:p>
    <w:p w:rsidR="00F8300C" w:rsidRPr="001C46AF" w:rsidRDefault="00F8300C" w:rsidP="006A5E2F">
      <w:pPr>
        <w:pStyle w:val="ListBullet"/>
        <w:keepNext/>
        <w:rPr>
          <w:lang w:eastAsia="en-AU"/>
        </w:rPr>
      </w:pPr>
      <w:r w:rsidRPr="001C46AF">
        <w:rPr>
          <w:lang w:eastAsia="en-AU"/>
        </w:rPr>
        <w:t>ATO Taxation Statistics.</w:t>
      </w:r>
    </w:p>
    <w:p w:rsidR="00F8300C" w:rsidRPr="001C46AF" w:rsidRDefault="00F8300C" w:rsidP="006A5E2F">
      <w:pPr>
        <w:pStyle w:val="ListBullet"/>
        <w:keepNext/>
        <w:rPr>
          <w:lang w:eastAsia="en-AU"/>
        </w:rPr>
      </w:pPr>
      <w:r w:rsidRPr="001C46AF">
        <w:rPr>
          <w:lang w:eastAsia="en-AU"/>
        </w:rPr>
        <w:t>Fuel excise data and FTC estimates from the 2016-17 Budget.</w:t>
      </w:r>
    </w:p>
    <w:p w:rsidR="00F8300C" w:rsidRPr="001C46AF" w:rsidRDefault="00F8300C" w:rsidP="006A5E2F">
      <w:pPr>
        <w:pStyle w:val="ListBullet"/>
        <w:keepNext/>
        <w:rPr>
          <w:lang w:eastAsia="en-AU"/>
        </w:rPr>
      </w:pPr>
      <w:r w:rsidRPr="001C46AF">
        <w:rPr>
          <w:lang w:eastAsia="en-AU"/>
        </w:rPr>
        <w:t>Data on business depreciating asset expenditure was obtained from the Treasury.</w:t>
      </w:r>
    </w:p>
    <w:p w:rsidR="00F8300C" w:rsidRPr="001C46AF" w:rsidRDefault="00F8300C" w:rsidP="006A5E2F">
      <w:pPr>
        <w:pStyle w:val="ListBullet"/>
        <w:keepNext/>
        <w:rPr>
          <w:lang w:eastAsia="en-AU"/>
        </w:rPr>
      </w:pPr>
      <w:r w:rsidRPr="001C46AF">
        <w:rPr>
          <w:lang w:eastAsia="en-AU"/>
        </w:rPr>
        <w:t>PRRT data was obtained from the ATO.</w:t>
      </w:r>
    </w:p>
    <w:p w:rsidR="00F8300C" w:rsidRPr="001C46AF" w:rsidRDefault="00F8300C" w:rsidP="006A5E2F">
      <w:pPr>
        <w:pStyle w:val="ListBullet"/>
        <w:keepNext/>
        <w:rPr>
          <w:lang w:eastAsia="en-AU"/>
        </w:rPr>
      </w:pPr>
      <w:r w:rsidRPr="001C46AF">
        <w:rPr>
          <w:lang w:eastAsia="en-AU"/>
        </w:rPr>
        <w:t>Data relating to the ACSRF was obtained from DIIS.</w:t>
      </w:r>
    </w:p>
    <w:p w:rsidR="00F8300C" w:rsidRPr="001C46AF" w:rsidRDefault="00F8300C" w:rsidP="009405C6">
      <w:pPr>
        <w:pStyle w:val="ListBullet"/>
        <w:rPr>
          <w:lang w:eastAsia="en-AU"/>
        </w:rPr>
      </w:pPr>
      <w:r w:rsidRPr="001C46AF">
        <w:rPr>
          <w:lang w:eastAsia="en-AU"/>
        </w:rPr>
        <w:t>ACSRF forward estimates are as published in DIIS 2016-17 Portfolio Budget Statements.</w:t>
      </w:r>
    </w:p>
    <w:p w:rsidR="00F8300C" w:rsidRPr="001C46AF" w:rsidRDefault="00F8300C" w:rsidP="00F8300C">
      <w:pPr>
        <w:spacing w:before="114" w:after="114"/>
      </w:pPr>
    </w:p>
    <w:p w:rsidR="00F8300C" w:rsidRPr="001C46AF" w:rsidRDefault="00F8300C" w:rsidP="000B5C96">
      <w:pPr>
        <w:keepNext/>
        <w:keepLines/>
        <w:numPr>
          <w:ilvl w:val="0"/>
          <w:numId w:val="7"/>
        </w:numPr>
        <w:tabs>
          <w:tab w:val="right" w:pos="1418"/>
          <w:tab w:val="right" w:pos="1701"/>
          <w:tab w:val="right" w:pos="1985"/>
        </w:tabs>
        <w:spacing w:before="480" w:after="340" w:line="240" w:lineRule="auto"/>
        <w:outlineLvl w:val="0"/>
        <w:rPr>
          <w:rFonts w:ascii="Georgia" w:hAnsi="Georgia"/>
          <w:bCs/>
          <w:color w:val="2B3B5F"/>
          <w:spacing w:val="-6"/>
          <w:kern w:val="32"/>
          <w:sz w:val="32"/>
          <w:szCs w:val="32"/>
        </w:rPr>
        <w:sectPr w:rsidR="00F8300C" w:rsidRPr="001C46AF" w:rsidSect="007E3C99">
          <w:headerReference w:type="even" r:id="rId41"/>
          <w:headerReference w:type="default" r:id="rId42"/>
          <w:footerReference w:type="even" r:id="rId43"/>
          <w:footerReference w:type="default" r:id="rId44"/>
          <w:headerReference w:type="first" r:id="rId45"/>
          <w:footerReference w:type="first" r:id="rId46"/>
          <w:pgSz w:w="11907" w:h="16839" w:code="9"/>
          <w:pgMar w:top="1361" w:right="1797" w:bottom="1474" w:left="1797" w:header="283" w:footer="454" w:gutter="0"/>
          <w:cols w:space="708"/>
          <w:docGrid w:linePitch="360"/>
        </w:sectPr>
      </w:pPr>
    </w:p>
    <w:p w:rsidR="00F8300C" w:rsidRPr="001C46AF" w:rsidRDefault="00F8300C" w:rsidP="007A4BF9">
      <w:pPr>
        <w:pStyle w:val="Heading6"/>
      </w:pPr>
      <w:r w:rsidRPr="001C46AF">
        <w:lastRenderedPageBreak/>
        <w:t>Attachment A: Ending subsidies for fossil fuel use and extraction—financial implications</w:t>
      </w:r>
    </w:p>
    <w:p w:rsidR="00F8300C" w:rsidRPr="001C46AF" w:rsidRDefault="00F8300C" w:rsidP="00905B06">
      <w:pPr>
        <w:pStyle w:val="Caption"/>
        <w:rPr>
          <w:vertAlign w:val="superscript"/>
        </w:rPr>
      </w:pPr>
      <w:r w:rsidRPr="001C46AF">
        <w:t>Table A1: Ending subsidies for fossil fuel use and extraction—Fiscal balance</w:t>
      </w:r>
      <w:r w:rsidRPr="001C46AF">
        <w:rPr>
          <w:vertAlign w:val="superscript"/>
        </w:rPr>
        <w:t>(a)(b)</w:t>
      </w:r>
    </w:p>
    <w:tbl>
      <w:tblPr>
        <w:tblStyle w:val="TableGrid2"/>
        <w:tblW w:w="4995" w:type="pct"/>
        <w:tblLook w:val="04A0" w:firstRow="1" w:lastRow="0" w:firstColumn="1" w:lastColumn="0" w:noHBand="0" w:noVBand="1"/>
      </w:tblPr>
      <w:tblGrid>
        <w:gridCol w:w="2644"/>
        <w:gridCol w:w="1134"/>
        <w:gridCol w:w="1134"/>
        <w:gridCol w:w="1134"/>
        <w:gridCol w:w="1134"/>
        <w:gridCol w:w="1134"/>
      </w:tblGrid>
      <w:tr w:rsidR="00F8300C" w:rsidRPr="001C46AF" w:rsidTr="005B2F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0" w:type="pct"/>
            <w:vAlign w:val="center"/>
          </w:tcPr>
          <w:p w:rsidR="00F8300C" w:rsidRPr="001C46AF" w:rsidRDefault="00F8300C" w:rsidP="005B2F0D">
            <w:pPr>
              <w:keepNext/>
              <w:keepLines/>
              <w:ind w:left="57" w:right="57"/>
              <w:rPr>
                <w:szCs w:val="20"/>
              </w:rPr>
            </w:pPr>
            <w:r w:rsidRPr="001C46AF">
              <w:rPr>
                <w:szCs w:val="20"/>
              </w:rPr>
              <w:t>($m)</w:t>
            </w:r>
          </w:p>
        </w:tc>
        <w:tc>
          <w:tcPr>
            <w:tcW w:w="682" w:type="pct"/>
            <w:vAlign w:val="center"/>
          </w:tcPr>
          <w:p w:rsidR="00F8300C" w:rsidRPr="001C46AF" w:rsidRDefault="00F8300C" w:rsidP="005B2F0D">
            <w:pPr>
              <w:keepNext/>
              <w:keepLines/>
              <w:ind w:left="57" w:right="57"/>
              <w:cnfStyle w:val="100000000000" w:firstRow="1" w:lastRow="0" w:firstColumn="0" w:lastColumn="0" w:oddVBand="0" w:evenVBand="0" w:oddHBand="0" w:evenHBand="0" w:firstRowFirstColumn="0" w:firstRowLastColumn="0" w:lastRowFirstColumn="0" w:lastRowLastColumn="0"/>
              <w:rPr>
                <w:szCs w:val="20"/>
              </w:rPr>
            </w:pPr>
            <w:r w:rsidRPr="001C46AF">
              <w:t>2016–17</w:t>
            </w:r>
          </w:p>
        </w:tc>
        <w:tc>
          <w:tcPr>
            <w:tcW w:w="682" w:type="pct"/>
            <w:vAlign w:val="center"/>
          </w:tcPr>
          <w:p w:rsidR="00F8300C" w:rsidRPr="001C46AF" w:rsidRDefault="00F8300C" w:rsidP="005B2F0D">
            <w:pPr>
              <w:keepNext/>
              <w:keepLines/>
              <w:ind w:left="57" w:right="57"/>
              <w:cnfStyle w:val="100000000000" w:firstRow="1" w:lastRow="0" w:firstColumn="0" w:lastColumn="0" w:oddVBand="0" w:evenVBand="0" w:oddHBand="0" w:evenHBand="0" w:firstRowFirstColumn="0" w:firstRowLastColumn="0" w:lastRowFirstColumn="0" w:lastRowLastColumn="0"/>
              <w:rPr>
                <w:szCs w:val="20"/>
              </w:rPr>
            </w:pPr>
            <w:r w:rsidRPr="001C46AF">
              <w:t>2017–18</w:t>
            </w:r>
          </w:p>
        </w:tc>
        <w:tc>
          <w:tcPr>
            <w:tcW w:w="682" w:type="pct"/>
            <w:vAlign w:val="center"/>
          </w:tcPr>
          <w:p w:rsidR="00F8300C" w:rsidRPr="001C46AF" w:rsidRDefault="00F8300C" w:rsidP="005B2F0D">
            <w:pPr>
              <w:keepNext/>
              <w:keepLines/>
              <w:ind w:left="57" w:right="57"/>
              <w:cnfStyle w:val="100000000000" w:firstRow="1" w:lastRow="0" w:firstColumn="0" w:lastColumn="0" w:oddVBand="0" w:evenVBand="0" w:oddHBand="0" w:evenHBand="0" w:firstRowFirstColumn="0" w:firstRowLastColumn="0" w:lastRowFirstColumn="0" w:lastRowLastColumn="0"/>
              <w:rPr>
                <w:szCs w:val="20"/>
              </w:rPr>
            </w:pPr>
            <w:r w:rsidRPr="001C46AF">
              <w:t>2018–19</w:t>
            </w:r>
          </w:p>
        </w:tc>
        <w:tc>
          <w:tcPr>
            <w:tcW w:w="682" w:type="pct"/>
            <w:vAlign w:val="center"/>
          </w:tcPr>
          <w:p w:rsidR="00F8300C" w:rsidRPr="001C46AF" w:rsidRDefault="00F8300C" w:rsidP="005B2F0D">
            <w:pPr>
              <w:keepNext/>
              <w:keepLines/>
              <w:ind w:left="57" w:right="57"/>
              <w:cnfStyle w:val="100000000000" w:firstRow="1" w:lastRow="0" w:firstColumn="0" w:lastColumn="0" w:oddVBand="0" w:evenVBand="0" w:oddHBand="0" w:evenHBand="0" w:firstRowFirstColumn="0" w:firstRowLastColumn="0" w:lastRowFirstColumn="0" w:lastRowLastColumn="0"/>
              <w:rPr>
                <w:szCs w:val="20"/>
              </w:rPr>
            </w:pPr>
            <w:r w:rsidRPr="001C46AF">
              <w:t>2019–20</w:t>
            </w:r>
          </w:p>
        </w:tc>
        <w:tc>
          <w:tcPr>
            <w:tcW w:w="682" w:type="pct"/>
          </w:tcPr>
          <w:p w:rsidR="00F8300C" w:rsidRPr="001C46AF" w:rsidRDefault="00F8300C" w:rsidP="005B2F0D">
            <w:pPr>
              <w:keepNext/>
              <w:keepLines/>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1C46AF">
              <w:rPr>
                <w:b/>
              </w:rPr>
              <w:t>Total to 2019–20</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b/>
              </w:rPr>
            </w:pPr>
            <w:r w:rsidRPr="001C46AF">
              <w:rPr>
                <w:b/>
              </w:rPr>
              <w:t>Abolishing FTCs</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4,550.0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4,550.0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4,300.0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4,500.0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17,900.0</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i/>
              </w:rPr>
            </w:pPr>
            <w:r w:rsidRPr="001C46AF">
              <w:rPr>
                <w:i/>
              </w:rPr>
              <w:t>Administered expense – FTC expenses</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4,550.0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5,700.0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5,900.0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6,200.0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sidRPr="001C46AF">
              <w:rPr>
                <w:b/>
                <w:i/>
              </w:rPr>
              <w:t>22,350.0</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i/>
              </w:rPr>
            </w:pPr>
            <w:r w:rsidRPr="001C46AF">
              <w:rPr>
                <w:i/>
              </w:rPr>
              <w:t>Revenue – Company Tax</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-1,150.0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-1,600.0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-1,700.0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i/>
              </w:rPr>
            </w:pPr>
            <w:r w:rsidRPr="001C46AF">
              <w:rPr>
                <w:b/>
                <w:i/>
              </w:rPr>
              <w:t>-4,450.0</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b/>
              </w:rPr>
            </w:pPr>
            <w:r w:rsidRPr="001C46AF">
              <w:rPr>
                <w:b/>
              </w:rPr>
              <w:t xml:space="preserve">Abolishing accelerated depreciation </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100.0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500.0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1,000.0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1,400.0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3,000.0</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i/>
              </w:rPr>
            </w:pPr>
            <w:r w:rsidRPr="001C46AF">
              <w:rPr>
                <w:i/>
              </w:rPr>
              <w:t>Revenue – Company Tax</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100.0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500.0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1,000.0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1,400.0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i/>
              </w:rPr>
            </w:pPr>
            <w:r w:rsidRPr="001C46AF">
              <w:rPr>
                <w:b/>
                <w:i/>
              </w:rPr>
              <w:t>3,000.0</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b/>
              </w:rPr>
            </w:pPr>
            <w:r w:rsidRPr="001C46AF">
              <w:rPr>
                <w:b/>
              </w:rPr>
              <w:t>Abolishing the immediate deduction for exploration and prospecting</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200.0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1,000.0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1,100.0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750.0</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3,050.0</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i/>
              </w:rPr>
            </w:pPr>
            <w:r w:rsidRPr="001C46AF">
              <w:rPr>
                <w:i/>
              </w:rPr>
              <w:t>Revenue – Company Tax</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200.0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1,000.0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1,100.0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750.0</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i/>
              </w:rPr>
            </w:pPr>
            <w:r w:rsidRPr="001C46AF">
              <w:rPr>
                <w:b/>
                <w:i/>
              </w:rPr>
              <w:t>3,050.0</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b/>
              </w:rPr>
            </w:pPr>
            <w:r w:rsidRPr="001C46AF">
              <w:rPr>
                <w:b/>
              </w:rPr>
              <w:t>Abolishing the ACSRF</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4.5</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2.8</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2.6</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2.6</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12.5</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i/>
              </w:rPr>
            </w:pPr>
            <w:r w:rsidRPr="001C46AF">
              <w:rPr>
                <w:i/>
              </w:rPr>
              <w:t>Administered expense – Reduced funding for the ACSRF</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4.5</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2.4</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2.2</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2.2</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i/>
              </w:rPr>
            </w:pPr>
            <w:r w:rsidRPr="001C46AF">
              <w:rPr>
                <w:b/>
                <w:i/>
              </w:rPr>
              <w:t>11.3</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i/>
              </w:rPr>
            </w:pPr>
            <w:r w:rsidRPr="001C46AF">
              <w:rPr>
                <w:i/>
              </w:rPr>
              <w:t>Departmental expense – DIIS</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0.4</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0.4</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0.4</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sidRPr="001C46AF">
              <w:rPr>
                <w:b/>
                <w:i/>
              </w:rPr>
              <w:t>1.2</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b/>
              </w:rPr>
            </w:pPr>
            <w:r w:rsidRPr="001C46AF">
              <w:rPr>
                <w:b/>
              </w:rPr>
              <w:t>Abolishing the frontier exploration uplift from the PRRT</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i/>
              </w:rPr>
            </w:pPr>
            <w:r w:rsidRPr="001C46AF">
              <w:rPr>
                <w:i/>
              </w:rPr>
              <w:t>Revenue – PRRT</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w:t>
            </w:r>
          </w:p>
        </w:tc>
        <w:tc>
          <w:tcPr>
            <w:tcW w:w="682" w:type="pct"/>
          </w:tcPr>
          <w:p w:rsidR="00F8300C" w:rsidRPr="001C46AF" w:rsidRDefault="00F8300C" w:rsidP="005B2F0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sidRPr="001C46AF">
              <w:rPr>
                <w:b/>
                <w:i/>
              </w:rPr>
              <w:t>..</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5B2F0D">
            <w:pPr>
              <w:spacing w:line="240" w:lineRule="auto"/>
              <w:ind w:left="57" w:right="57"/>
              <w:rPr>
                <w:i/>
              </w:rPr>
            </w:pPr>
            <w:r w:rsidRPr="001C46AF">
              <w:rPr>
                <w:i/>
              </w:rPr>
              <w:t>Revenue – Company Tax</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w:t>
            </w:r>
          </w:p>
        </w:tc>
        <w:tc>
          <w:tcPr>
            <w:tcW w:w="682" w:type="pct"/>
          </w:tcPr>
          <w:p w:rsidR="00F8300C" w:rsidRPr="001C46AF" w:rsidRDefault="00F8300C" w:rsidP="005B2F0D">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i/>
              </w:rPr>
            </w:pPr>
            <w:r w:rsidRPr="001C46AF">
              <w:rPr>
                <w:b/>
                <w:i/>
              </w:rPr>
              <w:t>..</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F8300C" w:rsidRPr="001C46AF" w:rsidRDefault="00F8300C" w:rsidP="005B2F0D">
            <w:pPr>
              <w:keepNext/>
              <w:keepLines/>
              <w:ind w:left="57" w:right="57"/>
              <w:rPr>
                <w:b/>
                <w:szCs w:val="20"/>
              </w:rPr>
            </w:pPr>
            <w:r w:rsidRPr="001C46AF">
              <w:rPr>
                <w:b/>
                <w:szCs w:val="20"/>
              </w:rPr>
              <w:t>Total</w:t>
            </w:r>
          </w:p>
        </w:tc>
        <w:tc>
          <w:tcPr>
            <w:tcW w:w="682" w:type="pct"/>
            <w:shd w:val="clear" w:color="auto" w:fill="D7DDE9"/>
          </w:tcPr>
          <w:p w:rsidR="00F8300C" w:rsidRPr="001C46AF" w:rsidRDefault="00F8300C" w:rsidP="005B2F0D">
            <w:pPr>
              <w:spacing w:before="114" w:after="114" w:line="300" w:lineRule="atLeast"/>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4,854.5</w:t>
            </w:r>
          </w:p>
        </w:tc>
        <w:tc>
          <w:tcPr>
            <w:tcW w:w="682" w:type="pct"/>
            <w:shd w:val="clear" w:color="auto" w:fill="D7DDE9"/>
          </w:tcPr>
          <w:p w:rsidR="00F8300C" w:rsidRPr="001C46AF" w:rsidRDefault="00F8300C" w:rsidP="005B2F0D">
            <w:pPr>
              <w:spacing w:before="114" w:after="114" w:line="300" w:lineRule="atLeast"/>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6,052.8</w:t>
            </w:r>
          </w:p>
        </w:tc>
        <w:tc>
          <w:tcPr>
            <w:tcW w:w="682" w:type="pct"/>
            <w:shd w:val="clear" w:color="auto" w:fill="D7DDE9"/>
          </w:tcPr>
          <w:p w:rsidR="00F8300C" w:rsidRPr="001C46AF" w:rsidRDefault="00F8300C" w:rsidP="005B2F0D">
            <w:pPr>
              <w:spacing w:before="114" w:after="114" w:line="300" w:lineRule="atLeast"/>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6,402.6</w:t>
            </w:r>
          </w:p>
        </w:tc>
        <w:tc>
          <w:tcPr>
            <w:tcW w:w="682" w:type="pct"/>
            <w:shd w:val="clear" w:color="auto" w:fill="D7DDE9"/>
          </w:tcPr>
          <w:p w:rsidR="00F8300C" w:rsidRPr="001C46AF" w:rsidRDefault="00F8300C" w:rsidP="005B2F0D">
            <w:pPr>
              <w:spacing w:before="114" w:after="114" w:line="300" w:lineRule="atLeast"/>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6,652.6</w:t>
            </w:r>
          </w:p>
        </w:tc>
        <w:tc>
          <w:tcPr>
            <w:tcW w:w="682" w:type="pct"/>
            <w:shd w:val="clear" w:color="auto" w:fill="D7DDE9"/>
          </w:tcPr>
          <w:p w:rsidR="00F8300C" w:rsidRPr="001C46AF" w:rsidRDefault="00F8300C" w:rsidP="005B2F0D">
            <w:pPr>
              <w:spacing w:before="114" w:after="114" w:line="300" w:lineRule="atLeast"/>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23,962.5</w:t>
            </w:r>
          </w:p>
        </w:tc>
      </w:tr>
    </w:tbl>
    <w:p w:rsidR="00F8300C" w:rsidRPr="004C4DCA" w:rsidRDefault="00F8300C" w:rsidP="000B5C96">
      <w:pPr>
        <w:pStyle w:val="Footnotes"/>
        <w:numPr>
          <w:ilvl w:val="0"/>
          <w:numId w:val="35"/>
        </w:numPr>
        <w:ind w:left="284" w:hanging="284"/>
      </w:pPr>
      <w:r w:rsidRPr="004C4DCA">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F8300C" w:rsidRPr="001C46AF" w:rsidRDefault="00F8300C" w:rsidP="008A0A0A">
      <w:pPr>
        <w:pStyle w:val="Footnotes"/>
      </w:pPr>
      <w:r w:rsidRPr="001C46AF">
        <w:t>Figures may not sum to totals due to rounding.</w:t>
      </w:r>
    </w:p>
    <w:p w:rsidR="00F8300C" w:rsidRDefault="00F8300C" w:rsidP="008A0A0A">
      <w:pPr>
        <w:pStyle w:val="Footnotes"/>
        <w:numPr>
          <w:ilvl w:val="0"/>
          <w:numId w:val="0"/>
        </w:numPr>
        <w:ind w:left="284" w:hanging="284"/>
      </w:pPr>
      <w:r w:rsidRPr="001C46AF">
        <w:t>..</w:t>
      </w:r>
      <w:r w:rsidR="008A0A0A">
        <w:tab/>
      </w:r>
      <w:r w:rsidRPr="001C46AF">
        <w:tab/>
        <w:t>Not zero, but rounded to zero.</w:t>
      </w:r>
    </w:p>
    <w:p w:rsidR="00953106" w:rsidRPr="008A0A0A" w:rsidRDefault="00953106" w:rsidP="000B5C96">
      <w:pPr>
        <w:pStyle w:val="Footnotes"/>
        <w:numPr>
          <w:ilvl w:val="0"/>
          <w:numId w:val="33"/>
        </w:numPr>
        <w:ind w:left="284" w:hanging="284"/>
        <w:rPr>
          <w:sz w:val="22"/>
          <w:szCs w:val="22"/>
        </w:rPr>
      </w:pPr>
      <w:r w:rsidRPr="008A0A0A">
        <w:t>Indicates nil</w:t>
      </w:r>
    </w:p>
    <w:p w:rsidR="00F8300C" w:rsidRPr="001C46AF" w:rsidRDefault="00F8300C" w:rsidP="00E871B9">
      <w:pPr>
        <w:pStyle w:val="Caption"/>
        <w:rPr>
          <w:vertAlign w:val="superscript"/>
        </w:rPr>
      </w:pPr>
      <w:r w:rsidRPr="001C46AF">
        <w:lastRenderedPageBreak/>
        <w:t>Table A2: Ending subsidies for fossil fuel use and extraction—Underlying cash balance</w:t>
      </w:r>
      <w:r w:rsidRPr="001C46AF">
        <w:rPr>
          <w:vertAlign w:val="superscript"/>
        </w:rPr>
        <w:t>(a)(b)</w:t>
      </w:r>
    </w:p>
    <w:tbl>
      <w:tblPr>
        <w:tblStyle w:val="TableGrid2"/>
        <w:tblW w:w="4995" w:type="pct"/>
        <w:tblLook w:val="04A0" w:firstRow="1" w:lastRow="0" w:firstColumn="1" w:lastColumn="0" w:noHBand="0" w:noVBand="1"/>
      </w:tblPr>
      <w:tblGrid>
        <w:gridCol w:w="2644"/>
        <w:gridCol w:w="1134"/>
        <w:gridCol w:w="1134"/>
        <w:gridCol w:w="1134"/>
        <w:gridCol w:w="1134"/>
        <w:gridCol w:w="1134"/>
      </w:tblGrid>
      <w:tr w:rsidR="00F8300C" w:rsidRPr="001C46AF" w:rsidTr="005B2F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0" w:type="pct"/>
            <w:vAlign w:val="center"/>
          </w:tcPr>
          <w:p w:rsidR="00F8300C" w:rsidRPr="001C46AF" w:rsidRDefault="00F8300C" w:rsidP="00E871B9">
            <w:pPr>
              <w:keepNext/>
              <w:keepLines/>
              <w:spacing w:line="240" w:lineRule="auto"/>
              <w:ind w:left="57" w:right="57"/>
              <w:rPr>
                <w:szCs w:val="20"/>
              </w:rPr>
            </w:pPr>
            <w:r w:rsidRPr="001C46AF">
              <w:rPr>
                <w:szCs w:val="20"/>
              </w:rPr>
              <w:t>($m)</w:t>
            </w:r>
          </w:p>
        </w:tc>
        <w:tc>
          <w:tcPr>
            <w:tcW w:w="682" w:type="pct"/>
            <w:vAlign w:val="center"/>
          </w:tcPr>
          <w:p w:rsidR="00F8300C" w:rsidRPr="001C46AF" w:rsidRDefault="00F8300C" w:rsidP="00E871B9">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1C46AF">
              <w:t>2016–17</w:t>
            </w:r>
          </w:p>
        </w:tc>
        <w:tc>
          <w:tcPr>
            <w:tcW w:w="682" w:type="pct"/>
            <w:vAlign w:val="center"/>
          </w:tcPr>
          <w:p w:rsidR="00F8300C" w:rsidRPr="001C46AF" w:rsidRDefault="00F8300C" w:rsidP="00E871B9">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1C46AF">
              <w:t>2017–18</w:t>
            </w:r>
          </w:p>
        </w:tc>
        <w:tc>
          <w:tcPr>
            <w:tcW w:w="682" w:type="pct"/>
            <w:vAlign w:val="center"/>
          </w:tcPr>
          <w:p w:rsidR="00F8300C" w:rsidRPr="001C46AF" w:rsidRDefault="00F8300C" w:rsidP="00E871B9">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1C46AF">
              <w:t>2018–19</w:t>
            </w:r>
          </w:p>
        </w:tc>
        <w:tc>
          <w:tcPr>
            <w:tcW w:w="682" w:type="pct"/>
            <w:vAlign w:val="center"/>
          </w:tcPr>
          <w:p w:rsidR="00F8300C" w:rsidRPr="001C46AF" w:rsidRDefault="00F8300C" w:rsidP="00E871B9">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1C46AF">
              <w:t>2019–20</w:t>
            </w:r>
          </w:p>
        </w:tc>
        <w:tc>
          <w:tcPr>
            <w:tcW w:w="682" w:type="pct"/>
          </w:tcPr>
          <w:p w:rsidR="00F8300C" w:rsidRPr="001C46AF" w:rsidRDefault="00F8300C" w:rsidP="00E871B9">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1C46AF">
              <w:rPr>
                <w:b/>
              </w:rPr>
              <w:t>Total to 2019–20</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b/>
              </w:rPr>
            </w:pPr>
            <w:r w:rsidRPr="001C46AF">
              <w:rPr>
                <w:b/>
              </w:rPr>
              <w:t>Abolishing FTCs</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3,950.0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4,400.0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4,250.0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4,450.0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17,050.0</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i/>
              </w:rPr>
            </w:pPr>
            <w:r w:rsidRPr="001C46AF">
              <w:rPr>
                <w:i/>
              </w:rPr>
              <w:t>Administered payment - FTC payments</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3,950.0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5,550.0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5,850.0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6,150.0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sidRPr="001C46AF">
              <w:rPr>
                <w:b/>
                <w:i/>
              </w:rPr>
              <w:t>21,500.0</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i/>
              </w:rPr>
            </w:pPr>
            <w:r w:rsidRPr="001C46AF">
              <w:rPr>
                <w:i/>
              </w:rPr>
              <w:t>Receipts – Company Tax</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-1,150.0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-1,600.0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-1,700.0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i/>
              </w:rPr>
            </w:pPr>
            <w:r w:rsidRPr="001C46AF">
              <w:rPr>
                <w:b/>
                <w:i/>
              </w:rPr>
              <w:t>-4,450.0</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b/>
              </w:rPr>
            </w:pPr>
            <w:r w:rsidRPr="001C46AF">
              <w:rPr>
                <w:b/>
              </w:rPr>
              <w:t xml:space="preserve">Abolishing accelerated depreciation </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100.0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500.0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1,000.0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1,400.0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3,000.0</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i/>
              </w:rPr>
            </w:pPr>
            <w:r w:rsidRPr="001C46AF">
              <w:rPr>
                <w:i/>
              </w:rPr>
              <w:t>Receipts – Company Tax</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100.0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500.0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1,000.0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1,400.0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i/>
              </w:rPr>
            </w:pPr>
            <w:r w:rsidRPr="001C46AF">
              <w:rPr>
                <w:b/>
                <w:i/>
              </w:rPr>
              <w:t>3,000.0</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b/>
              </w:rPr>
            </w:pPr>
            <w:r w:rsidRPr="001C46AF">
              <w:rPr>
                <w:b/>
              </w:rPr>
              <w:t>Abolishing the immediate deduction for exploration and prospecting</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200.0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1,000.0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1,100.0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750.0</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3,050.0</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i/>
              </w:rPr>
            </w:pPr>
            <w:r w:rsidRPr="001C46AF">
              <w:rPr>
                <w:i/>
              </w:rPr>
              <w:t>Receipts – Company Tax</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200.0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1,000.0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1,100.0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750.0</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i/>
              </w:rPr>
            </w:pPr>
            <w:r w:rsidRPr="001C46AF">
              <w:rPr>
                <w:b/>
                <w:i/>
              </w:rPr>
              <w:t>3,050.0</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b/>
              </w:rPr>
            </w:pPr>
            <w:r w:rsidRPr="001C46AF">
              <w:rPr>
                <w:b/>
              </w:rPr>
              <w:t>Abolishing the ACSRF</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4.5</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2.8</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2.6</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2.6</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12.5</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i/>
              </w:rPr>
            </w:pPr>
            <w:r w:rsidRPr="001C46AF">
              <w:rPr>
                <w:i/>
              </w:rPr>
              <w:t xml:space="preserve">Administered payments - Reduced funding for the ACSRF </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4.5</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2.4</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2.2</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2.2</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i/>
              </w:rPr>
            </w:pPr>
            <w:r w:rsidRPr="001C46AF">
              <w:rPr>
                <w:b/>
                <w:i/>
              </w:rPr>
              <w:t>11.3</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i/>
              </w:rPr>
            </w:pPr>
            <w:r w:rsidRPr="001C46AF">
              <w:rPr>
                <w:i/>
              </w:rPr>
              <w:t xml:space="preserve">Departmental payments   DIIS </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0.4</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0.4</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0.4</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sidRPr="001C46AF">
              <w:rPr>
                <w:b/>
                <w:i/>
              </w:rPr>
              <w:t>1.2</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b/>
              </w:rPr>
            </w:pPr>
            <w:r w:rsidRPr="001C46AF">
              <w:rPr>
                <w:b/>
              </w:rPr>
              <w:t>Abolishing the frontier exploration uplift from the PRRT</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rPr>
            </w:pPr>
            <w:r w:rsidRPr="001C46AF">
              <w:rPr>
                <w:b/>
              </w:rPr>
              <w:t>..</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i/>
              </w:rPr>
            </w:pPr>
            <w:r w:rsidRPr="001C46AF">
              <w:rPr>
                <w:i/>
              </w:rPr>
              <w:t>Receipts – PRRT</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sidRPr="001C46AF">
              <w:rPr>
                <w:i/>
              </w:rPr>
              <w:t>..</w:t>
            </w:r>
          </w:p>
        </w:tc>
        <w:tc>
          <w:tcPr>
            <w:tcW w:w="682" w:type="pct"/>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sidRPr="001C46AF">
              <w:rPr>
                <w:b/>
                <w:i/>
              </w:rPr>
              <w:t>..</w:t>
            </w:r>
          </w:p>
        </w:tc>
      </w:tr>
      <w:tr w:rsidR="00F8300C" w:rsidRPr="001C46AF"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1C46AF" w:rsidRDefault="00F8300C" w:rsidP="00E871B9">
            <w:pPr>
              <w:keepNext/>
              <w:keepLines/>
              <w:spacing w:line="240" w:lineRule="auto"/>
              <w:ind w:left="57" w:right="57"/>
              <w:rPr>
                <w:i/>
              </w:rPr>
            </w:pPr>
            <w:r w:rsidRPr="001C46AF">
              <w:rPr>
                <w:i/>
              </w:rPr>
              <w:t>Receipts – Company Tax</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i/>
              </w:rPr>
            </w:pPr>
            <w:r w:rsidRPr="001C46AF">
              <w:rPr>
                <w:i/>
              </w:rPr>
              <w:t>..</w:t>
            </w:r>
          </w:p>
        </w:tc>
        <w:tc>
          <w:tcPr>
            <w:tcW w:w="682" w:type="pct"/>
          </w:tcPr>
          <w:p w:rsidR="00F8300C" w:rsidRPr="001C46AF" w:rsidRDefault="00F8300C" w:rsidP="00E871B9">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i/>
              </w:rPr>
            </w:pPr>
            <w:r w:rsidRPr="001C46AF">
              <w:rPr>
                <w:b/>
                <w:i/>
              </w:rPr>
              <w:t>..</w:t>
            </w:r>
          </w:p>
        </w:tc>
      </w:tr>
      <w:tr w:rsidR="00F8300C" w:rsidRPr="001C46AF" w:rsidTr="005B2F0D">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F8300C" w:rsidRPr="001C46AF" w:rsidRDefault="00F8300C" w:rsidP="00E871B9">
            <w:pPr>
              <w:keepNext/>
              <w:keepLines/>
              <w:spacing w:line="240" w:lineRule="auto"/>
              <w:ind w:left="57" w:right="57"/>
              <w:rPr>
                <w:b/>
              </w:rPr>
            </w:pPr>
            <w:r w:rsidRPr="001C46AF">
              <w:rPr>
                <w:b/>
              </w:rPr>
              <w:t>Total</w:t>
            </w:r>
          </w:p>
        </w:tc>
        <w:tc>
          <w:tcPr>
            <w:tcW w:w="682" w:type="pct"/>
            <w:shd w:val="clear" w:color="auto" w:fill="D7DDE9"/>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4,254.5</w:t>
            </w:r>
          </w:p>
        </w:tc>
        <w:tc>
          <w:tcPr>
            <w:tcW w:w="682" w:type="pct"/>
            <w:shd w:val="clear" w:color="auto" w:fill="D7DDE9"/>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5,902.8</w:t>
            </w:r>
          </w:p>
        </w:tc>
        <w:tc>
          <w:tcPr>
            <w:tcW w:w="682" w:type="pct"/>
            <w:shd w:val="clear" w:color="auto" w:fill="D7DDE9"/>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6,352.6</w:t>
            </w:r>
          </w:p>
        </w:tc>
        <w:tc>
          <w:tcPr>
            <w:tcW w:w="682" w:type="pct"/>
            <w:shd w:val="clear" w:color="auto" w:fill="D7DDE9"/>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6,602.6</w:t>
            </w:r>
          </w:p>
        </w:tc>
        <w:tc>
          <w:tcPr>
            <w:tcW w:w="682" w:type="pct"/>
            <w:shd w:val="clear" w:color="auto" w:fill="D7DDE9"/>
          </w:tcPr>
          <w:p w:rsidR="00F8300C" w:rsidRPr="001C46AF" w:rsidRDefault="00F8300C" w:rsidP="00E871B9">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sidRPr="001C46AF">
              <w:rPr>
                <w:b/>
              </w:rPr>
              <w:t>23,112.5</w:t>
            </w:r>
          </w:p>
        </w:tc>
      </w:tr>
    </w:tbl>
    <w:p w:rsidR="00F8300C" w:rsidRPr="004C4DCA" w:rsidRDefault="00F8300C" w:rsidP="000B5C96">
      <w:pPr>
        <w:pStyle w:val="Footnotes"/>
        <w:numPr>
          <w:ilvl w:val="0"/>
          <w:numId w:val="36"/>
        </w:numPr>
        <w:ind w:left="284" w:hanging="284"/>
      </w:pPr>
      <w:r w:rsidRPr="004C4DCA">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F8300C" w:rsidRPr="001C46AF" w:rsidRDefault="00F8300C" w:rsidP="00E871B9">
      <w:pPr>
        <w:pStyle w:val="Footnotes"/>
      </w:pPr>
      <w:r w:rsidRPr="001C46AF">
        <w:t>Figures may not sum to totals due to rounding.</w:t>
      </w:r>
    </w:p>
    <w:p w:rsidR="00F8300C" w:rsidRDefault="00F8300C" w:rsidP="00E871B9">
      <w:pPr>
        <w:pStyle w:val="Footnotes"/>
        <w:numPr>
          <w:ilvl w:val="0"/>
          <w:numId w:val="0"/>
        </w:numPr>
        <w:ind w:left="284" w:hanging="284"/>
      </w:pPr>
      <w:r w:rsidRPr="001C46AF">
        <w:t>..</w:t>
      </w:r>
      <w:r w:rsidRPr="001C46AF">
        <w:tab/>
        <w:t>Not zero, but rounded to zero.</w:t>
      </w:r>
    </w:p>
    <w:p w:rsidR="00953106" w:rsidRPr="00234B39" w:rsidRDefault="00953106" w:rsidP="000B5C96">
      <w:pPr>
        <w:pStyle w:val="Footnotes"/>
        <w:numPr>
          <w:ilvl w:val="0"/>
          <w:numId w:val="33"/>
        </w:numPr>
        <w:ind w:left="284" w:hanging="284"/>
      </w:pPr>
      <w:r>
        <w:t>Indicates nil</w:t>
      </w:r>
    </w:p>
    <w:p w:rsidR="007E3C99" w:rsidRDefault="007E3C99" w:rsidP="00E871B9">
      <w:pPr>
        <w:pStyle w:val="Footnotes"/>
        <w:sectPr w:rsidR="007E3C99" w:rsidSect="007E3C99">
          <w:headerReference w:type="even" r:id="rId47"/>
          <w:headerReference w:type="default" r:id="rId48"/>
          <w:footerReference w:type="even" r:id="rId49"/>
          <w:footerReference w:type="default" r:id="rId50"/>
          <w:headerReference w:type="first" r:id="rId51"/>
          <w:footerReference w:type="first" r:id="rId52"/>
          <w:pgSz w:w="11906" w:h="16838"/>
          <w:pgMar w:top="1361" w:right="1797" w:bottom="1474" w:left="1797" w:header="283" w:footer="454" w:gutter="0"/>
          <w:cols w:space="708"/>
          <w:docGrid w:linePitch="360"/>
        </w:sectPr>
      </w:pPr>
    </w:p>
    <w:p w:rsidR="00F8300C" w:rsidRPr="00F8300C" w:rsidRDefault="00F8300C" w:rsidP="007A4BF9">
      <w:pPr>
        <w:pStyle w:val="Heading5"/>
        <w:rPr>
          <w:rFonts w:eastAsia="Times New Roman"/>
        </w:rPr>
      </w:pPr>
      <w:bookmarkStart w:id="13" w:name="_Toc458015771"/>
      <w:bookmarkStart w:id="14" w:name="_Toc458090610"/>
      <w:r>
        <w:rPr>
          <w:rFonts w:eastAsia="Times New Roman"/>
        </w:rPr>
        <w:lastRenderedPageBreak/>
        <w:t>GRN004</w:t>
      </w:r>
      <w:r w:rsidRPr="001C46AF">
        <w:rPr>
          <w:rFonts w:eastAsia="Times New Roman"/>
        </w:rPr>
        <w:t xml:space="preserve">: </w:t>
      </w:r>
      <w:r>
        <w:rPr>
          <w:rFonts w:eastAsia="Times New Roman"/>
        </w:rPr>
        <w:t>Too-Big-To-Fail Bank Levy</w:t>
      </w:r>
      <w:bookmarkEnd w:id="13"/>
      <w:bookmarkEnd w:id="14"/>
    </w:p>
    <w:p w:rsidR="00F8300C" w:rsidRDefault="00F8300C" w:rsidP="007A4BF9">
      <w:pPr>
        <w:pStyle w:val="BodyText"/>
      </w:pPr>
      <w:r w:rsidRPr="001C46AF">
        <w:rPr>
          <w:noProof/>
          <w:lang w:eastAsia="en-AU"/>
        </w:rPr>
        <w:drawing>
          <wp:inline distT="0" distB="0" distL="0" distR="0" wp14:anchorId="4BA313CC" wp14:editId="4A3B4DEE">
            <wp:extent cx="2696845" cy="572135"/>
            <wp:effectExtent l="0" t="0" r="8255" b="0"/>
            <wp:docPr id="10" name="Picture 1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F8300C" w:rsidRPr="003226B2" w:rsidRDefault="00F8300C" w:rsidP="007A4BF9">
      <w:pPr>
        <w:pStyle w:val="Heading6"/>
      </w:pPr>
      <w:r w:rsidRPr="003226B2">
        <w:t>Policy costing—during the caretaker period for the 2016 general election</w:t>
      </w:r>
    </w:p>
    <w:tbl>
      <w:tblPr>
        <w:tblStyle w:val="Style13"/>
        <w:tblW w:w="8528" w:type="dxa"/>
        <w:tblLayout w:type="fixed"/>
        <w:tblLook w:val="04A0" w:firstRow="1" w:lastRow="0" w:firstColumn="1" w:lastColumn="0" w:noHBand="0" w:noVBand="1"/>
      </w:tblPr>
      <w:tblGrid>
        <w:gridCol w:w="2763"/>
        <w:gridCol w:w="5765"/>
      </w:tblGrid>
      <w:tr w:rsidR="00F8300C" w:rsidRPr="00AF49FE" w:rsidTr="005B2F0D">
        <w:trPr>
          <w:cnfStyle w:val="100000000000" w:firstRow="1" w:lastRow="0" w:firstColumn="0" w:lastColumn="0" w:oddVBand="0" w:evenVBand="0" w:oddHBand="0" w:evenHBand="0" w:firstRowFirstColumn="0" w:firstRowLastColumn="0" w:lastRowFirstColumn="0" w:lastRowLastColumn="0"/>
        </w:trPr>
        <w:tc>
          <w:tcPr>
            <w:tcW w:w="3005" w:type="dxa"/>
          </w:tcPr>
          <w:p w:rsidR="00F8300C" w:rsidRPr="00AF49FE" w:rsidRDefault="00F8300C" w:rsidP="00AF49FE">
            <w:pPr>
              <w:pStyle w:val="PullOutBoxHeading"/>
              <w:rPr>
                <w:b/>
                <w:sz w:val="22"/>
              </w:rPr>
            </w:pPr>
            <w:r w:rsidRPr="00AF49FE">
              <w:rPr>
                <w:b/>
                <w:sz w:val="22"/>
              </w:rPr>
              <w:t>Name of proposal:</w:t>
            </w:r>
          </w:p>
        </w:tc>
        <w:tc>
          <w:tcPr>
            <w:tcW w:w="6293" w:type="dxa"/>
          </w:tcPr>
          <w:p w:rsidR="00F8300C" w:rsidRPr="00AF49FE" w:rsidRDefault="00F8300C" w:rsidP="00AF49FE">
            <w:pPr>
              <w:pStyle w:val="PullOutBoxHeading"/>
              <w:rPr>
                <w:b/>
                <w:sz w:val="22"/>
              </w:rPr>
            </w:pPr>
            <w:r w:rsidRPr="00AF49FE">
              <w:rPr>
                <w:b/>
                <w:sz w:val="22"/>
              </w:rPr>
              <w:t>Too-Big-To-Fail Bank Levy</w:t>
            </w:r>
          </w:p>
        </w:tc>
      </w:tr>
      <w:tr w:rsidR="00F8300C" w:rsidRPr="003226B2" w:rsidTr="005B2F0D">
        <w:tc>
          <w:tcPr>
            <w:tcW w:w="3005" w:type="dxa"/>
          </w:tcPr>
          <w:p w:rsidR="00F8300C" w:rsidRPr="003226B2" w:rsidRDefault="00F8300C" w:rsidP="00E1733B">
            <w:pPr>
              <w:pStyle w:val="PullOutBoxBodyText"/>
            </w:pPr>
            <w:r w:rsidRPr="003226B2">
              <w:t>Summary of proposal:</w:t>
            </w:r>
          </w:p>
        </w:tc>
        <w:tc>
          <w:tcPr>
            <w:tcW w:w="6293" w:type="dxa"/>
          </w:tcPr>
          <w:p w:rsidR="00F8300C" w:rsidRPr="003226B2" w:rsidRDefault="00F8300C" w:rsidP="00E1733B">
            <w:pPr>
              <w:pStyle w:val="PullOutBoxBodyText"/>
            </w:pPr>
            <w:r w:rsidRPr="003226B2">
              <w:t>The proposal would introduce a 20 basis point levy on bank assets in excess of $100 billion.</w:t>
            </w:r>
          </w:p>
          <w:p w:rsidR="00F8300C" w:rsidRPr="003226B2" w:rsidRDefault="00F8300C" w:rsidP="00E1733B">
            <w:pPr>
              <w:pStyle w:val="PullOutBoxBodyText"/>
            </w:pPr>
            <w:r w:rsidRPr="003226B2">
              <w:t>The levy would be deductible for the purposes of calculating company tax payable.</w:t>
            </w:r>
          </w:p>
          <w:p w:rsidR="00F8300C" w:rsidRPr="003226B2" w:rsidRDefault="00F8300C" w:rsidP="00E1733B">
            <w:pPr>
              <w:pStyle w:val="PullOutBoxBodyText"/>
            </w:pPr>
            <w:r w:rsidRPr="003226B2">
              <w:t>The proposal would have effect from 1 September 2016.</w:t>
            </w:r>
          </w:p>
        </w:tc>
      </w:tr>
      <w:tr w:rsidR="00F8300C" w:rsidRPr="003226B2" w:rsidTr="005B2F0D">
        <w:tc>
          <w:tcPr>
            <w:tcW w:w="3005" w:type="dxa"/>
          </w:tcPr>
          <w:p w:rsidR="00F8300C" w:rsidRPr="003226B2" w:rsidRDefault="00F8300C" w:rsidP="00E1733B">
            <w:pPr>
              <w:pStyle w:val="PullOutBoxBodyText"/>
            </w:pPr>
            <w:r w:rsidRPr="003226B2">
              <w:t>Person/party requesting costing:</w:t>
            </w:r>
          </w:p>
        </w:tc>
        <w:tc>
          <w:tcPr>
            <w:tcW w:w="6293" w:type="dxa"/>
          </w:tcPr>
          <w:p w:rsidR="00F8300C" w:rsidRPr="003226B2" w:rsidRDefault="00F8300C" w:rsidP="00E1733B">
            <w:pPr>
              <w:pStyle w:val="PullOutBoxBodyText"/>
            </w:pPr>
            <w:r w:rsidRPr="003226B2">
              <w:t>Senator Richard Di Natale, Australian Greens</w:t>
            </w:r>
          </w:p>
        </w:tc>
      </w:tr>
      <w:tr w:rsidR="00F8300C" w:rsidRPr="003226B2" w:rsidTr="005B2F0D">
        <w:tc>
          <w:tcPr>
            <w:tcW w:w="3005" w:type="dxa"/>
          </w:tcPr>
          <w:p w:rsidR="00F8300C" w:rsidRPr="003226B2" w:rsidRDefault="00F8300C" w:rsidP="00E1733B">
            <w:pPr>
              <w:pStyle w:val="PullOutBoxBodyText"/>
            </w:pPr>
            <w:r w:rsidRPr="003226B2">
              <w:t>Date of public release of policy:</w:t>
            </w:r>
          </w:p>
        </w:tc>
        <w:tc>
          <w:tcPr>
            <w:tcW w:w="6293" w:type="dxa"/>
          </w:tcPr>
          <w:p w:rsidR="00F8300C" w:rsidRPr="003226B2" w:rsidRDefault="00F8300C" w:rsidP="00E1733B">
            <w:pPr>
              <w:pStyle w:val="PullOutBoxBodyText"/>
            </w:pPr>
            <w:r w:rsidRPr="003226B2">
              <w:t>31 May 2016</w:t>
            </w:r>
          </w:p>
          <w:p w:rsidR="00F8300C" w:rsidRPr="003226B2" w:rsidRDefault="00E46526" w:rsidP="00E1733B">
            <w:pPr>
              <w:pStyle w:val="PullOutBoxBodyText"/>
            </w:pPr>
            <w:hyperlink r:id="rId53" w:history="1">
              <w:r w:rsidR="00F8300C" w:rsidRPr="003226B2">
                <w:rPr>
                  <w:color w:val="000000" w:themeColor="hyperlink"/>
                  <w:u w:val="single"/>
                </w:rPr>
                <w:t>http://greens.org.au/sites/greens.org.au/files/20160531_Banking%20and%20Finance.pdf</w:t>
              </w:r>
            </w:hyperlink>
          </w:p>
        </w:tc>
      </w:tr>
      <w:tr w:rsidR="00F8300C" w:rsidRPr="003226B2" w:rsidTr="005B2F0D">
        <w:tc>
          <w:tcPr>
            <w:tcW w:w="3005" w:type="dxa"/>
          </w:tcPr>
          <w:p w:rsidR="00F8300C" w:rsidRPr="003226B2" w:rsidRDefault="00F8300C" w:rsidP="00E1733B">
            <w:pPr>
              <w:pStyle w:val="PullOutBoxBodyText"/>
            </w:pPr>
            <w:r w:rsidRPr="003226B2">
              <w:t>Date costing request received:</w:t>
            </w:r>
          </w:p>
        </w:tc>
        <w:tc>
          <w:tcPr>
            <w:tcW w:w="6293" w:type="dxa"/>
          </w:tcPr>
          <w:p w:rsidR="00F8300C" w:rsidRPr="003226B2" w:rsidRDefault="00F8300C" w:rsidP="00E1733B">
            <w:pPr>
              <w:pStyle w:val="PullOutBoxBodyText"/>
            </w:pPr>
            <w:r w:rsidRPr="003226B2">
              <w:t>23 June 2016</w:t>
            </w:r>
          </w:p>
        </w:tc>
      </w:tr>
      <w:tr w:rsidR="00F8300C" w:rsidRPr="003226B2" w:rsidTr="005B2F0D">
        <w:tc>
          <w:tcPr>
            <w:tcW w:w="3005" w:type="dxa"/>
          </w:tcPr>
          <w:p w:rsidR="00F8300C" w:rsidRPr="003226B2" w:rsidRDefault="00F8300C" w:rsidP="00E1733B">
            <w:pPr>
              <w:pStyle w:val="PullOutBoxBodyText"/>
            </w:pPr>
            <w:r w:rsidRPr="003226B2">
              <w:t>Date costing completed</w:t>
            </w:r>
          </w:p>
        </w:tc>
        <w:tc>
          <w:tcPr>
            <w:tcW w:w="6293" w:type="dxa"/>
          </w:tcPr>
          <w:p w:rsidR="00F8300C" w:rsidRPr="003226B2" w:rsidRDefault="00F8300C" w:rsidP="00E1733B">
            <w:pPr>
              <w:pStyle w:val="PullOutBoxBodyText"/>
            </w:pPr>
            <w:r w:rsidRPr="003226B2">
              <w:t>24 June 2016</w:t>
            </w:r>
          </w:p>
        </w:tc>
      </w:tr>
      <w:tr w:rsidR="00F8300C" w:rsidRPr="003226B2" w:rsidTr="005B2F0D">
        <w:tc>
          <w:tcPr>
            <w:tcW w:w="3005" w:type="dxa"/>
          </w:tcPr>
          <w:p w:rsidR="00F8300C" w:rsidRPr="003226B2" w:rsidRDefault="00F8300C" w:rsidP="00E1733B">
            <w:pPr>
              <w:pStyle w:val="PullOutBoxBodyText"/>
            </w:pPr>
            <w:r w:rsidRPr="003226B2">
              <w:t>Expiry date for the costing:</w:t>
            </w:r>
          </w:p>
        </w:tc>
        <w:tc>
          <w:tcPr>
            <w:tcW w:w="6293" w:type="dxa"/>
          </w:tcPr>
          <w:p w:rsidR="00F8300C" w:rsidRPr="003226B2" w:rsidRDefault="00F8300C" w:rsidP="00E1733B">
            <w:pPr>
              <w:pStyle w:val="PullOutBoxBodyText"/>
            </w:pPr>
            <w:r w:rsidRPr="003226B2">
              <w:t>Release of the next economic and fiscal outlook report</w:t>
            </w:r>
          </w:p>
        </w:tc>
      </w:tr>
    </w:tbl>
    <w:p w:rsidR="00F8300C" w:rsidRPr="003226B2" w:rsidRDefault="00F8300C" w:rsidP="00905B06">
      <w:pPr>
        <w:pStyle w:val="CostingsH7"/>
      </w:pPr>
      <w:r w:rsidRPr="003226B2">
        <w:t>Costing overview</w:t>
      </w:r>
    </w:p>
    <w:p w:rsidR="00F8300C" w:rsidRPr="003226B2" w:rsidRDefault="00F8300C" w:rsidP="00E07E53">
      <w:pPr>
        <w:pStyle w:val="BodyText"/>
      </w:pPr>
      <w:r w:rsidRPr="003226B2">
        <w:t xml:space="preserve">This proposal would be expected to increase both the fiscal and underlying cash balances by $14,900 million over the 2016-17 Budget forward estimates period.  This impact entirely reflects an increase in revenue over this period.  A detailed breakdown of this costing is presented at </w:t>
      </w:r>
      <w:r w:rsidRPr="003226B2">
        <w:rPr>
          <w:u w:val="single"/>
        </w:rPr>
        <w:t>Attachment A</w:t>
      </w:r>
      <w:r w:rsidRPr="003226B2">
        <w:t>.</w:t>
      </w:r>
    </w:p>
    <w:p w:rsidR="00F8300C" w:rsidRPr="003226B2" w:rsidRDefault="00F8300C" w:rsidP="00E07E53">
      <w:pPr>
        <w:pStyle w:val="BodyText"/>
      </w:pPr>
      <w:r w:rsidRPr="003226B2">
        <w:t>This proposal would have an ongoing impact that extends beyond the 2016</w:t>
      </w:r>
      <w:r w:rsidRPr="003226B2">
        <w:noBreakHyphen/>
        <w:t xml:space="preserve">17 Budget forward estimates period. </w:t>
      </w:r>
    </w:p>
    <w:p w:rsidR="00F8300C" w:rsidRPr="003226B2" w:rsidRDefault="00F8300C" w:rsidP="00E07E53">
      <w:pPr>
        <w:pStyle w:val="BodyText"/>
      </w:pPr>
      <w:r w:rsidRPr="003226B2">
        <w:t>Departmental expenses are not expected to be significant and have not been included in this costing.</w:t>
      </w:r>
    </w:p>
    <w:p w:rsidR="00F8300C" w:rsidRPr="003226B2" w:rsidRDefault="00F8300C" w:rsidP="004F4D35">
      <w:pPr>
        <w:pStyle w:val="BodyText"/>
        <w:keepNext/>
        <w:keepLines/>
        <w:rPr>
          <w:lang w:eastAsia="en-AU"/>
        </w:rPr>
      </w:pPr>
      <w:r w:rsidRPr="003226B2">
        <w:rPr>
          <w:lang w:eastAsia="en-AU"/>
        </w:rPr>
        <w:lastRenderedPageBreak/>
        <w:t>This costing is considered to be of low to medium reliability.  While it is based on high quality, up</w:t>
      </w:r>
      <w:r w:rsidRPr="003226B2">
        <w:rPr>
          <w:lang w:eastAsia="en-AU"/>
        </w:rPr>
        <w:noBreakHyphen/>
        <w:t>to</w:t>
      </w:r>
      <w:r w:rsidRPr="003226B2">
        <w:rPr>
          <w:lang w:eastAsia="en-AU"/>
        </w:rPr>
        <w:noBreakHyphen/>
        <w:t>date information and current growth forecasts, there is significant uncertainty around the behavioural response of banks to the proposal.  As the proposed levy would be equivalent to approximately a quarter of the income tax currently paid by the major banks, it is likely to result in a behavioural response.  However, the nature, timing and magnitude of this response are highly uncertain and cannot be reliably estimated.</w:t>
      </w:r>
    </w:p>
    <w:p w:rsidR="00F8300C" w:rsidRPr="003226B2" w:rsidRDefault="00F8300C" w:rsidP="00905B06">
      <w:pPr>
        <w:pStyle w:val="Caption"/>
      </w:pPr>
      <w:r w:rsidRPr="003226B2">
        <w:t>Table 1: Financial implications (outturn prices)</w:t>
      </w:r>
      <w:r w:rsidRPr="003226B2">
        <w:rPr>
          <w:vertAlign w:val="superscript"/>
        </w:rPr>
        <w:t>(a)(b)</w:t>
      </w:r>
    </w:p>
    <w:tbl>
      <w:tblPr>
        <w:tblStyle w:val="TableGrid3"/>
        <w:tblW w:w="4993" w:type="pct"/>
        <w:tblLook w:val="04A0" w:firstRow="1" w:lastRow="0" w:firstColumn="1" w:lastColumn="0" w:noHBand="0" w:noVBand="1"/>
      </w:tblPr>
      <w:tblGrid>
        <w:gridCol w:w="2645"/>
        <w:gridCol w:w="1134"/>
        <w:gridCol w:w="1133"/>
        <w:gridCol w:w="1133"/>
        <w:gridCol w:w="1133"/>
        <w:gridCol w:w="1132"/>
      </w:tblGrid>
      <w:tr w:rsidR="00F8300C" w:rsidRPr="003226B2" w:rsidTr="005B2F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F8300C" w:rsidRPr="003226B2" w:rsidRDefault="00F8300C" w:rsidP="005B2F0D">
            <w:pPr>
              <w:keepNext/>
              <w:keepLines/>
              <w:ind w:left="57" w:right="57"/>
              <w:rPr>
                <w:rFonts w:ascii="Calibri" w:hAnsi="Calibri"/>
                <w:szCs w:val="20"/>
              </w:rPr>
            </w:pPr>
            <w:r w:rsidRPr="003226B2">
              <w:rPr>
                <w:rFonts w:ascii="Calibri" w:hAnsi="Calibri"/>
                <w:szCs w:val="20"/>
              </w:rPr>
              <w:t>Impact on ($m)</w:t>
            </w:r>
          </w:p>
        </w:tc>
        <w:tc>
          <w:tcPr>
            <w:tcW w:w="682" w:type="pct"/>
          </w:tcPr>
          <w:p w:rsidR="00F8300C" w:rsidRPr="003226B2" w:rsidRDefault="00F8300C" w:rsidP="005B2F0D">
            <w:pPr>
              <w:keepNext/>
              <w:keepLines/>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3226B2">
              <w:rPr>
                <w:rFonts w:ascii="Calibri" w:hAnsi="Calibri"/>
                <w:szCs w:val="20"/>
              </w:rPr>
              <w:t>2016–17</w:t>
            </w:r>
          </w:p>
        </w:tc>
        <w:tc>
          <w:tcPr>
            <w:tcW w:w="682" w:type="pct"/>
          </w:tcPr>
          <w:p w:rsidR="00F8300C" w:rsidRPr="003226B2" w:rsidRDefault="00F8300C" w:rsidP="005B2F0D">
            <w:pPr>
              <w:keepNext/>
              <w:keepLines/>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3226B2">
              <w:rPr>
                <w:rFonts w:ascii="Calibri" w:hAnsi="Calibri"/>
                <w:szCs w:val="20"/>
              </w:rPr>
              <w:t>2017–18</w:t>
            </w:r>
          </w:p>
        </w:tc>
        <w:tc>
          <w:tcPr>
            <w:tcW w:w="682" w:type="pct"/>
          </w:tcPr>
          <w:p w:rsidR="00F8300C" w:rsidRPr="003226B2" w:rsidRDefault="00F8300C" w:rsidP="005B2F0D">
            <w:pPr>
              <w:keepNext/>
              <w:keepLines/>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3226B2">
              <w:rPr>
                <w:rFonts w:ascii="Calibri" w:hAnsi="Calibri"/>
                <w:szCs w:val="20"/>
              </w:rPr>
              <w:t>2018–19</w:t>
            </w:r>
          </w:p>
        </w:tc>
        <w:tc>
          <w:tcPr>
            <w:tcW w:w="682" w:type="pct"/>
          </w:tcPr>
          <w:p w:rsidR="00F8300C" w:rsidRPr="003226B2" w:rsidRDefault="00F8300C" w:rsidP="005B2F0D">
            <w:pPr>
              <w:keepNext/>
              <w:keepLines/>
              <w:ind w:left="57" w:right="57"/>
              <w:cnfStyle w:val="100000000000" w:firstRow="1" w:lastRow="0" w:firstColumn="0" w:lastColumn="0" w:oddVBand="0" w:evenVBand="0" w:oddHBand="0" w:evenHBand="0" w:firstRowFirstColumn="0" w:firstRowLastColumn="0" w:lastRowFirstColumn="0" w:lastRowLastColumn="0"/>
              <w:rPr>
                <w:rFonts w:ascii="Calibri" w:hAnsi="Calibri"/>
                <w:b/>
                <w:szCs w:val="20"/>
              </w:rPr>
            </w:pPr>
            <w:r w:rsidRPr="003226B2">
              <w:rPr>
                <w:rFonts w:ascii="Calibri" w:hAnsi="Calibri"/>
                <w:szCs w:val="20"/>
              </w:rPr>
              <w:t>2019–20</w:t>
            </w:r>
          </w:p>
        </w:tc>
        <w:tc>
          <w:tcPr>
            <w:tcW w:w="681" w:type="pct"/>
          </w:tcPr>
          <w:p w:rsidR="00F8300C" w:rsidRPr="003226B2" w:rsidRDefault="00F8300C" w:rsidP="005B2F0D">
            <w:pPr>
              <w:keepNext/>
              <w:keepLines/>
              <w:ind w:left="57" w:right="57"/>
              <w:cnfStyle w:val="100000000000" w:firstRow="1" w:lastRow="0" w:firstColumn="0" w:lastColumn="0" w:oddVBand="0" w:evenVBand="0" w:oddHBand="0" w:evenHBand="0" w:firstRowFirstColumn="0" w:firstRowLastColumn="0" w:lastRowFirstColumn="0" w:lastRowLastColumn="0"/>
              <w:rPr>
                <w:rFonts w:ascii="Calibri" w:hAnsi="Calibri"/>
                <w:b/>
                <w:szCs w:val="20"/>
              </w:rPr>
            </w:pPr>
            <w:r w:rsidRPr="003226B2">
              <w:rPr>
                <w:rFonts w:ascii="Calibri" w:hAnsi="Calibri"/>
                <w:b/>
                <w:szCs w:val="20"/>
              </w:rPr>
              <w:t>Total</w:t>
            </w:r>
          </w:p>
        </w:tc>
      </w:tr>
      <w:tr w:rsidR="00F8300C" w:rsidRPr="003226B2"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F8300C" w:rsidRPr="003226B2" w:rsidRDefault="00F8300C" w:rsidP="005B2F0D">
            <w:pPr>
              <w:keepNext/>
              <w:keepLines/>
              <w:ind w:left="57" w:right="57"/>
              <w:rPr>
                <w:szCs w:val="20"/>
              </w:rPr>
            </w:pPr>
            <w:r w:rsidRPr="003226B2">
              <w:rPr>
                <w:szCs w:val="20"/>
              </w:rPr>
              <w:t>Fiscal balance</w:t>
            </w:r>
          </w:p>
        </w:tc>
        <w:tc>
          <w:tcPr>
            <w:tcW w:w="682" w:type="pct"/>
          </w:tcPr>
          <w:p w:rsidR="00F8300C" w:rsidRPr="003226B2" w:rsidRDefault="00F8300C" w:rsidP="005B2F0D">
            <w:pPr>
              <w:spacing w:before="114" w:after="114" w:line="300" w:lineRule="atLeast"/>
              <w:jc w:val="right"/>
              <w:cnfStyle w:val="000000100000" w:firstRow="0" w:lastRow="0" w:firstColumn="0" w:lastColumn="0" w:oddVBand="0" w:evenVBand="0" w:oddHBand="1" w:evenHBand="0" w:firstRowFirstColumn="0" w:firstRowLastColumn="0" w:lastRowFirstColumn="0" w:lastRowLastColumn="0"/>
            </w:pPr>
            <w:r w:rsidRPr="003226B2">
              <w:t>2,900.0</w:t>
            </w:r>
          </w:p>
        </w:tc>
        <w:tc>
          <w:tcPr>
            <w:tcW w:w="682" w:type="pct"/>
          </w:tcPr>
          <w:p w:rsidR="00F8300C" w:rsidRPr="003226B2" w:rsidRDefault="00F8300C" w:rsidP="005B2F0D">
            <w:pPr>
              <w:spacing w:before="114" w:after="114" w:line="300" w:lineRule="atLeast"/>
              <w:jc w:val="right"/>
              <w:cnfStyle w:val="000000100000" w:firstRow="0" w:lastRow="0" w:firstColumn="0" w:lastColumn="0" w:oddVBand="0" w:evenVBand="0" w:oddHBand="1" w:evenHBand="0" w:firstRowFirstColumn="0" w:firstRowLastColumn="0" w:lastRowFirstColumn="0" w:lastRowLastColumn="0"/>
            </w:pPr>
            <w:r w:rsidRPr="003226B2">
              <w:t>3,700.0</w:t>
            </w:r>
          </w:p>
        </w:tc>
        <w:tc>
          <w:tcPr>
            <w:tcW w:w="682" w:type="pct"/>
          </w:tcPr>
          <w:p w:rsidR="00F8300C" w:rsidRPr="003226B2" w:rsidRDefault="00F8300C" w:rsidP="005B2F0D">
            <w:pPr>
              <w:spacing w:before="114" w:after="114" w:line="300" w:lineRule="atLeast"/>
              <w:jc w:val="right"/>
              <w:cnfStyle w:val="000000100000" w:firstRow="0" w:lastRow="0" w:firstColumn="0" w:lastColumn="0" w:oddVBand="0" w:evenVBand="0" w:oddHBand="1" w:evenHBand="0" w:firstRowFirstColumn="0" w:firstRowLastColumn="0" w:lastRowFirstColumn="0" w:lastRowLastColumn="0"/>
            </w:pPr>
            <w:r w:rsidRPr="003226B2">
              <w:t>4,000.0</w:t>
            </w:r>
          </w:p>
        </w:tc>
        <w:tc>
          <w:tcPr>
            <w:tcW w:w="682" w:type="pct"/>
          </w:tcPr>
          <w:p w:rsidR="00F8300C" w:rsidRPr="003226B2" w:rsidRDefault="00F8300C" w:rsidP="005B2F0D">
            <w:pPr>
              <w:spacing w:before="114" w:after="114" w:line="300" w:lineRule="atLeast"/>
              <w:jc w:val="right"/>
              <w:cnfStyle w:val="000000100000" w:firstRow="0" w:lastRow="0" w:firstColumn="0" w:lastColumn="0" w:oddVBand="0" w:evenVBand="0" w:oddHBand="1" w:evenHBand="0" w:firstRowFirstColumn="0" w:firstRowLastColumn="0" w:lastRowFirstColumn="0" w:lastRowLastColumn="0"/>
            </w:pPr>
            <w:r w:rsidRPr="003226B2">
              <w:t>4,300.0</w:t>
            </w:r>
          </w:p>
        </w:tc>
        <w:tc>
          <w:tcPr>
            <w:tcW w:w="681" w:type="pct"/>
          </w:tcPr>
          <w:p w:rsidR="00F8300C" w:rsidRPr="003226B2" w:rsidRDefault="00F8300C" w:rsidP="005B2F0D">
            <w:pPr>
              <w:spacing w:before="114" w:after="114" w:line="300" w:lineRule="atLeast"/>
              <w:jc w:val="right"/>
              <w:cnfStyle w:val="000000100000" w:firstRow="0" w:lastRow="0" w:firstColumn="0" w:lastColumn="0" w:oddVBand="0" w:evenVBand="0" w:oddHBand="1" w:evenHBand="0" w:firstRowFirstColumn="0" w:firstRowLastColumn="0" w:lastRowFirstColumn="0" w:lastRowLastColumn="0"/>
              <w:rPr>
                <w:b/>
              </w:rPr>
            </w:pPr>
            <w:r w:rsidRPr="003226B2">
              <w:rPr>
                <w:b/>
              </w:rPr>
              <w:t>14,900.0</w:t>
            </w:r>
          </w:p>
        </w:tc>
      </w:tr>
      <w:tr w:rsidR="00F8300C" w:rsidRPr="003226B2" w:rsidTr="005B2F0D">
        <w:tc>
          <w:tcPr>
            <w:cnfStyle w:val="001000000000" w:firstRow="0" w:lastRow="0" w:firstColumn="1" w:lastColumn="0" w:oddVBand="0" w:evenVBand="0" w:oddHBand="0" w:evenHBand="0" w:firstRowFirstColumn="0" w:firstRowLastColumn="0" w:lastRowFirstColumn="0" w:lastRowLastColumn="0"/>
            <w:tcW w:w="1591" w:type="pct"/>
          </w:tcPr>
          <w:p w:rsidR="00F8300C" w:rsidRPr="003226B2" w:rsidRDefault="00F8300C" w:rsidP="005B2F0D">
            <w:pPr>
              <w:keepNext/>
              <w:keepLines/>
              <w:ind w:left="57" w:right="57"/>
              <w:rPr>
                <w:szCs w:val="20"/>
              </w:rPr>
            </w:pPr>
            <w:r w:rsidRPr="003226B2">
              <w:rPr>
                <w:szCs w:val="20"/>
              </w:rPr>
              <w:t>Underlying cash balance</w:t>
            </w:r>
          </w:p>
        </w:tc>
        <w:tc>
          <w:tcPr>
            <w:tcW w:w="682" w:type="pct"/>
          </w:tcPr>
          <w:p w:rsidR="00F8300C" w:rsidRPr="003226B2" w:rsidRDefault="00F8300C" w:rsidP="005B2F0D">
            <w:pPr>
              <w:spacing w:before="114" w:after="114" w:line="300" w:lineRule="atLeast"/>
              <w:jc w:val="right"/>
              <w:cnfStyle w:val="000000000000" w:firstRow="0" w:lastRow="0" w:firstColumn="0" w:lastColumn="0" w:oddVBand="0" w:evenVBand="0" w:oddHBand="0" w:evenHBand="0" w:firstRowFirstColumn="0" w:firstRowLastColumn="0" w:lastRowFirstColumn="0" w:lastRowLastColumn="0"/>
            </w:pPr>
            <w:r w:rsidRPr="003226B2">
              <w:t>2,900.0</w:t>
            </w:r>
          </w:p>
        </w:tc>
        <w:tc>
          <w:tcPr>
            <w:tcW w:w="682" w:type="pct"/>
          </w:tcPr>
          <w:p w:rsidR="00F8300C" w:rsidRPr="003226B2" w:rsidRDefault="00F8300C" w:rsidP="005B2F0D">
            <w:pPr>
              <w:spacing w:before="114" w:after="114" w:line="300" w:lineRule="atLeast"/>
              <w:jc w:val="right"/>
              <w:cnfStyle w:val="000000000000" w:firstRow="0" w:lastRow="0" w:firstColumn="0" w:lastColumn="0" w:oddVBand="0" w:evenVBand="0" w:oddHBand="0" w:evenHBand="0" w:firstRowFirstColumn="0" w:firstRowLastColumn="0" w:lastRowFirstColumn="0" w:lastRowLastColumn="0"/>
            </w:pPr>
            <w:r w:rsidRPr="003226B2">
              <w:t>3,700.0</w:t>
            </w:r>
          </w:p>
        </w:tc>
        <w:tc>
          <w:tcPr>
            <w:tcW w:w="682" w:type="pct"/>
          </w:tcPr>
          <w:p w:rsidR="00F8300C" w:rsidRPr="003226B2" w:rsidRDefault="00F8300C" w:rsidP="005B2F0D">
            <w:pPr>
              <w:spacing w:before="114" w:after="114" w:line="300" w:lineRule="atLeast"/>
              <w:jc w:val="right"/>
              <w:cnfStyle w:val="000000000000" w:firstRow="0" w:lastRow="0" w:firstColumn="0" w:lastColumn="0" w:oddVBand="0" w:evenVBand="0" w:oddHBand="0" w:evenHBand="0" w:firstRowFirstColumn="0" w:firstRowLastColumn="0" w:lastRowFirstColumn="0" w:lastRowLastColumn="0"/>
            </w:pPr>
            <w:r w:rsidRPr="003226B2">
              <w:t>4,000.0</w:t>
            </w:r>
          </w:p>
        </w:tc>
        <w:tc>
          <w:tcPr>
            <w:tcW w:w="682" w:type="pct"/>
          </w:tcPr>
          <w:p w:rsidR="00F8300C" w:rsidRPr="003226B2" w:rsidRDefault="00F8300C" w:rsidP="005B2F0D">
            <w:pPr>
              <w:spacing w:before="114" w:after="114" w:line="300" w:lineRule="atLeast"/>
              <w:jc w:val="right"/>
              <w:cnfStyle w:val="000000000000" w:firstRow="0" w:lastRow="0" w:firstColumn="0" w:lastColumn="0" w:oddVBand="0" w:evenVBand="0" w:oddHBand="0" w:evenHBand="0" w:firstRowFirstColumn="0" w:firstRowLastColumn="0" w:lastRowFirstColumn="0" w:lastRowLastColumn="0"/>
            </w:pPr>
            <w:r w:rsidRPr="003226B2">
              <w:t>4,300.0</w:t>
            </w:r>
          </w:p>
        </w:tc>
        <w:tc>
          <w:tcPr>
            <w:tcW w:w="681" w:type="pct"/>
          </w:tcPr>
          <w:p w:rsidR="00F8300C" w:rsidRPr="003226B2" w:rsidRDefault="00F8300C" w:rsidP="005B2F0D">
            <w:pPr>
              <w:spacing w:before="114" w:after="114" w:line="300" w:lineRule="atLeast"/>
              <w:jc w:val="right"/>
              <w:cnfStyle w:val="000000000000" w:firstRow="0" w:lastRow="0" w:firstColumn="0" w:lastColumn="0" w:oddVBand="0" w:evenVBand="0" w:oddHBand="0" w:evenHBand="0" w:firstRowFirstColumn="0" w:firstRowLastColumn="0" w:lastRowFirstColumn="0" w:lastRowLastColumn="0"/>
              <w:rPr>
                <w:b/>
              </w:rPr>
            </w:pPr>
            <w:r w:rsidRPr="003226B2">
              <w:rPr>
                <w:b/>
              </w:rPr>
              <w:t>14,900.0</w:t>
            </w:r>
          </w:p>
        </w:tc>
      </w:tr>
    </w:tbl>
    <w:p w:rsidR="00F8300C" w:rsidRPr="006132A2" w:rsidRDefault="00F8300C" w:rsidP="000B5C96">
      <w:pPr>
        <w:pStyle w:val="Footnotes"/>
        <w:numPr>
          <w:ilvl w:val="0"/>
          <w:numId w:val="37"/>
        </w:numPr>
        <w:ind w:left="284" w:hanging="284"/>
      </w:pPr>
      <w:r w:rsidRPr="006132A2">
        <w:t>A positive number represents an increase in the relevant budget balance, a negative number represents a decrease.</w:t>
      </w:r>
    </w:p>
    <w:p w:rsidR="00F8300C" w:rsidRPr="003226B2" w:rsidRDefault="00F8300C" w:rsidP="00D045D2">
      <w:pPr>
        <w:pStyle w:val="Footnotes"/>
      </w:pPr>
      <w:r w:rsidRPr="003226B2">
        <w:t>Figures may not sum to totals due to rounding.</w:t>
      </w:r>
    </w:p>
    <w:p w:rsidR="00F8300C" w:rsidRPr="003226B2" w:rsidRDefault="00F8300C" w:rsidP="00905B06">
      <w:pPr>
        <w:pStyle w:val="CostingsH7"/>
      </w:pPr>
      <w:r w:rsidRPr="003226B2">
        <w:t>Key assumptions</w:t>
      </w:r>
    </w:p>
    <w:p w:rsidR="00F8300C" w:rsidRPr="003226B2" w:rsidRDefault="00F8300C" w:rsidP="00E07E53">
      <w:pPr>
        <w:pStyle w:val="ListBullet"/>
        <w:rPr>
          <w:lang w:eastAsia="en-AU"/>
        </w:rPr>
      </w:pPr>
      <w:r w:rsidRPr="003226B2">
        <w:rPr>
          <w:lang w:eastAsia="en-AU"/>
        </w:rPr>
        <w:t>The levy would be payable annually in a single instalment in advance based on the estimated average value of bank assets over the year.</w:t>
      </w:r>
    </w:p>
    <w:p w:rsidR="00F8300C" w:rsidRPr="003226B2" w:rsidRDefault="00F8300C" w:rsidP="00E07E53">
      <w:pPr>
        <w:pStyle w:val="ListBullet"/>
        <w:rPr>
          <w:lang w:eastAsia="en-AU"/>
        </w:rPr>
      </w:pPr>
      <w:r w:rsidRPr="003226B2">
        <w:rPr>
          <w:lang w:eastAsia="en-AU"/>
        </w:rPr>
        <w:t>The value of bank assets is assumed to grow each year by the average growth rate in bank assets over the last five years.</w:t>
      </w:r>
    </w:p>
    <w:p w:rsidR="00F8300C" w:rsidRPr="00E07E53" w:rsidRDefault="00F8300C" w:rsidP="00E07E53">
      <w:pPr>
        <w:pStyle w:val="CostingsH8"/>
        <w:rPr>
          <w:b w:val="0"/>
          <w:i/>
          <w:color w:val="auto"/>
          <w:sz w:val="22"/>
          <w:szCs w:val="22"/>
        </w:rPr>
      </w:pPr>
      <w:r w:rsidRPr="00E07E53">
        <w:rPr>
          <w:b w:val="0"/>
          <w:i/>
          <w:color w:val="auto"/>
          <w:sz w:val="22"/>
          <w:szCs w:val="22"/>
        </w:rPr>
        <w:t>Behavioural assumptions</w:t>
      </w:r>
    </w:p>
    <w:p w:rsidR="00F8300C" w:rsidRPr="003226B2" w:rsidRDefault="00F8300C" w:rsidP="00E07E53">
      <w:pPr>
        <w:pStyle w:val="ListBullet"/>
        <w:rPr>
          <w:lang w:eastAsia="en-AU"/>
        </w:rPr>
      </w:pPr>
      <w:r w:rsidRPr="003226B2">
        <w:rPr>
          <w:lang w:eastAsia="en-AU"/>
        </w:rPr>
        <w:t>The costing assumes that, as the levy would only apply to some banks, competition from other financial institutions would mean that the proposed levy would not be passed on to bank customers, and instead would reduce the profit and taxable income of these banks.</w:t>
      </w:r>
    </w:p>
    <w:p w:rsidR="00F8300C" w:rsidRPr="003226B2" w:rsidRDefault="00F8300C" w:rsidP="00E07E53">
      <w:pPr>
        <w:pStyle w:val="ListBullet"/>
        <w:rPr>
          <w:lang w:eastAsia="en-AU"/>
        </w:rPr>
      </w:pPr>
      <w:r w:rsidRPr="003226B2">
        <w:rPr>
          <w:lang w:eastAsia="en-AU"/>
        </w:rPr>
        <w:t>This assumption would only have a material impact on the costing if the average marginal tax rate of bank customers was materially different from the company tax rate.  The costing also assumes that the imposition of the levy would not change the behaviour</w:t>
      </w:r>
      <w:r w:rsidRPr="003226B2">
        <w:rPr>
          <w:spacing w:val="-10"/>
          <w:lang w:eastAsia="en-AU"/>
        </w:rPr>
        <w:t xml:space="preserve"> </w:t>
      </w:r>
      <w:r w:rsidRPr="003226B2">
        <w:rPr>
          <w:lang w:eastAsia="en-AU"/>
        </w:rPr>
        <w:t>of Australian banks over the short term, for instance by moving banking business offshore or restructuring businesses to get under the asset threshold.</w:t>
      </w:r>
    </w:p>
    <w:p w:rsidR="00F8300C" w:rsidRPr="00002D5D" w:rsidRDefault="00F8300C" w:rsidP="00E07E53">
      <w:pPr>
        <w:pStyle w:val="ListBullet2"/>
      </w:pPr>
      <w:r>
        <w:t xml:space="preserve">Behavioural </w:t>
      </w:r>
      <w:r w:rsidRPr="00586FEE">
        <w:t>responses</w:t>
      </w:r>
      <w:r>
        <w:t xml:space="preserve"> of the major banks in reaction to the levy could materially affect the estimated revenue from the levy.</w:t>
      </w:r>
    </w:p>
    <w:p w:rsidR="00F8300C" w:rsidRPr="003226B2" w:rsidRDefault="00F8300C" w:rsidP="004F4D35">
      <w:pPr>
        <w:pStyle w:val="CostingsH7"/>
      </w:pPr>
      <w:r w:rsidRPr="003226B2">
        <w:lastRenderedPageBreak/>
        <w:t>Methodology</w:t>
      </w:r>
    </w:p>
    <w:p w:rsidR="00F8300C" w:rsidRPr="003226B2" w:rsidRDefault="00F8300C" w:rsidP="004F4D35">
      <w:pPr>
        <w:pStyle w:val="BodyText"/>
        <w:keepNext/>
        <w:keepLines/>
      </w:pPr>
      <w:r w:rsidRPr="003226B2">
        <w:t>Total resident assets of Australian banks were obtained from the Australian Prudential Regulation Authority (APRA) Monthly Banking Statistics for each licensed bank.  Total resident assets are defined as “all assets on the banks' domestic books that are due from residents”.  The bank assets were then tested against the proposed $100 billion threshold.  Only assets of banks that were in excess of the threshold were assessed for the levy.  An offsetting company tax deduction was then applied.</w:t>
      </w:r>
    </w:p>
    <w:p w:rsidR="00F8300C" w:rsidRPr="003226B2" w:rsidRDefault="00F8300C" w:rsidP="009C1ABB">
      <w:pPr>
        <w:pStyle w:val="BodyText"/>
      </w:pPr>
      <w:r w:rsidRPr="003226B2">
        <w:t>Estimates are rounded to the nearest $100 million.</w:t>
      </w:r>
    </w:p>
    <w:p w:rsidR="00F8300C" w:rsidRPr="003226B2" w:rsidRDefault="00F8300C" w:rsidP="00905B06">
      <w:pPr>
        <w:pStyle w:val="CostingsH7"/>
      </w:pPr>
      <w:r w:rsidRPr="003226B2">
        <w:t>Data sources</w:t>
      </w:r>
    </w:p>
    <w:p w:rsidR="00F8300C" w:rsidRPr="003226B2" w:rsidRDefault="00F8300C" w:rsidP="009C1ABB">
      <w:pPr>
        <w:pStyle w:val="ListBullet"/>
        <w:rPr>
          <w:lang w:eastAsia="en-AU"/>
        </w:rPr>
      </w:pPr>
      <w:r w:rsidRPr="003226B2">
        <w:rPr>
          <w:lang w:eastAsia="en-AU"/>
        </w:rPr>
        <w:t>APRA Monthly Banking Statistics</w:t>
      </w:r>
    </w:p>
    <w:p w:rsidR="00F8300C" w:rsidRPr="003226B2" w:rsidRDefault="00F8300C" w:rsidP="009C1ABB">
      <w:pPr>
        <w:pStyle w:val="ListBullet"/>
        <w:rPr>
          <w:lang w:eastAsia="en-AU"/>
        </w:rPr>
      </w:pPr>
      <w:r w:rsidRPr="003226B2">
        <w:rPr>
          <w:lang w:eastAsia="en-AU"/>
        </w:rPr>
        <w:t>APRA Quarterly Authorised Deposit-taking Institution Performance.</w:t>
      </w:r>
    </w:p>
    <w:p w:rsidR="00F8300C" w:rsidRPr="003226B2" w:rsidRDefault="00F8300C" w:rsidP="009C1ABB">
      <w:pPr>
        <w:pStyle w:val="ListBullet"/>
        <w:rPr>
          <w:rFonts w:cs="Times New Roman"/>
          <w:sz w:val="20"/>
          <w:highlight w:val="yellow"/>
        </w:rPr>
        <w:sectPr w:rsidR="00F8300C" w:rsidRPr="003226B2" w:rsidSect="007E3C99">
          <w:pgSz w:w="11906" w:h="16838"/>
          <w:pgMar w:top="1361" w:right="1797" w:bottom="1474" w:left="1797" w:header="283" w:footer="454" w:gutter="0"/>
          <w:cols w:space="708"/>
          <w:docGrid w:linePitch="360"/>
        </w:sectPr>
      </w:pPr>
    </w:p>
    <w:p w:rsidR="00F8300C" w:rsidRPr="003226B2" w:rsidRDefault="00F8300C" w:rsidP="007A4BF9">
      <w:pPr>
        <w:pStyle w:val="Heading6"/>
      </w:pPr>
      <w:r w:rsidRPr="003226B2">
        <w:lastRenderedPageBreak/>
        <w:t>Attachment A: Too-Big-To-Fail Bank Levy—financial implications</w:t>
      </w:r>
    </w:p>
    <w:p w:rsidR="00F8300C" w:rsidRPr="003226B2" w:rsidRDefault="00F8300C" w:rsidP="009C1ABB">
      <w:pPr>
        <w:pStyle w:val="BodyText"/>
      </w:pPr>
      <w:r w:rsidRPr="003226B2">
        <w:t>The following table provides a breakdown of the estimated impacts of applying a 20 basis point levy on bank assets in excess of $100 billion over the 2016-17 Budget forward estimates period.</w:t>
      </w:r>
    </w:p>
    <w:p w:rsidR="00F8300C" w:rsidRPr="003226B2" w:rsidRDefault="00F8300C" w:rsidP="00905B06">
      <w:pPr>
        <w:pStyle w:val="Caption"/>
        <w:rPr>
          <w:vertAlign w:val="superscript"/>
        </w:rPr>
      </w:pPr>
      <w:r w:rsidRPr="003226B2">
        <w:t>Table A: Too-Big-To-Fail Bank Levy —Financial implications (outturn prices)</w:t>
      </w:r>
      <w:r w:rsidRPr="003226B2">
        <w:rPr>
          <w:vertAlign w:val="superscript"/>
        </w:rPr>
        <w:t>(a)(b)</w:t>
      </w:r>
    </w:p>
    <w:tbl>
      <w:tblPr>
        <w:tblStyle w:val="TableGrid3"/>
        <w:tblW w:w="4995" w:type="pct"/>
        <w:tblLook w:val="04A0" w:firstRow="1" w:lastRow="0" w:firstColumn="1" w:lastColumn="0" w:noHBand="0" w:noVBand="1"/>
      </w:tblPr>
      <w:tblGrid>
        <w:gridCol w:w="2644"/>
        <w:gridCol w:w="1134"/>
        <w:gridCol w:w="1134"/>
        <w:gridCol w:w="1134"/>
        <w:gridCol w:w="1134"/>
        <w:gridCol w:w="1134"/>
      </w:tblGrid>
      <w:tr w:rsidR="00F8300C" w:rsidRPr="003226B2" w:rsidTr="005B2F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0" w:type="pct"/>
            <w:vAlign w:val="center"/>
          </w:tcPr>
          <w:p w:rsidR="00F8300C" w:rsidRPr="003226B2" w:rsidRDefault="00F8300C" w:rsidP="005B2F0D">
            <w:pPr>
              <w:keepNext/>
              <w:keepLines/>
              <w:spacing w:line="240" w:lineRule="auto"/>
              <w:ind w:left="57" w:right="57"/>
              <w:rPr>
                <w:rFonts w:ascii="Calibri" w:hAnsi="Calibri"/>
                <w:b/>
                <w:szCs w:val="20"/>
              </w:rPr>
            </w:pPr>
            <w:r w:rsidRPr="003226B2">
              <w:rPr>
                <w:rFonts w:ascii="Calibri" w:hAnsi="Calibri"/>
                <w:szCs w:val="20"/>
              </w:rPr>
              <w:t>($m)</w:t>
            </w:r>
          </w:p>
        </w:tc>
        <w:tc>
          <w:tcPr>
            <w:tcW w:w="682" w:type="pct"/>
            <w:vAlign w:val="center"/>
          </w:tcPr>
          <w:p w:rsidR="00F8300C" w:rsidRPr="003226B2" w:rsidRDefault="00F8300C" w:rsidP="005B2F0D">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226B2">
              <w:t>2016–17</w:t>
            </w:r>
          </w:p>
        </w:tc>
        <w:tc>
          <w:tcPr>
            <w:tcW w:w="682" w:type="pct"/>
            <w:vAlign w:val="center"/>
          </w:tcPr>
          <w:p w:rsidR="00F8300C" w:rsidRPr="003226B2" w:rsidRDefault="00F8300C" w:rsidP="005B2F0D">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226B2">
              <w:t>2017–18</w:t>
            </w:r>
          </w:p>
        </w:tc>
        <w:tc>
          <w:tcPr>
            <w:tcW w:w="682" w:type="pct"/>
            <w:vAlign w:val="center"/>
          </w:tcPr>
          <w:p w:rsidR="00F8300C" w:rsidRPr="003226B2" w:rsidRDefault="00F8300C" w:rsidP="005B2F0D">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226B2">
              <w:t>2018–19</w:t>
            </w:r>
          </w:p>
        </w:tc>
        <w:tc>
          <w:tcPr>
            <w:tcW w:w="682" w:type="pct"/>
            <w:vAlign w:val="center"/>
          </w:tcPr>
          <w:p w:rsidR="00F8300C" w:rsidRPr="003226B2" w:rsidRDefault="00F8300C" w:rsidP="005B2F0D">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226B2">
              <w:t>2019–20</w:t>
            </w:r>
          </w:p>
        </w:tc>
        <w:tc>
          <w:tcPr>
            <w:tcW w:w="682" w:type="pct"/>
            <w:vAlign w:val="center"/>
          </w:tcPr>
          <w:p w:rsidR="00F8300C" w:rsidRPr="003226B2" w:rsidRDefault="00F8300C" w:rsidP="005B2F0D">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3226B2">
              <w:rPr>
                <w:b/>
              </w:rPr>
              <w:t>Total</w:t>
            </w:r>
            <w:r w:rsidRPr="003226B2">
              <w:rPr>
                <w:b/>
                <w:szCs w:val="20"/>
              </w:rPr>
              <w:t xml:space="preserve"> to 2019–20</w:t>
            </w:r>
          </w:p>
        </w:tc>
      </w:tr>
      <w:tr w:rsidR="00F8300C" w:rsidRPr="003226B2"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rsidR="00F8300C" w:rsidRPr="003226B2" w:rsidRDefault="00F8300C" w:rsidP="005B2F0D">
            <w:pPr>
              <w:keepNext/>
              <w:keepLines/>
              <w:spacing w:line="240" w:lineRule="auto"/>
              <w:ind w:left="57" w:right="57"/>
              <w:rPr>
                <w:b/>
              </w:rPr>
            </w:pPr>
            <w:r w:rsidRPr="003226B2">
              <w:rPr>
                <w:b/>
              </w:rPr>
              <w:t>Fiscal and underlying cash balances – revenue/receipts</w:t>
            </w:r>
          </w:p>
        </w:tc>
      </w:tr>
      <w:tr w:rsidR="00F8300C" w:rsidRPr="003226B2"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3226B2" w:rsidRDefault="00F8300C" w:rsidP="005B2F0D">
            <w:pPr>
              <w:spacing w:line="240" w:lineRule="auto"/>
              <w:ind w:left="57" w:right="57"/>
            </w:pPr>
            <w:r w:rsidRPr="003226B2">
              <w:t>Gross revenue raised from proposed levy</w:t>
            </w:r>
          </w:p>
        </w:tc>
        <w:tc>
          <w:tcPr>
            <w:tcW w:w="682" w:type="pct"/>
          </w:tcPr>
          <w:p w:rsidR="00F8300C" w:rsidRPr="003226B2"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pPr>
            <w:r w:rsidRPr="003226B2">
              <w:t>4,100.0</w:t>
            </w:r>
          </w:p>
        </w:tc>
        <w:tc>
          <w:tcPr>
            <w:tcW w:w="682" w:type="pct"/>
          </w:tcPr>
          <w:p w:rsidR="00F8300C" w:rsidRPr="003226B2"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pPr>
            <w:r w:rsidRPr="003226B2">
              <w:t>5,300.0</w:t>
            </w:r>
          </w:p>
        </w:tc>
        <w:tc>
          <w:tcPr>
            <w:tcW w:w="682" w:type="pct"/>
          </w:tcPr>
          <w:p w:rsidR="00F8300C" w:rsidRPr="003226B2"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pPr>
            <w:r w:rsidRPr="003226B2">
              <w:t>5,700.0</w:t>
            </w:r>
          </w:p>
        </w:tc>
        <w:tc>
          <w:tcPr>
            <w:tcW w:w="682" w:type="pct"/>
          </w:tcPr>
          <w:p w:rsidR="00F8300C" w:rsidRPr="003226B2"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pPr>
            <w:r w:rsidRPr="003226B2">
              <w:t>6,100.0</w:t>
            </w:r>
          </w:p>
        </w:tc>
        <w:tc>
          <w:tcPr>
            <w:tcW w:w="682" w:type="pct"/>
          </w:tcPr>
          <w:p w:rsidR="00F8300C" w:rsidRPr="003226B2"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rPr>
                <w:b/>
              </w:rPr>
            </w:pPr>
            <w:r w:rsidRPr="003226B2">
              <w:rPr>
                <w:b/>
              </w:rPr>
              <w:t>21,200.0</w:t>
            </w:r>
          </w:p>
        </w:tc>
      </w:tr>
      <w:tr w:rsidR="00F8300C" w:rsidRPr="003226B2"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F8300C" w:rsidRPr="003226B2" w:rsidRDefault="00F8300C" w:rsidP="005B2F0D">
            <w:pPr>
              <w:spacing w:line="240" w:lineRule="auto"/>
              <w:ind w:left="57" w:right="57"/>
            </w:pPr>
            <w:r w:rsidRPr="003226B2">
              <w:t xml:space="preserve">Impact on company tax </w:t>
            </w:r>
          </w:p>
        </w:tc>
        <w:tc>
          <w:tcPr>
            <w:tcW w:w="682" w:type="pct"/>
          </w:tcPr>
          <w:p w:rsidR="00F8300C" w:rsidRPr="003226B2" w:rsidRDefault="00F8300C" w:rsidP="005B2F0D">
            <w:pPr>
              <w:spacing w:line="240" w:lineRule="auto"/>
              <w:jc w:val="right"/>
              <w:cnfStyle w:val="000000100000" w:firstRow="0" w:lastRow="0" w:firstColumn="0" w:lastColumn="0" w:oddVBand="0" w:evenVBand="0" w:oddHBand="1" w:evenHBand="0" w:firstRowFirstColumn="0" w:firstRowLastColumn="0" w:lastRowFirstColumn="0" w:lastRowLastColumn="0"/>
            </w:pPr>
            <w:r w:rsidRPr="003226B2">
              <w:t>-1,200.0</w:t>
            </w:r>
          </w:p>
        </w:tc>
        <w:tc>
          <w:tcPr>
            <w:tcW w:w="682" w:type="pct"/>
          </w:tcPr>
          <w:p w:rsidR="00F8300C" w:rsidRPr="003226B2" w:rsidRDefault="00F8300C" w:rsidP="005B2F0D">
            <w:pPr>
              <w:spacing w:line="240" w:lineRule="auto"/>
              <w:jc w:val="right"/>
              <w:cnfStyle w:val="000000100000" w:firstRow="0" w:lastRow="0" w:firstColumn="0" w:lastColumn="0" w:oddVBand="0" w:evenVBand="0" w:oddHBand="1" w:evenHBand="0" w:firstRowFirstColumn="0" w:firstRowLastColumn="0" w:lastRowFirstColumn="0" w:lastRowLastColumn="0"/>
            </w:pPr>
            <w:r w:rsidRPr="003226B2">
              <w:t>-1,600.0</w:t>
            </w:r>
          </w:p>
        </w:tc>
        <w:tc>
          <w:tcPr>
            <w:tcW w:w="682" w:type="pct"/>
          </w:tcPr>
          <w:p w:rsidR="00F8300C" w:rsidRPr="003226B2" w:rsidRDefault="00F8300C" w:rsidP="005B2F0D">
            <w:pPr>
              <w:spacing w:line="240" w:lineRule="auto"/>
              <w:jc w:val="right"/>
              <w:cnfStyle w:val="000000100000" w:firstRow="0" w:lastRow="0" w:firstColumn="0" w:lastColumn="0" w:oddVBand="0" w:evenVBand="0" w:oddHBand="1" w:evenHBand="0" w:firstRowFirstColumn="0" w:firstRowLastColumn="0" w:lastRowFirstColumn="0" w:lastRowLastColumn="0"/>
            </w:pPr>
            <w:r w:rsidRPr="003226B2">
              <w:t>-1,700.0</w:t>
            </w:r>
          </w:p>
        </w:tc>
        <w:tc>
          <w:tcPr>
            <w:tcW w:w="682" w:type="pct"/>
          </w:tcPr>
          <w:p w:rsidR="00F8300C" w:rsidRPr="003226B2" w:rsidRDefault="00F8300C" w:rsidP="005B2F0D">
            <w:pPr>
              <w:spacing w:line="240" w:lineRule="auto"/>
              <w:jc w:val="right"/>
              <w:cnfStyle w:val="000000100000" w:firstRow="0" w:lastRow="0" w:firstColumn="0" w:lastColumn="0" w:oddVBand="0" w:evenVBand="0" w:oddHBand="1" w:evenHBand="0" w:firstRowFirstColumn="0" w:firstRowLastColumn="0" w:lastRowFirstColumn="0" w:lastRowLastColumn="0"/>
            </w:pPr>
            <w:r w:rsidRPr="003226B2">
              <w:t>-1,800.0</w:t>
            </w:r>
          </w:p>
        </w:tc>
        <w:tc>
          <w:tcPr>
            <w:tcW w:w="682" w:type="pct"/>
          </w:tcPr>
          <w:p w:rsidR="00F8300C" w:rsidRPr="003226B2" w:rsidRDefault="00F8300C" w:rsidP="005B2F0D">
            <w:pPr>
              <w:spacing w:line="240" w:lineRule="auto"/>
              <w:jc w:val="right"/>
              <w:cnfStyle w:val="000000100000" w:firstRow="0" w:lastRow="0" w:firstColumn="0" w:lastColumn="0" w:oddVBand="0" w:evenVBand="0" w:oddHBand="1" w:evenHBand="0" w:firstRowFirstColumn="0" w:firstRowLastColumn="0" w:lastRowFirstColumn="0" w:lastRowLastColumn="0"/>
              <w:rPr>
                <w:b/>
              </w:rPr>
            </w:pPr>
            <w:r w:rsidRPr="003226B2">
              <w:rPr>
                <w:b/>
              </w:rPr>
              <w:t>-6,300.0</w:t>
            </w:r>
          </w:p>
        </w:tc>
      </w:tr>
      <w:tr w:rsidR="00F8300C" w:rsidRPr="003226B2" w:rsidTr="005B2F0D">
        <w:tc>
          <w:tcPr>
            <w:cnfStyle w:val="001000000000" w:firstRow="0" w:lastRow="0" w:firstColumn="1" w:lastColumn="0" w:oddVBand="0" w:evenVBand="0" w:oddHBand="0" w:evenHBand="0" w:firstRowFirstColumn="0" w:firstRowLastColumn="0" w:lastRowFirstColumn="0" w:lastRowLastColumn="0"/>
            <w:tcW w:w="1590" w:type="pct"/>
          </w:tcPr>
          <w:p w:rsidR="00F8300C" w:rsidRPr="003226B2" w:rsidRDefault="00F8300C" w:rsidP="005B2F0D">
            <w:pPr>
              <w:spacing w:line="240" w:lineRule="auto"/>
              <w:ind w:left="57" w:right="57"/>
              <w:rPr>
                <w:b/>
              </w:rPr>
            </w:pPr>
            <w:r w:rsidRPr="003226B2">
              <w:rPr>
                <w:b/>
              </w:rPr>
              <w:t>Net financial implications</w:t>
            </w:r>
          </w:p>
        </w:tc>
        <w:tc>
          <w:tcPr>
            <w:tcW w:w="682" w:type="pct"/>
          </w:tcPr>
          <w:p w:rsidR="00F8300C" w:rsidRPr="003226B2"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rPr>
                <w:b/>
              </w:rPr>
            </w:pPr>
            <w:r w:rsidRPr="003226B2">
              <w:rPr>
                <w:b/>
              </w:rPr>
              <w:t>2,900.0</w:t>
            </w:r>
          </w:p>
        </w:tc>
        <w:tc>
          <w:tcPr>
            <w:tcW w:w="682" w:type="pct"/>
          </w:tcPr>
          <w:p w:rsidR="00F8300C" w:rsidRPr="003226B2"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rPr>
                <w:b/>
              </w:rPr>
            </w:pPr>
            <w:r w:rsidRPr="003226B2">
              <w:rPr>
                <w:b/>
              </w:rPr>
              <w:t>3,700.0</w:t>
            </w:r>
          </w:p>
        </w:tc>
        <w:tc>
          <w:tcPr>
            <w:tcW w:w="682" w:type="pct"/>
          </w:tcPr>
          <w:p w:rsidR="00F8300C" w:rsidRPr="003226B2"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rPr>
                <w:b/>
              </w:rPr>
            </w:pPr>
            <w:r w:rsidRPr="003226B2">
              <w:rPr>
                <w:b/>
              </w:rPr>
              <w:t>4,000.0</w:t>
            </w:r>
          </w:p>
        </w:tc>
        <w:tc>
          <w:tcPr>
            <w:tcW w:w="682" w:type="pct"/>
          </w:tcPr>
          <w:p w:rsidR="00F8300C" w:rsidRPr="003226B2"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rPr>
                <w:b/>
              </w:rPr>
            </w:pPr>
            <w:r w:rsidRPr="003226B2">
              <w:rPr>
                <w:b/>
              </w:rPr>
              <w:t>4,300.0</w:t>
            </w:r>
          </w:p>
        </w:tc>
        <w:tc>
          <w:tcPr>
            <w:tcW w:w="682" w:type="pct"/>
          </w:tcPr>
          <w:p w:rsidR="00F8300C" w:rsidRPr="003226B2"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rPr>
                <w:b/>
              </w:rPr>
            </w:pPr>
            <w:r w:rsidRPr="003226B2">
              <w:rPr>
                <w:b/>
              </w:rPr>
              <w:t>14,900.0</w:t>
            </w:r>
          </w:p>
        </w:tc>
      </w:tr>
    </w:tbl>
    <w:p w:rsidR="00F8300C" w:rsidRPr="006132A2" w:rsidRDefault="00F8300C" w:rsidP="000B5C96">
      <w:pPr>
        <w:pStyle w:val="Footnotes"/>
        <w:numPr>
          <w:ilvl w:val="0"/>
          <w:numId w:val="38"/>
        </w:numPr>
        <w:ind w:left="284" w:hanging="284"/>
      </w:pPr>
      <w:r w:rsidRPr="006132A2">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F8300C" w:rsidRDefault="00F8300C" w:rsidP="000B5C96">
      <w:pPr>
        <w:pStyle w:val="Footnotes"/>
        <w:numPr>
          <w:ilvl w:val="0"/>
          <w:numId w:val="38"/>
        </w:numPr>
        <w:ind w:left="284" w:hanging="284"/>
      </w:pPr>
      <w:r w:rsidRPr="003226B2">
        <w:t>Figures may not sum to totals due to rounding.</w:t>
      </w:r>
    </w:p>
    <w:p w:rsidR="00953106" w:rsidRPr="00234B39" w:rsidRDefault="00953106" w:rsidP="000B5C96">
      <w:pPr>
        <w:pStyle w:val="Footnotes"/>
        <w:numPr>
          <w:ilvl w:val="0"/>
          <w:numId w:val="33"/>
        </w:numPr>
        <w:ind w:left="284" w:hanging="284"/>
      </w:pPr>
      <w:r>
        <w:t>Indicates nil</w:t>
      </w:r>
    </w:p>
    <w:p w:rsidR="007E3C99" w:rsidRDefault="007E3C99" w:rsidP="000B5C96">
      <w:pPr>
        <w:pStyle w:val="Footnotes"/>
        <w:numPr>
          <w:ilvl w:val="0"/>
          <w:numId w:val="38"/>
        </w:numPr>
        <w:sectPr w:rsidR="007E3C99" w:rsidSect="007E3C99">
          <w:headerReference w:type="even" r:id="rId54"/>
          <w:headerReference w:type="default" r:id="rId55"/>
          <w:footerReference w:type="even" r:id="rId56"/>
          <w:footerReference w:type="default" r:id="rId57"/>
          <w:headerReference w:type="first" r:id="rId58"/>
          <w:footerReference w:type="first" r:id="rId59"/>
          <w:pgSz w:w="11906" w:h="16838"/>
          <w:pgMar w:top="1361" w:right="1797" w:bottom="1474" w:left="1797" w:header="283" w:footer="454" w:gutter="0"/>
          <w:cols w:space="708"/>
          <w:docGrid w:linePitch="360"/>
        </w:sectPr>
      </w:pPr>
    </w:p>
    <w:p w:rsidR="00F8300C" w:rsidRDefault="00F8300C" w:rsidP="007A4BF9">
      <w:pPr>
        <w:pStyle w:val="Heading5"/>
        <w:rPr>
          <w:rFonts w:ascii="Calibri" w:eastAsia="Calibri" w:hAnsi="Calibri"/>
          <w:noProof/>
          <w:lang w:eastAsia="en-AU"/>
        </w:rPr>
      </w:pPr>
      <w:bookmarkStart w:id="15" w:name="_Toc458015772"/>
      <w:bookmarkStart w:id="16" w:name="_Toc458090611"/>
      <w:r>
        <w:rPr>
          <w:rFonts w:eastAsia="Times New Roman"/>
        </w:rPr>
        <w:lastRenderedPageBreak/>
        <w:t>GRN005</w:t>
      </w:r>
      <w:r w:rsidRPr="001C46AF">
        <w:rPr>
          <w:rFonts w:eastAsia="Times New Roman"/>
        </w:rPr>
        <w:t xml:space="preserve">: </w:t>
      </w:r>
      <w:r>
        <w:rPr>
          <w:rFonts w:eastAsia="Times New Roman"/>
        </w:rPr>
        <w:t>Top Marginal Tax Rates</w:t>
      </w:r>
      <w:bookmarkEnd w:id="15"/>
      <w:bookmarkEnd w:id="16"/>
    </w:p>
    <w:p w:rsidR="00F8300C" w:rsidRDefault="00F8300C" w:rsidP="007A4BF9">
      <w:pPr>
        <w:pStyle w:val="BodyText"/>
      </w:pPr>
      <w:r w:rsidRPr="00B52715">
        <w:rPr>
          <w:noProof/>
          <w:lang w:eastAsia="en-AU"/>
        </w:rPr>
        <w:drawing>
          <wp:inline distT="0" distB="0" distL="0" distR="0" wp14:anchorId="60296E9D" wp14:editId="30855DFE">
            <wp:extent cx="2696845" cy="572135"/>
            <wp:effectExtent l="0" t="0" r="8255" b="0"/>
            <wp:docPr id="12" name="Picture 1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F8300C" w:rsidRPr="00B52715" w:rsidRDefault="00F8300C" w:rsidP="007A4BF9">
      <w:pPr>
        <w:pStyle w:val="Heading6"/>
      </w:pPr>
      <w:r w:rsidRPr="00B52715">
        <w:t>Policy costing—during the caretaker period for the 2016 general election</w:t>
      </w:r>
    </w:p>
    <w:tbl>
      <w:tblPr>
        <w:tblStyle w:val="Style15"/>
        <w:tblW w:w="8340" w:type="dxa"/>
        <w:tblLook w:val="04A0" w:firstRow="1" w:lastRow="0" w:firstColumn="1" w:lastColumn="0" w:noHBand="0" w:noVBand="1"/>
      </w:tblPr>
      <w:tblGrid>
        <w:gridCol w:w="3005"/>
        <w:gridCol w:w="5335"/>
      </w:tblGrid>
      <w:tr w:rsidR="00F8300C" w:rsidRPr="00AF49FE" w:rsidTr="005B2F0D">
        <w:trPr>
          <w:cnfStyle w:val="100000000000" w:firstRow="1" w:lastRow="0" w:firstColumn="0" w:lastColumn="0" w:oddVBand="0" w:evenVBand="0" w:oddHBand="0" w:evenHBand="0" w:firstRowFirstColumn="0" w:firstRowLastColumn="0" w:lastRowFirstColumn="0" w:lastRowLastColumn="0"/>
        </w:trPr>
        <w:tc>
          <w:tcPr>
            <w:tcW w:w="3005" w:type="dxa"/>
          </w:tcPr>
          <w:p w:rsidR="00F8300C" w:rsidRPr="00AF49FE" w:rsidRDefault="00F8300C" w:rsidP="00AF49FE">
            <w:pPr>
              <w:pStyle w:val="PullOutBoxHeading"/>
            </w:pPr>
            <w:r w:rsidRPr="00AF49FE">
              <w:t>Name of proposal:</w:t>
            </w:r>
          </w:p>
        </w:tc>
        <w:tc>
          <w:tcPr>
            <w:tcW w:w="5335" w:type="dxa"/>
          </w:tcPr>
          <w:p w:rsidR="00F8300C" w:rsidRPr="00AF49FE" w:rsidRDefault="00F8300C" w:rsidP="00AF49FE">
            <w:pPr>
              <w:pStyle w:val="PullOutBoxHeading"/>
            </w:pPr>
            <w:r w:rsidRPr="00AF49FE">
              <w:t>Top Marginal Tax Rates</w:t>
            </w:r>
          </w:p>
        </w:tc>
      </w:tr>
      <w:tr w:rsidR="00F8300C" w:rsidRPr="00B52715" w:rsidTr="005B2F0D">
        <w:tc>
          <w:tcPr>
            <w:tcW w:w="3005" w:type="dxa"/>
          </w:tcPr>
          <w:p w:rsidR="00F8300C" w:rsidRPr="00B52715" w:rsidRDefault="00F8300C" w:rsidP="00E1733B">
            <w:pPr>
              <w:pStyle w:val="PullOutBoxBodyText"/>
            </w:pPr>
            <w:r w:rsidRPr="00B52715">
              <w:t>Summary of proposal:</w:t>
            </w:r>
          </w:p>
        </w:tc>
        <w:tc>
          <w:tcPr>
            <w:tcW w:w="5335" w:type="dxa"/>
          </w:tcPr>
          <w:p w:rsidR="00F8300C" w:rsidRPr="00B52715" w:rsidRDefault="00F8300C" w:rsidP="00E1733B">
            <w:pPr>
              <w:pStyle w:val="PullOutBoxBodyText"/>
            </w:pPr>
            <w:r w:rsidRPr="00B52715">
              <w:t>The proposal would change the personal income tax schedule to:</w:t>
            </w:r>
          </w:p>
          <w:p w:rsidR="00F8300C" w:rsidRPr="00B52715" w:rsidRDefault="00F8300C" w:rsidP="00E1733B">
            <w:pPr>
              <w:pStyle w:val="PullOutBoxBullet"/>
              <w:rPr>
                <w:lang w:eastAsia="en-AU"/>
              </w:rPr>
            </w:pPr>
            <w:r w:rsidRPr="00B52715">
              <w:rPr>
                <w:lang w:eastAsia="en-AU"/>
              </w:rPr>
              <w:t>oppose the proposed lifting of the $80,000 threshold to $87,000</w:t>
            </w:r>
          </w:p>
          <w:p w:rsidR="00F8300C" w:rsidRPr="00B52715" w:rsidRDefault="00F8300C" w:rsidP="00E1733B">
            <w:pPr>
              <w:pStyle w:val="PullOutBoxBullet"/>
              <w:rPr>
                <w:lang w:eastAsia="en-AU"/>
              </w:rPr>
            </w:pPr>
            <w:r w:rsidRPr="00B52715">
              <w:rPr>
                <w:lang w:eastAsia="en-AU"/>
              </w:rPr>
              <w:t>make the 2 per cent temporary budget repair levy permanent</w:t>
            </w:r>
          </w:p>
          <w:p w:rsidR="00F8300C" w:rsidRPr="00B52715" w:rsidRDefault="00F8300C" w:rsidP="00E1733B">
            <w:pPr>
              <w:pStyle w:val="PullOutBoxBullet"/>
              <w:rPr>
                <w:lang w:eastAsia="en-AU"/>
              </w:rPr>
            </w:pPr>
            <w:r w:rsidRPr="00B52715">
              <w:rPr>
                <w:lang w:eastAsia="en-AU"/>
              </w:rPr>
              <w:t>introduce a 50 per cent tax rate on taxable incomes over $1 million.</w:t>
            </w:r>
          </w:p>
          <w:p w:rsidR="00F8300C" w:rsidRPr="00B52715" w:rsidRDefault="00F8300C" w:rsidP="00E1733B">
            <w:pPr>
              <w:pStyle w:val="PullOutBoxBodyText"/>
              <w:rPr>
                <w:u w:val="single"/>
              </w:rPr>
            </w:pPr>
            <w:r w:rsidRPr="00B52715">
              <w:t xml:space="preserve">A comparison of the current and proposed marginal tax rates is at </w:t>
            </w:r>
            <w:r w:rsidRPr="00B52715">
              <w:rPr>
                <w:u w:val="single"/>
              </w:rPr>
              <w:t>Attachment A.</w:t>
            </w:r>
          </w:p>
          <w:p w:rsidR="00F8300C" w:rsidRPr="00B52715" w:rsidRDefault="00F8300C" w:rsidP="00E1733B">
            <w:pPr>
              <w:pStyle w:val="PullOutBoxBodyText"/>
            </w:pPr>
            <w:r w:rsidRPr="00B52715">
              <w:t>The proposal would have effect from 1 September 2016.</w:t>
            </w:r>
          </w:p>
          <w:p w:rsidR="00F8300C" w:rsidRPr="00B52715" w:rsidRDefault="00F8300C" w:rsidP="00E1733B">
            <w:pPr>
              <w:pStyle w:val="PullOutBoxBodyText"/>
            </w:pPr>
            <w:r w:rsidRPr="00B52715">
              <w:t>The Fringe Benefits Tax (FBT) rate would be increased to 52 per cent from 1 September 2016, reflecting the highest marginal tax rate and the Medicare levy.</w:t>
            </w:r>
          </w:p>
        </w:tc>
      </w:tr>
      <w:tr w:rsidR="00F8300C" w:rsidRPr="00B52715" w:rsidTr="005B2F0D">
        <w:tc>
          <w:tcPr>
            <w:tcW w:w="3005" w:type="dxa"/>
          </w:tcPr>
          <w:p w:rsidR="00F8300C" w:rsidRPr="00B52715" w:rsidRDefault="00F8300C" w:rsidP="00E1733B">
            <w:pPr>
              <w:pStyle w:val="PullOutBoxBodyText"/>
            </w:pPr>
            <w:r w:rsidRPr="00B52715">
              <w:t>Person/party requesting costing:</w:t>
            </w:r>
          </w:p>
        </w:tc>
        <w:tc>
          <w:tcPr>
            <w:tcW w:w="5335" w:type="dxa"/>
          </w:tcPr>
          <w:p w:rsidR="00F8300C" w:rsidRPr="00B52715" w:rsidRDefault="00F8300C" w:rsidP="00E1733B">
            <w:pPr>
              <w:pStyle w:val="PullOutBoxBodyText"/>
            </w:pPr>
            <w:r w:rsidRPr="00B52715">
              <w:t>Senator Richard Di Natale, Australian Greens</w:t>
            </w:r>
          </w:p>
        </w:tc>
      </w:tr>
      <w:tr w:rsidR="00F8300C" w:rsidRPr="00B52715" w:rsidTr="005B2F0D">
        <w:tc>
          <w:tcPr>
            <w:tcW w:w="3005" w:type="dxa"/>
          </w:tcPr>
          <w:p w:rsidR="00F8300C" w:rsidRPr="00B52715" w:rsidRDefault="00F8300C" w:rsidP="00E1733B">
            <w:pPr>
              <w:pStyle w:val="PullOutBoxBodyText"/>
            </w:pPr>
            <w:r w:rsidRPr="00B52715">
              <w:t>Date of public release of policy:</w:t>
            </w:r>
          </w:p>
        </w:tc>
        <w:tc>
          <w:tcPr>
            <w:tcW w:w="5335" w:type="dxa"/>
          </w:tcPr>
          <w:p w:rsidR="00F8300C" w:rsidRPr="00B52715" w:rsidRDefault="00F8300C" w:rsidP="00E1733B">
            <w:pPr>
              <w:pStyle w:val="PullOutBoxBodyText"/>
            </w:pPr>
            <w:r w:rsidRPr="00B52715">
              <w:t>23 March 2016</w:t>
            </w:r>
          </w:p>
          <w:p w:rsidR="00F8300C" w:rsidRPr="00B52715" w:rsidRDefault="00E46526" w:rsidP="00E1733B">
            <w:pPr>
              <w:pStyle w:val="PullOutBoxBodyText"/>
            </w:pPr>
            <w:hyperlink r:id="rId60" w:history="1">
              <w:r w:rsidR="00F8300C" w:rsidRPr="00B52715">
                <w:rPr>
                  <w:color w:val="000000" w:themeColor="hyperlink"/>
                  <w:u w:val="single"/>
                </w:rPr>
                <w:t>http://greens.org.au/news/vic/greens-oppose-income-tax-cuts-company-tax-cuts-big-business</w:t>
              </w:r>
            </w:hyperlink>
          </w:p>
        </w:tc>
      </w:tr>
      <w:tr w:rsidR="00F8300C" w:rsidRPr="00B52715" w:rsidTr="005B2F0D">
        <w:tc>
          <w:tcPr>
            <w:tcW w:w="3005" w:type="dxa"/>
          </w:tcPr>
          <w:p w:rsidR="00F8300C" w:rsidRPr="00B52715" w:rsidRDefault="00F8300C" w:rsidP="00E1733B">
            <w:pPr>
              <w:pStyle w:val="PullOutBoxBodyText"/>
            </w:pPr>
            <w:r w:rsidRPr="00B52715">
              <w:t>Date costing request received:</w:t>
            </w:r>
          </w:p>
        </w:tc>
        <w:tc>
          <w:tcPr>
            <w:tcW w:w="5335" w:type="dxa"/>
          </w:tcPr>
          <w:p w:rsidR="00F8300C" w:rsidRPr="00B52715" w:rsidRDefault="00F8300C" w:rsidP="00E1733B">
            <w:pPr>
              <w:pStyle w:val="PullOutBoxBodyText"/>
            </w:pPr>
            <w:r w:rsidRPr="00B52715">
              <w:t>23 June 2016</w:t>
            </w:r>
          </w:p>
        </w:tc>
      </w:tr>
      <w:tr w:rsidR="00F8300C" w:rsidRPr="00B52715" w:rsidTr="005B2F0D">
        <w:tc>
          <w:tcPr>
            <w:tcW w:w="3005" w:type="dxa"/>
          </w:tcPr>
          <w:p w:rsidR="00F8300C" w:rsidRPr="00B52715" w:rsidRDefault="00F8300C" w:rsidP="00E1733B">
            <w:pPr>
              <w:pStyle w:val="PullOutBoxBodyText"/>
            </w:pPr>
            <w:r w:rsidRPr="00B52715">
              <w:t>Date costing completed</w:t>
            </w:r>
          </w:p>
        </w:tc>
        <w:tc>
          <w:tcPr>
            <w:tcW w:w="5335" w:type="dxa"/>
          </w:tcPr>
          <w:p w:rsidR="00F8300C" w:rsidRPr="00B52715" w:rsidRDefault="00F8300C" w:rsidP="00E1733B">
            <w:pPr>
              <w:pStyle w:val="PullOutBoxBodyText"/>
            </w:pPr>
            <w:r w:rsidRPr="00B52715">
              <w:t>24 June 2016</w:t>
            </w:r>
          </w:p>
        </w:tc>
      </w:tr>
      <w:tr w:rsidR="00F8300C" w:rsidRPr="00B52715" w:rsidTr="005B2F0D">
        <w:tc>
          <w:tcPr>
            <w:tcW w:w="3005" w:type="dxa"/>
          </w:tcPr>
          <w:p w:rsidR="00F8300C" w:rsidRPr="00B52715" w:rsidRDefault="00F8300C" w:rsidP="00E1733B">
            <w:pPr>
              <w:pStyle w:val="PullOutBoxBodyText"/>
            </w:pPr>
            <w:r w:rsidRPr="00B52715">
              <w:t>Expiry date for the costing:</w:t>
            </w:r>
          </w:p>
        </w:tc>
        <w:tc>
          <w:tcPr>
            <w:tcW w:w="5335" w:type="dxa"/>
          </w:tcPr>
          <w:p w:rsidR="00F8300C" w:rsidRPr="00B52715" w:rsidRDefault="00F8300C" w:rsidP="00E1733B">
            <w:pPr>
              <w:pStyle w:val="PullOutBoxBodyText"/>
            </w:pPr>
            <w:r w:rsidRPr="00B52715">
              <w:t>Release of the next economic and fiscal outlook report</w:t>
            </w:r>
          </w:p>
        </w:tc>
      </w:tr>
    </w:tbl>
    <w:p w:rsidR="00F8300C" w:rsidRPr="00B52715" w:rsidRDefault="00F8300C" w:rsidP="00905B06">
      <w:pPr>
        <w:pStyle w:val="CostingsH7"/>
      </w:pPr>
      <w:r w:rsidRPr="00B52715">
        <w:t>Costing overview</w:t>
      </w:r>
    </w:p>
    <w:p w:rsidR="00F8300C" w:rsidRPr="00B52715" w:rsidRDefault="00F8300C" w:rsidP="009C1ABB">
      <w:pPr>
        <w:pStyle w:val="BodyText"/>
      </w:pPr>
      <w:r w:rsidRPr="00B52715">
        <w:t>This proposal would be expected to increase the fiscal and underlying cash balances by $9,944 million over the 2016-17 Budget forward estimates period.  This impact reflects an increase in revenue of $9,950 million partly offset by a $6 million increase in departmental expenditure for the Australian Taxation Office (ATO).</w:t>
      </w:r>
    </w:p>
    <w:p w:rsidR="00F8300C" w:rsidRPr="00B52715" w:rsidRDefault="00F8300C" w:rsidP="009C1ABB">
      <w:pPr>
        <w:pStyle w:val="BodyText"/>
      </w:pPr>
      <w:r w:rsidRPr="00B52715">
        <w:lastRenderedPageBreak/>
        <w:t xml:space="preserve">This proposal would have ongoing financial implications beyond the 2016-17 Budget forward estimates period.  The financial implications of the proposal over the 2016-17 Budget forward estimates period are not necessarily reflective of its ongoing implications due to the operation of bracket creep, where nominal income growth leads to higher marginal and average tax rates.  The financial implications of the proposal for the period to 2026-27 are included at </w:t>
      </w:r>
      <w:r w:rsidRPr="00B52715">
        <w:rPr>
          <w:u w:val="single"/>
        </w:rPr>
        <w:t>Attachment B</w:t>
      </w:r>
      <w:r w:rsidRPr="00B52715">
        <w:t>.</w:t>
      </w:r>
    </w:p>
    <w:p w:rsidR="00F8300C" w:rsidRPr="00B52715" w:rsidRDefault="00F8300C" w:rsidP="009C1ABB">
      <w:pPr>
        <w:pStyle w:val="BodyText"/>
      </w:pPr>
      <w:r w:rsidRPr="00B52715">
        <w:t>The proposal would be expected to involve departmental expenses of $6 million in 2016</w:t>
      </w:r>
      <w:r w:rsidRPr="00B52715">
        <w:noBreakHyphen/>
        <w:t>17.  This amount reflects the estimated cost to the ATO of implementation of the proposal, particularly with regard to the higher marginal tax rate for individuals with taxable income over $1 million and the introduction of different FBT rates for fringe benefits that accrue during different parts of the 2016-17 FBT year.</w:t>
      </w:r>
    </w:p>
    <w:p w:rsidR="00F8300C" w:rsidRPr="00B52715" w:rsidRDefault="00F8300C" w:rsidP="009C1ABB">
      <w:pPr>
        <w:pStyle w:val="BodyText"/>
      </w:pPr>
      <w:r w:rsidRPr="00B52715">
        <w:t>The introduction of different FBT rates for fringe benefits that accrue during different parts of the FBT year is likely to also involve additional compliance costs on taxpayers.  However, any additional compliance costs for taxpayers associated with this proposal have not been taken into account in this costing, as they do not directly impact the Budget.</w:t>
      </w:r>
    </w:p>
    <w:p w:rsidR="00F8300C" w:rsidRPr="00B52715" w:rsidRDefault="00F8300C" w:rsidP="009C1ABB">
      <w:pPr>
        <w:pStyle w:val="BodyText"/>
      </w:pPr>
      <w:r w:rsidRPr="00B52715">
        <w:t>This costing is considered to be of low to medium reliability.  It has been estimated based on a large representative sample of administrative tax data.  However, the estimates may be sensitive to behavioural responses by individuals affected by this proposal, particularly individuals at the highest marginal tax rates, and to variations in population and income growth.  The reliability of the costing decreases the further into the future the estimates are projected.</w:t>
      </w:r>
    </w:p>
    <w:p w:rsidR="00F8300C" w:rsidRPr="00B52715" w:rsidRDefault="00F8300C" w:rsidP="00905B06">
      <w:pPr>
        <w:pStyle w:val="Caption"/>
      </w:pPr>
      <w:r w:rsidRPr="00B52715">
        <w:t>Table 1: Financial implications (outturn prices)</w:t>
      </w:r>
      <w:r w:rsidRPr="00B52715">
        <w:rPr>
          <w:vertAlign w:val="superscript"/>
        </w:rPr>
        <w:t>(a)(b)</w:t>
      </w:r>
    </w:p>
    <w:tbl>
      <w:tblPr>
        <w:tblStyle w:val="TableGrid5"/>
        <w:tblW w:w="4993" w:type="pct"/>
        <w:tblLook w:val="04A0" w:firstRow="1" w:lastRow="0" w:firstColumn="1" w:lastColumn="0" w:noHBand="0" w:noVBand="1"/>
      </w:tblPr>
      <w:tblGrid>
        <w:gridCol w:w="2645"/>
        <w:gridCol w:w="1134"/>
        <w:gridCol w:w="1133"/>
        <w:gridCol w:w="1133"/>
        <w:gridCol w:w="1133"/>
        <w:gridCol w:w="1132"/>
      </w:tblGrid>
      <w:tr w:rsidR="00F8300C" w:rsidRPr="00B52715" w:rsidTr="005B2F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F8300C" w:rsidRPr="00B52715" w:rsidRDefault="00F8300C" w:rsidP="005B2F0D">
            <w:pPr>
              <w:keepLines/>
              <w:spacing w:line="240" w:lineRule="auto"/>
              <w:ind w:left="57" w:right="57"/>
              <w:rPr>
                <w:rFonts w:ascii="Calibri" w:hAnsi="Calibri"/>
                <w:szCs w:val="20"/>
              </w:rPr>
            </w:pPr>
            <w:r w:rsidRPr="00B52715">
              <w:rPr>
                <w:rFonts w:ascii="Calibri" w:hAnsi="Calibri"/>
                <w:szCs w:val="20"/>
              </w:rPr>
              <w:t>Impact on ($m)</w:t>
            </w:r>
          </w:p>
        </w:tc>
        <w:tc>
          <w:tcPr>
            <w:tcW w:w="682" w:type="pct"/>
          </w:tcPr>
          <w:p w:rsidR="00F8300C" w:rsidRPr="00B52715" w:rsidRDefault="00F8300C" w:rsidP="005B2F0D">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B52715">
              <w:rPr>
                <w:rFonts w:ascii="Calibri" w:hAnsi="Calibri"/>
                <w:szCs w:val="20"/>
              </w:rPr>
              <w:t>2016–17</w:t>
            </w:r>
          </w:p>
        </w:tc>
        <w:tc>
          <w:tcPr>
            <w:tcW w:w="682" w:type="pct"/>
          </w:tcPr>
          <w:p w:rsidR="00F8300C" w:rsidRPr="00B52715" w:rsidRDefault="00F8300C" w:rsidP="005B2F0D">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B52715">
              <w:rPr>
                <w:rFonts w:ascii="Calibri" w:hAnsi="Calibri"/>
                <w:szCs w:val="20"/>
              </w:rPr>
              <w:t>2017–18</w:t>
            </w:r>
          </w:p>
        </w:tc>
        <w:tc>
          <w:tcPr>
            <w:tcW w:w="682" w:type="pct"/>
          </w:tcPr>
          <w:p w:rsidR="00F8300C" w:rsidRPr="00B52715" w:rsidRDefault="00F8300C" w:rsidP="005B2F0D">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B52715">
              <w:rPr>
                <w:rFonts w:ascii="Calibri" w:hAnsi="Calibri"/>
                <w:szCs w:val="20"/>
              </w:rPr>
              <w:t>2018–19</w:t>
            </w:r>
          </w:p>
        </w:tc>
        <w:tc>
          <w:tcPr>
            <w:tcW w:w="682" w:type="pct"/>
          </w:tcPr>
          <w:p w:rsidR="00F8300C" w:rsidRPr="00B52715" w:rsidRDefault="00F8300C" w:rsidP="005B2F0D">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b/>
                <w:szCs w:val="20"/>
              </w:rPr>
            </w:pPr>
            <w:r w:rsidRPr="00B52715">
              <w:rPr>
                <w:rFonts w:ascii="Calibri" w:hAnsi="Calibri"/>
                <w:szCs w:val="20"/>
              </w:rPr>
              <w:t>2019–20</w:t>
            </w:r>
          </w:p>
        </w:tc>
        <w:tc>
          <w:tcPr>
            <w:tcW w:w="681" w:type="pct"/>
          </w:tcPr>
          <w:p w:rsidR="00F8300C" w:rsidRPr="00B52715" w:rsidRDefault="00F8300C" w:rsidP="005B2F0D">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b/>
                <w:szCs w:val="20"/>
              </w:rPr>
            </w:pPr>
            <w:r w:rsidRPr="00B52715">
              <w:rPr>
                <w:rFonts w:ascii="Calibri" w:hAnsi="Calibri"/>
                <w:b/>
                <w:szCs w:val="20"/>
              </w:rPr>
              <w:t>Total</w:t>
            </w:r>
          </w:p>
        </w:tc>
      </w:tr>
      <w:tr w:rsidR="00F8300C" w:rsidRPr="00B52715"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F8300C" w:rsidRPr="00B52715" w:rsidRDefault="00F8300C" w:rsidP="005B2F0D">
            <w:pPr>
              <w:keepLines/>
              <w:ind w:left="57" w:right="57"/>
              <w:rPr>
                <w:szCs w:val="20"/>
              </w:rPr>
            </w:pPr>
            <w:r w:rsidRPr="00B52715">
              <w:rPr>
                <w:szCs w:val="20"/>
              </w:rPr>
              <w:t>Fiscal balance</w:t>
            </w:r>
          </w:p>
        </w:tc>
        <w:tc>
          <w:tcPr>
            <w:tcW w:w="682" w:type="pct"/>
          </w:tcPr>
          <w:p w:rsidR="00F8300C" w:rsidRPr="00B52715" w:rsidRDefault="00F8300C" w:rsidP="005B2F0D">
            <w:pPr>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52715">
              <w:rPr>
                <w:rFonts w:ascii="Calibri" w:hAnsi="Calibri"/>
                <w:szCs w:val="20"/>
              </w:rPr>
              <w:t>794.0</w:t>
            </w:r>
          </w:p>
        </w:tc>
        <w:tc>
          <w:tcPr>
            <w:tcW w:w="682" w:type="pct"/>
          </w:tcPr>
          <w:p w:rsidR="00F8300C" w:rsidRPr="00B52715" w:rsidRDefault="00F8300C" w:rsidP="005B2F0D">
            <w:pPr>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52715">
              <w:rPr>
                <w:rFonts w:ascii="Calibri" w:hAnsi="Calibri"/>
                <w:szCs w:val="20"/>
              </w:rPr>
              <w:t>2,750.0</w:t>
            </w:r>
          </w:p>
        </w:tc>
        <w:tc>
          <w:tcPr>
            <w:tcW w:w="682" w:type="pct"/>
          </w:tcPr>
          <w:p w:rsidR="00F8300C" w:rsidRPr="00B52715" w:rsidRDefault="00F8300C" w:rsidP="005B2F0D">
            <w:pPr>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52715">
              <w:rPr>
                <w:rFonts w:ascii="Calibri" w:hAnsi="Calibri"/>
                <w:szCs w:val="20"/>
              </w:rPr>
              <w:t>3,100.0</w:t>
            </w:r>
          </w:p>
        </w:tc>
        <w:tc>
          <w:tcPr>
            <w:tcW w:w="682" w:type="pct"/>
          </w:tcPr>
          <w:p w:rsidR="00F8300C" w:rsidRPr="00B52715" w:rsidRDefault="00F8300C" w:rsidP="005B2F0D">
            <w:pPr>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52715">
              <w:rPr>
                <w:rFonts w:ascii="Calibri" w:hAnsi="Calibri"/>
                <w:szCs w:val="20"/>
              </w:rPr>
              <w:t>3,300.0</w:t>
            </w:r>
          </w:p>
        </w:tc>
        <w:tc>
          <w:tcPr>
            <w:tcW w:w="681" w:type="pct"/>
          </w:tcPr>
          <w:p w:rsidR="00F8300C" w:rsidRPr="00B52715" w:rsidRDefault="00F8300C" w:rsidP="005B2F0D">
            <w:pPr>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B52715">
              <w:rPr>
                <w:rFonts w:ascii="Calibri" w:hAnsi="Calibri"/>
                <w:b/>
                <w:szCs w:val="20"/>
              </w:rPr>
              <w:t>9,944.0</w:t>
            </w:r>
          </w:p>
        </w:tc>
      </w:tr>
      <w:tr w:rsidR="00F8300C" w:rsidRPr="00B52715" w:rsidTr="005B2F0D">
        <w:tc>
          <w:tcPr>
            <w:cnfStyle w:val="001000000000" w:firstRow="0" w:lastRow="0" w:firstColumn="1" w:lastColumn="0" w:oddVBand="0" w:evenVBand="0" w:oddHBand="0" w:evenHBand="0" w:firstRowFirstColumn="0" w:firstRowLastColumn="0" w:lastRowFirstColumn="0" w:lastRowLastColumn="0"/>
            <w:tcW w:w="1591" w:type="pct"/>
          </w:tcPr>
          <w:p w:rsidR="00F8300C" w:rsidRPr="00B52715" w:rsidRDefault="00F8300C" w:rsidP="005B2F0D">
            <w:pPr>
              <w:keepLines/>
              <w:ind w:left="57" w:right="57"/>
              <w:rPr>
                <w:szCs w:val="20"/>
              </w:rPr>
            </w:pPr>
            <w:r w:rsidRPr="00B52715">
              <w:rPr>
                <w:szCs w:val="20"/>
              </w:rPr>
              <w:t>Underlying cash balance</w:t>
            </w:r>
          </w:p>
        </w:tc>
        <w:tc>
          <w:tcPr>
            <w:tcW w:w="682" w:type="pct"/>
          </w:tcPr>
          <w:p w:rsidR="00F8300C" w:rsidRPr="00B52715" w:rsidRDefault="00F8300C" w:rsidP="005B2F0D">
            <w:pPr>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715">
              <w:rPr>
                <w:rFonts w:ascii="Calibri" w:hAnsi="Calibri"/>
                <w:szCs w:val="20"/>
              </w:rPr>
              <w:t>794.0</w:t>
            </w:r>
          </w:p>
        </w:tc>
        <w:tc>
          <w:tcPr>
            <w:tcW w:w="682" w:type="pct"/>
          </w:tcPr>
          <w:p w:rsidR="00F8300C" w:rsidRPr="00B52715" w:rsidRDefault="00F8300C" w:rsidP="005B2F0D">
            <w:pPr>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715">
              <w:rPr>
                <w:rFonts w:ascii="Calibri" w:hAnsi="Calibri"/>
                <w:szCs w:val="20"/>
              </w:rPr>
              <w:t>2,750.0</w:t>
            </w:r>
          </w:p>
        </w:tc>
        <w:tc>
          <w:tcPr>
            <w:tcW w:w="682" w:type="pct"/>
          </w:tcPr>
          <w:p w:rsidR="00F8300C" w:rsidRPr="00B52715" w:rsidRDefault="00F8300C" w:rsidP="005B2F0D">
            <w:pPr>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715">
              <w:rPr>
                <w:rFonts w:ascii="Calibri" w:hAnsi="Calibri"/>
                <w:szCs w:val="20"/>
              </w:rPr>
              <w:t>3,100.0</w:t>
            </w:r>
          </w:p>
        </w:tc>
        <w:tc>
          <w:tcPr>
            <w:tcW w:w="682" w:type="pct"/>
          </w:tcPr>
          <w:p w:rsidR="00F8300C" w:rsidRPr="00B52715" w:rsidRDefault="00F8300C" w:rsidP="005B2F0D">
            <w:pPr>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715">
              <w:rPr>
                <w:rFonts w:ascii="Calibri" w:hAnsi="Calibri"/>
                <w:szCs w:val="20"/>
              </w:rPr>
              <w:t>3,300.0</w:t>
            </w:r>
          </w:p>
        </w:tc>
        <w:tc>
          <w:tcPr>
            <w:tcW w:w="681" w:type="pct"/>
          </w:tcPr>
          <w:p w:rsidR="00F8300C" w:rsidRPr="00B52715" w:rsidRDefault="00F8300C" w:rsidP="005B2F0D">
            <w:pPr>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715">
              <w:rPr>
                <w:rFonts w:ascii="Calibri" w:hAnsi="Calibri"/>
                <w:b/>
                <w:szCs w:val="20"/>
              </w:rPr>
              <w:t>9,944.0</w:t>
            </w:r>
          </w:p>
        </w:tc>
      </w:tr>
    </w:tbl>
    <w:p w:rsidR="00F8300C" w:rsidRPr="00D32A11" w:rsidRDefault="00F8300C" w:rsidP="000B5C96">
      <w:pPr>
        <w:pStyle w:val="Footnotes"/>
        <w:numPr>
          <w:ilvl w:val="0"/>
          <w:numId w:val="39"/>
        </w:numPr>
        <w:ind w:left="284" w:hanging="284"/>
      </w:pPr>
      <w:r w:rsidRPr="00D32A11">
        <w:t>A positive number indicates an increase in the relevant budget balance, a negative number a decrease.</w:t>
      </w:r>
    </w:p>
    <w:p w:rsidR="00F8300C" w:rsidRPr="00B52715" w:rsidRDefault="00F8300C" w:rsidP="000B5C96">
      <w:pPr>
        <w:pStyle w:val="Footnotes"/>
        <w:numPr>
          <w:ilvl w:val="0"/>
          <w:numId w:val="39"/>
        </w:numPr>
        <w:ind w:left="284" w:hanging="284"/>
      </w:pPr>
      <w:r w:rsidRPr="00B52715">
        <w:t>Figures may not sum to totals due to rounding.</w:t>
      </w:r>
    </w:p>
    <w:p w:rsidR="00F8300C" w:rsidRPr="00B52715" w:rsidRDefault="00F8300C" w:rsidP="00905B06">
      <w:pPr>
        <w:pStyle w:val="CostingsH7"/>
      </w:pPr>
      <w:r w:rsidRPr="00B52715">
        <w:t>Key assumptions</w:t>
      </w:r>
    </w:p>
    <w:p w:rsidR="00F8300C" w:rsidRPr="00B52715" w:rsidRDefault="00F8300C" w:rsidP="009C1ABB">
      <w:pPr>
        <w:pStyle w:val="ListBullet"/>
        <w:rPr>
          <w:lang w:eastAsia="en-AU"/>
        </w:rPr>
      </w:pPr>
      <w:r w:rsidRPr="00B52715">
        <w:rPr>
          <w:lang w:eastAsia="en-AU"/>
        </w:rPr>
        <w:t>The costing assumes that the enabling legislation would be in place by 1 September 2016.</w:t>
      </w:r>
    </w:p>
    <w:p w:rsidR="00F8300C" w:rsidRPr="00B52715" w:rsidRDefault="00F8300C" w:rsidP="009C1ABB">
      <w:pPr>
        <w:pStyle w:val="ListBullet"/>
        <w:rPr>
          <w:lang w:eastAsia="en-AU"/>
        </w:rPr>
      </w:pPr>
      <w:r w:rsidRPr="00B52715">
        <w:rPr>
          <w:lang w:eastAsia="en-AU"/>
        </w:rPr>
        <w:t>Individuals with incomes in excess of $1 million are assumed to have a taxable income elasticity of 0.35, and individuals with incomes in excess of $180,000 have a taxable income elasticity of 0.2.</w:t>
      </w:r>
      <w:r w:rsidRPr="00B52715">
        <w:rPr>
          <w:vertAlign w:val="superscript"/>
          <w:lang w:eastAsia="en-AU"/>
        </w:rPr>
        <w:footnoteReference w:id="1"/>
      </w:r>
    </w:p>
    <w:p w:rsidR="00F8300C" w:rsidRPr="00B52715" w:rsidRDefault="00F8300C" w:rsidP="009C1ABB">
      <w:pPr>
        <w:pStyle w:val="ListBullet"/>
        <w:rPr>
          <w:lang w:eastAsia="en-AU"/>
        </w:rPr>
      </w:pPr>
      <w:r w:rsidRPr="00B52715">
        <w:rPr>
          <w:lang w:eastAsia="en-AU"/>
        </w:rPr>
        <w:lastRenderedPageBreak/>
        <w:t>The costing assumes that there is no change in labour supply associated with the proposed changes to personal income tax rates and brackets.</w:t>
      </w:r>
    </w:p>
    <w:p w:rsidR="00F8300C" w:rsidRPr="00B52715" w:rsidRDefault="00F8300C" w:rsidP="009C1ABB">
      <w:pPr>
        <w:pStyle w:val="ListBullet2"/>
        <w:rPr>
          <w:lang w:eastAsia="en-AU"/>
        </w:rPr>
      </w:pPr>
      <w:r w:rsidRPr="00B52715">
        <w:rPr>
          <w:lang w:eastAsia="en-AU"/>
        </w:rPr>
        <w:t>While studies indicate that labour supply, particularly by secondary earners, changes in response to changes in effective marginal tax rates, there is considerable uncertainty in the magnitude and timing of the effect on employment.</w:t>
      </w:r>
    </w:p>
    <w:p w:rsidR="00F8300C" w:rsidRPr="00B52715" w:rsidRDefault="00F8300C" w:rsidP="009C1ABB">
      <w:pPr>
        <w:pStyle w:val="ListBullet"/>
        <w:rPr>
          <w:lang w:eastAsia="en-AU"/>
        </w:rPr>
      </w:pPr>
      <w:r w:rsidRPr="00B52715">
        <w:rPr>
          <w:lang w:eastAsia="en-AU"/>
        </w:rPr>
        <w:t>The increase in the FBT rate to the effective marginal tax rate for individuals with taxable income above $1 million (52 per cent) is assumed to lead to some individuals substituting cash income for fringe benefits, particularly individuals with taxable income between $180,000 and $1 million.</w:t>
      </w:r>
    </w:p>
    <w:p w:rsidR="00F8300C" w:rsidRPr="00B52715" w:rsidRDefault="00F8300C" w:rsidP="00905B06">
      <w:pPr>
        <w:pStyle w:val="CostingsH7"/>
      </w:pPr>
      <w:r w:rsidRPr="00B52715">
        <w:t>Methodology</w:t>
      </w:r>
    </w:p>
    <w:p w:rsidR="00F8300C" w:rsidRPr="00B52715" w:rsidRDefault="00F8300C" w:rsidP="009C1ABB">
      <w:pPr>
        <w:pStyle w:val="ListBullet"/>
        <w:rPr>
          <w:lang w:eastAsia="en-AU"/>
        </w:rPr>
      </w:pPr>
      <w:r w:rsidRPr="00B52715">
        <w:rPr>
          <w:lang w:eastAsia="en-AU"/>
        </w:rPr>
        <w:t>The costing was estimated using a 16 per cent sample of de-identified personal income tax and superannuation returns for 2012-13 provided by the ATO.  The data was used to estimate the change in tax payable associated with the proposed changes in the income tax schedule.</w:t>
      </w:r>
    </w:p>
    <w:p w:rsidR="00F8300C" w:rsidRPr="00B52715" w:rsidRDefault="00F8300C" w:rsidP="009C1ABB">
      <w:pPr>
        <w:pStyle w:val="ListBullet"/>
        <w:rPr>
          <w:lang w:eastAsia="en-AU"/>
        </w:rPr>
      </w:pPr>
      <w:r w:rsidRPr="00B52715">
        <w:rPr>
          <w:lang w:eastAsia="en-AU"/>
        </w:rPr>
        <w:t>Behavioural responses were incorporated reflecting the above assumptions.</w:t>
      </w:r>
    </w:p>
    <w:p w:rsidR="00F8300C" w:rsidRPr="00B52715" w:rsidRDefault="00F8300C" w:rsidP="009C1ABB">
      <w:pPr>
        <w:pStyle w:val="ListBullet"/>
        <w:rPr>
          <w:lang w:eastAsia="en-AU"/>
        </w:rPr>
      </w:pPr>
      <w:r w:rsidRPr="00B52715">
        <w:rPr>
          <w:lang w:eastAsia="en-AU"/>
        </w:rPr>
        <w:t>A separate model was used to estimate the financial implications of increases in the FBT rate.  This model separately estimated the flow-on effects of a change in the FBT rate to personal income tax, FBT and company tax collections.</w:t>
      </w:r>
    </w:p>
    <w:p w:rsidR="00F8300C" w:rsidRPr="00B52715" w:rsidRDefault="00F8300C" w:rsidP="009C1ABB">
      <w:pPr>
        <w:pStyle w:val="ListBullet"/>
        <w:rPr>
          <w:lang w:eastAsia="en-AU"/>
        </w:rPr>
      </w:pPr>
      <w:r w:rsidRPr="00B52715">
        <w:rPr>
          <w:lang w:eastAsia="en-AU"/>
        </w:rPr>
        <w:t>Departmental expenses were estimated based on an analysis of previous policies with similar administrative complexity.</w:t>
      </w:r>
    </w:p>
    <w:p w:rsidR="00F8300C" w:rsidRPr="00B52715" w:rsidRDefault="00F8300C" w:rsidP="009C1ABB">
      <w:pPr>
        <w:pStyle w:val="ListBullet"/>
        <w:rPr>
          <w:lang w:eastAsia="en-AU"/>
        </w:rPr>
      </w:pPr>
      <w:r w:rsidRPr="00B52715">
        <w:rPr>
          <w:lang w:eastAsia="en-AU"/>
        </w:rPr>
        <w:t>The modelling takes account of the timing of tax collections and the part-year effect of the proposal.</w:t>
      </w:r>
    </w:p>
    <w:p w:rsidR="00F8300C" w:rsidRPr="00B52715" w:rsidRDefault="00F8300C" w:rsidP="009C1ABB">
      <w:pPr>
        <w:pStyle w:val="ListBullet"/>
        <w:rPr>
          <w:lang w:eastAsia="en-AU"/>
        </w:rPr>
      </w:pPr>
      <w:r w:rsidRPr="00B52715">
        <w:rPr>
          <w:lang w:eastAsia="en-AU"/>
        </w:rPr>
        <w:t>Estimates of revenue have been rounded to the nearest $50 million.  Estimates of departmental expenses have been rounded to the nearest $1 million.</w:t>
      </w:r>
    </w:p>
    <w:p w:rsidR="00F8300C" w:rsidRPr="00B52715" w:rsidRDefault="00F8300C" w:rsidP="009C1ABB">
      <w:pPr>
        <w:pStyle w:val="CostingsH7"/>
      </w:pPr>
      <w:r w:rsidRPr="00B52715">
        <w:t>Data sources</w:t>
      </w:r>
    </w:p>
    <w:p w:rsidR="00F8300C" w:rsidRPr="00B52715" w:rsidRDefault="00F8300C" w:rsidP="009C1ABB">
      <w:pPr>
        <w:pStyle w:val="ListBullet"/>
        <w:keepNext/>
        <w:rPr>
          <w:lang w:eastAsia="en-AU"/>
        </w:rPr>
      </w:pPr>
      <w:r w:rsidRPr="009C1ABB">
        <w:rPr>
          <w:i/>
        </w:rPr>
        <w:t>The Exchequer effect of the 50 per cent additional rate of income tax</w:t>
      </w:r>
      <w:r w:rsidRPr="00B52715">
        <w:rPr>
          <w:lang w:eastAsia="en-AU"/>
        </w:rPr>
        <w:t>, HM Revenue and Customs.</w:t>
      </w:r>
    </w:p>
    <w:p w:rsidR="00F8300C" w:rsidRPr="00B52715" w:rsidRDefault="00F8300C" w:rsidP="009C1ABB">
      <w:pPr>
        <w:pStyle w:val="ListBullet"/>
        <w:rPr>
          <w:lang w:eastAsia="en-AU"/>
        </w:rPr>
      </w:pPr>
      <w:r w:rsidRPr="00B52715">
        <w:rPr>
          <w:lang w:eastAsia="en-AU"/>
        </w:rPr>
        <w:t>16 per cent sample of de-identified personal income tax and superannuation records for the 2012-13 financial year from the ATO.</w:t>
      </w:r>
    </w:p>
    <w:p w:rsidR="00F8300C" w:rsidRPr="00B52715" w:rsidRDefault="00F8300C" w:rsidP="009C1ABB">
      <w:pPr>
        <w:pStyle w:val="ListBullet"/>
        <w:rPr>
          <w:lang w:eastAsia="en-AU"/>
        </w:rPr>
        <w:sectPr w:rsidR="00F8300C" w:rsidRPr="00B52715" w:rsidSect="007E3C99">
          <w:headerReference w:type="even" r:id="rId61"/>
          <w:headerReference w:type="default" r:id="rId62"/>
          <w:footerReference w:type="even" r:id="rId63"/>
          <w:footerReference w:type="default" r:id="rId64"/>
          <w:pgSz w:w="11906" w:h="16838"/>
          <w:pgMar w:top="1361" w:right="1797" w:bottom="1474" w:left="1797" w:header="283" w:footer="454" w:gutter="0"/>
          <w:cols w:space="708"/>
          <w:docGrid w:linePitch="360"/>
        </w:sectPr>
      </w:pPr>
      <w:r w:rsidRPr="00B52715">
        <w:rPr>
          <w:lang w:eastAsia="en-AU"/>
        </w:rPr>
        <w:t>2016-17 Budget, Australian Government.</w:t>
      </w:r>
    </w:p>
    <w:p w:rsidR="00F8300C" w:rsidRPr="00B52715" w:rsidRDefault="00F8300C" w:rsidP="007A4BF9">
      <w:pPr>
        <w:pStyle w:val="Heading6"/>
      </w:pPr>
      <w:r w:rsidRPr="00B52715">
        <w:lastRenderedPageBreak/>
        <w:t>Attachment A:  Comparison of current and proposed marginal tax rates</w:t>
      </w:r>
    </w:p>
    <w:tbl>
      <w:tblPr>
        <w:tblStyle w:val="Style15"/>
        <w:tblW w:w="0" w:type="auto"/>
        <w:jc w:val="center"/>
        <w:tblLook w:val="04A0" w:firstRow="1" w:lastRow="0" w:firstColumn="1" w:lastColumn="0" w:noHBand="0" w:noVBand="1"/>
      </w:tblPr>
      <w:tblGrid>
        <w:gridCol w:w="2235"/>
        <w:gridCol w:w="1418"/>
        <w:gridCol w:w="1451"/>
      </w:tblGrid>
      <w:tr w:rsidR="00F8300C" w:rsidRPr="00B52715" w:rsidTr="005B2F0D">
        <w:trPr>
          <w:cnfStyle w:val="100000000000" w:firstRow="1" w:lastRow="0" w:firstColumn="0" w:lastColumn="0" w:oddVBand="0" w:evenVBand="0" w:oddHBand="0" w:evenHBand="0" w:firstRowFirstColumn="0" w:firstRowLastColumn="0" w:lastRowFirstColumn="0" w:lastRowLastColumn="0"/>
          <w:jc w:val="center"/>
        </w:trPr>
        <w:tc>
          <w:tcPr>
            <w:tcW w:w="2235" w:type="dxa"/>
            <w:vMerge w:val="restart"/>
            <w:vAlign w:val="center"/>
          </w:tcPr>
          <w:p w:rsidR="00F8300C" w:rsidRPr="00B52715" w:rsidRDefault="00F8300C" w:rsidP="005B2F0D">
            <w:pPr>
              <w:spacing w:before="70" w:after="70" w:line="260" w:lineRule="atLeast"/>
              <w:ind w:left="57" w:right="57"/>
              <w:rPr>
                <w:rFonts w:cs="Times New Roman"/>
                <w:sz w:val="20"/>
              </w:rPr>
            </w:pPr>
            <w:r w:rsidRPr="00B52715">
              <w:rPr>
                <w:rFonts w:cs="Times New Roman"/>
                <w:sz w:val="20"/>
              </w:rPr>
              <w:t>Taxable income ($)</w:t>
            </w:r>
          </w:p>
        </w:tc>
        <w:tc>
          <w:tcPr>
            <w:tcW w:w="2869" w:type="dxa"/>
            <w:gridSpan w:val="2"/>
            <w:vAlign w:val="center"/>
          </w:tcPr>
          <w:p w:rsidR="00F8300C" w:rsidRPr="00B52715" w:rsidRDefault="00F8300C" w:rsidP="005B2F0D">
            <w:pPr>
              <w:spacing w:before="70" w:after="70" w:line="260" w:lineRule="atLeast"/>
              <w:ind w:left="57" w:right="57"/>
              <w:jc w:val="center"/>
              <w:rPr>
                <w:rFonts w:eastAsia="Times New Roman" w:cs="Times New Roman"/>
                <w:sz w:val="20"/>
                <w:vertAlign w:val="superscript"/>
                <w:lang w:eastAsia="en-AU"/>
              </w:rPr>
            </w:pPr>
            <w:r w:rsidRPr="00B52715">
              <w:rPr>
                <w:rFonts w:eastAsia="Times New Roman" w:cs="Times New Roman"/>
                <w:sz w:val="20"/>
                <w:lang w:eastAsia="en-AU"/>
              </w:rPr>
              <w:t>Marginal tax rate (%)</w:t>
            </w:r>
            <w:r w:rsidRPr="00B52715">
              <w:rPr>
                <w:rFonts w:eastAsia="Times New Roman" w:cs="Times New Roman"/>
                <w:sz w:val="20"/>
                <w:vertAlign w:val="superscript"/>
                <w:lang w:eastAsia="en-AU"/>
              </w:rPr>
              <w:t>(a)</w:t>
            </w:r>
          </w:p>
        </w:tc>
      </w:tr>
      <w:tr w:rsidR="00F8300C" w:rsidRPr="00B52715" w:rsidTr="005B2F0D">
        <w:trPr>
          <w:jc w:val="center"/>
        </w:trPr>
        <w:tc>
          <w:tcPr>
            <w:tcW w:w="2235" w:type="dxa"/>
            <w:vMerge/>
            <w:vAlign w:val="center"/>
          </w:tcPr>
          <w:p w:rsidR="00F8300C" w:rsidRPr="00B52715" w:rsidRDefault="00F8300C" w:rsidP="005B2F0D">
            <w:pPr>
              <w:spacing w:before="70" w:after="70" w:line="260" w:lineRule="atLeast"/>
              <w:ind w:left="57" w:right="57"/>
              <w:rPr>
                <w:rFonts w:cs="Times New Roman"/>
                <w:sz w:val="20"/>
              </w:rPr>
            </w:pPr>
          </w:p>
        </w:tc>
        <w:tc>
          <w:tcPr>
            <w:tcW w:w="1418"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Current</w:t>
            </w:r>
          </w:p>
        </w:tc>
        <w:tc>
          <w:tcPr>
            <w:tcW w:w="1451"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Proposed</w:t>
            </w:r>
          </w:p>
        </w:tc>
      </w:tr>
      <w:tr w:rsidR="00F8300C" w:rsidRPr="00B52715" w:rsidTr="005B2F0D">
        <w:trPr>
          <w:jc w:val="center"/>
        </w:trPr>
        <w:tc>
          <w:tcPr>
            <w:tcW w:w="2235" w:type="dxa"/>
            <w:vAlign w:val="center"/>
          </w:tcPr>
          <w:p w:rsidR="00F8300C" w:rsidRPr="00B52715" w:rsidRDefault="00F8300C" w:rsidP="005B2F0D">
            <w:pPr>
              <w:spacing w:before="70" w:after="70" w:line="260" w:lineRule="atLeast"/>
              <w:ind w:left="57" w:right="57"/>
              <w:rPr>
                <w:rFonts w:cs="Times New Roman"/>
                <w:sz w:val="20"/>
              </w:rPr>
            </w:pPr>
            <w:r w:rsidRPr="00B52715">
              <w:rPr>
                <w:rFonts w:cs="Times New Roman"/>
                <w:sz w:val="20"/>
              </w:rPr>
              <w:t>0 – 18,200</w:t>
            </w:r>
          </w:p>
        </w:tc>
        <w:tc>
          <w:tcPr>
            <w:tcW w:w="1418"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0</w:t>
            </w:r>
          </w:p>
        </w:tc>
        <w:tc>
          <w:tcPr>
            <w:tcW w:w="1451"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0</w:t>
            </w:r>
          </w:p>
        </w:tc>
      </w:tr>
      <w:tr w:rsidR="00F8300C" w:rsidRPr="00B52715" w:rsidTr="005B2F0D">
        <w:trPr>
          <w:jc w:val="center"/>
        </w:trPr>
        <w:tc>
          <w:tcPr>
            <w:tcW w:w="2235" w:type="dxa"/>
            <w:vAlign w:val="center"/>
          </w:tcPr>
          <w:p w:rsidR="00F8300C" w:rsidRPr="00B52715" w:rsidRDefault="00F8300C" w:rsidP="005B2F0D">
            <w:pPr>
              <w:spacing w:before="70" w:after="70" w:line="260" w:lineRule="atLeast"/>
              <w:ind w:left="57" w:right="57"/>
              <w:rPr>
                <w:rFonts w:cs="Times New Roman"/>
                <w:sz w:val="20"/>
              </w:rPr>
            </w:pPr>
            <w:r w:rsidRPr="00B52715">
              <w:rPr>
                <w:rFonts w:cs="Times New Roman"/>
                <w:sz w:val="20"/>
              </w:rPr>
              <w:t>18,201 – 37,000</w:t>
            </w:r>
          </w:p>
        </w:tc>
        <w:tc>
          <w:tcPr>
            <w:tcW w:w="1418"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19</w:t>
            </w:r>
          </w:p>
        </w:tc>
        <w:tc>
          <w:tcPr>
            <w:tcW w:w="1451"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19</w:t>
            </w:r>
          </w:p>
        </w:tc>
      </w:tr>
      <w:tr w:rsidR="00F8300C" w:rsidRPr="00B52715" w:rsidTr="005B2F0D">
        <w:trPr>
          <w:jc w:val="center"/>
        </w:trPr>
        <w:tc>
          <w:tcPr>
            <w:tcW w:w="2235" w:type="dxa"/>
            <w:vAlign w:val="center"/>
          </w:tcPr>
          <w:p w:rsidR="00F8300C" w:rsidRPr="00B52715" w:rsidRDefault="00F8300C" w:rsidP="005B2F0D">
            <w:pPr>
              <w:spacing w:before="70" w:after="70" w:line="260" w:lineRule="atLeast"/>
              <w:ind w:left="57" w:right="57"/>
              <w:rPr>
                <w:rFonts w:cs="Times New Roman"/>
                <w:sz w:val="20"/>
              </w:rPr>
            </w:pPr>
            <w:r w:rsidRPr="00B52715">
              <w:rPr>
                <w:rFonts w:cs="Times New Roman"/>
                <w:sz w:val="20"/>
              </w:rPr>
              <w:t>37,001 – 80,000</w:t>
            </w:r>
          </w:p>
        </w:tc>
        <w:tc>
          <w:tcPr>
            <w:tcW w:w="1418"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32.5</w:t>
            </w:r>
          </w:p>
        </w:tc>
        <w:tc>
          <w:tcPr>
            <w:tcW w:w="1451"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32.5</w:t>
            </w:r>
          </w:p>
        </w:tc>
      </w:tr>
      <w:tr w:rsidR="00F8300C" w:rsidRPr="00B52715" w:rsidTr="005B2F0D">
        <w:trPr>
          <w:jc w:val="center"/>
        </w:trPr>
        <w:tc>
          <w:tcPr>
            <w:tcW w:w="2235" w:type="dxa"/>
            <w:vAlign w:val="center"/>
          </w:tcPr>
          <w:p w:rsidR="00F8300C" w:rsidRPr="00B52715" w:rsidRDefault="00F8300C" w:rsidP="005B2F0D">
            <w:pPr>
              <w:spacing w:before="70" w:after="70" w:line="260" w:lineRule="atLeast"/>
              <w:ind w:left="57" w:right="57"/>
              <w:rPr>
                <w:rFonts w:cs="Times New Roman"/>
                <w:sz w:val="20"/>
              </w:rPr>
            </w:pPr>
            <w:r w:rsidRPr="00B52715">
              <w:rPr>
                <w:rFonts w:cs="Times New Roman"/>
                <w:sz w:val="20"/>
              </w:rPr>
              <w:t>80,001 – 87,000</w:t>
            </w:r>
          </w:p>
        </w:tc>
        <w:tc>
          <w:tcPr>
            <w:tcW w:w="1418"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32.5</w:t>
            </w:r>
          </w:p>
        </w:tc>
        <w:tc>
          <w:tcPr>
            <w:tcW w:w="1451"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37</w:t>
            </w:r>
          </w:p>
        </w:tc>
      </w:tr>
      <w:tr w:rsidR="00F8300C" w:rsidRPr="00B52715" w:rsidTr="005B2F0D">
        <w:trPr>
          <w:jc w:val="center"/>
        </w:trPr>
        <w:tc>
          <w:tcPr>
            <w:tcW w:w="2235" w:type="dxa"/>
            <w:vAlign w:val="center"/>
          </w:tcPr>
          <w:p w:rsidR="00F8300C" w:rsidRPr="00B52715" w:rsidRDefault="00F8300C" w:rsidP="005B2F0D">
            <w:pPr>
              <w:spacing w:before="70" w:after="70" w:line="260" w:lineRule="atLeast"/>
              <w:ind w:left="57" w:right="57"/>
              <w:rPr>
                <w:rFonts w:cs="Times New Roman"/>
                <w:sz w:val="20"/>
              </w:rPr>
            </w:pPr>
            <w:r w:rsidRPr="00B52715">
              <w:rPr>
                <w:rFonts w:cs="Times New Roman"/>
                <w:sz w:val="20"/>
              </w:rPr>
              <w:t>87,001 – 180,000</w:t>
            </w:r>
          </w:p>
        </w:tc>
        <w:tc>
          <w:tcPr>
            <w:tcW w:w="1418"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37</w:t>
            </w:r>
          </w:p>
        </w:tc>
        <w:tc>
          <w:tcPr>
            <w:tcW w:w="1451"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37</w:t>
            </w:r>
          </w:p>
        </w:tc>
      </w:tr>
      <w:tr w:rsidR="00F8300C" w:rsidRPr="00B52715" w:rsidTr="005B2F0D">
        <w:trPr>
          <w:jc w:val="center"/>
        </w:trPr>
        <w:tc>
          <w:tcPr>
            <w:tcW w:w="2235" w:type="dxa"/>
            <w:vAlign w:val="center"/>
          </w:tcPr>
          <w:p w:rsidR="00F8300C" w:rsidRPr="00B52715" w:rsidRDefault="00F8300C" w:rsidP="005B2F0D">
            <w:pPr>
              <w:spacing w:before="70" w:after="70" w:line="260" w:lineRule="atLeast"/>
              <w:ind w:left="57" w:right="57"/>
              <w:rPr>
                <w:rFonts w:cs="Times New Roman"/>
                <w:sz w:val="20"/>
              </w:rPr>
            </w:pPr>
            <w:r w:rsidRPr="00B52715">
              <w:rPr>
                <w:rFonts w:cs="Times New Roman"/>
                <w:sz w:val="20"/>
              </w:rPr>
              <w:t>180,001 – 1,000,000</w:t>
            </w:r>
          </w:p>
        </w:tc>
        <w:tc>
          <w:tcPr>
            <w:tcW w:w="1418" w:type="dxa"/>
            <w:vAlign w:val="center"/>
          </w:tcPr>
          <w:p w:rsidR="00F8300C" w:rsidRPr="00B52715" w:rsidRDefault="00F8300C" w:rsidP="005B2F0D">
            <w:pPr>
              <w:spacing w:before="70" w:after="70" w:line="260" w:lineRule="atLeast"/>
              <w:ind w:left="57" w:right="57"/>
              <w:jc w:val="center"/>
              <w:rPr>
                <w:rFonts w:eastAsia="Times New Roman" w:cs="Times New Roman"/>
                <w:sz w:val="20"/>
                <w:vertAlign w:val="superscript"/>
                <w:lang w:eastAsia="en-AU"/>
              </w:rPr>
            </w:pPr>
            <w:r w:rsidRPr="00B52715">
              <w:rPr>
                <w:rFonts w:eastAsia="Times New Roman" w:cs="Times New Roman"/>
                <w:sz w:val="20"/>
                <w:lang w:eastAsia="en-AU"/>
              </w:rPr>
              <w:t>47</w:t>
            </w:r>
            <w:r w:rsidRPr="00B52715">
              <w:rPr>
                <w:rFonts w:eastAsia="Times New Roman" w:cs="Times New Roman"/>
                <w:sz w:val="20"/>
                <w:vertAlign w:val="superscript"/>
                <w:lang w:eastAsia="en-AU"/>
              </w:rPr>
              <w:t>(b)</w:t>
            </w:r>
          </w:p>
        </w:tc>
        <w:tc>
          <w:tcPr>
            <w:tcW w:w="1451"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47</w:t>
            </w:r>
          </w:p>
        </w:tc>
      </w:tr>
      <w:tr w:rsidR="00F8300C" w:rsidRPr="00B52715" w:rsidTr="005B2F0D">
        <w:trPr>
          <w:jc w:val="center"/>
        </w:trPr>
        <w:tc>
          <w:tcPr>
            <w:tcW w:w="2235" w:type="dxa"/>
            <w:vAlign w:val="center"/>
          </w:tcPr>
          <w:p w:rsidR="00F8300C" w:rsidRPr="00B52715" w:rsidRDefault="00F8300C" w:rsidP="005B2F0D">
            <w:pPr>
              <w:spacing w:before="70" w:after="70" w:line="260" w:lineRule="atLeast"/>
              <w:ind w:left="57" w:right="57"/>
              <w:rPr>
                <w:rFonts w:cs="Times New Roman"/>
                <w:sz w:val="20"/>
              </w:rPr>
            </w:pPr>
            <w:r w:rsidRPr="00B52715">
              <w:rPr>
                <w:rFonts w:cs="Times New Roman"/>
                <w:sz w:val="20"/>
              </w:rPr>
              <w:t>1,000,000 +</w:t>
            </w:r>
          </w:p>
        </w:tc>
        <w:tc>
          <w:tcPr>
            <w:tcW w:w="1418" w:type="dxa"/>
            <w:vAlign w:val="center"/>
          </w:tcPr>
          <w:p w:rsidR="00F8300C" w:rsidRPr="00B52715" w:rsidRDefault="00F8300C" w:rsidP="005B2F0D">
            <w:pPr>
              <w:spacing w:before="70" w:after="70" w:line="260" w:lineRule="atLeast"/>
              <w:ind w:left="57" w:right="57"/>
              <w:jc w:val="center"/>
              <w:rPr>
                <w:rFonts w:eastAsia="Times New Roman" w:cs="Times New Roman"/>
                <w:sz w:val="20"/>
                <w:vertAlign w:val="superscript"/>
                <w:lang w:eastAsia="en-AU"/>
              </w:rPr>
            </w:pPr>
            <w:r w:rsidRPr="00B52715">
              <w:rPr>
                <w:rFonts w:eastAsia="Times New Roman" w:cs="Times New Roman"/>
                <w:sz w:val="20"/>
                <w:lang w:eastAsia="en-AU"/>
              </w:rPr>
              <w:t>47</w:t>
            </w:r>
            <w:r w:rsidRPr="00B52715">
              <w:rPr>
                <w:rFonts w:eastAsia="Times New Roman" w:cs="Times New Roman"/>
                <w:sz w:val="20"/>
                <w:vertAlign w:val="superscript"/>
                <w:lang w:eastAsia="en-AU"/>
              </w:rPr>
              <w:t>(b)</w:t>
            </w:r>
          </w:p>
        </w:tc>
        <w:tc>
          <w:tcPr>
            <w:tcW w:w="1451" w:type="dxa"/>
            <w:vAlign w:val="center"/>
          </w:tcPr>
          <w:p w:rsidR="00F8300C" w:rsidRPr="00B52715" w:rsidRDefault="00F8300C" w:rsidP="005B2F0D">
            <w:pPr>
              <w:spacing w:before="70" w:after="70" w:line="260" w:lineRule="atLeast"/>
              <w:ind w:left="57" w:right="57"/>
              <w:jc w:val="center"/>
              <w:rPr>
                <w:rFonts w:eastAsia="Times New Roman" w:cs="Times New Roman"/>
                <w:sz w:val="20"/>
                <w:lang w:eastAsia="en-AU"/>
              </w:rPr>
            </w:pPr>
            <w:r w:rsidRPr="00B52715">
              <w:rPr>
                <w:rFonts w:eastAsia="Times New Roman" w:cs="Times New Roman"/>
                <w:sz w:val="20"/>
                <w:lang w:eastAsia="en-AU"/>
              </w:rPr>
              <w:t>50</w:t>
            </w:r>
          </w:p>
        </w:tc>
      </w:tr>
    </w:tbl>
    <w:p w:rsidR="00F8300C" w:rsidRPr="00646666" w:rsidRDefault="00F8300C" w:rsidP="000B5C96">
      <w:pPr>
        <w:pStyle w:val="Footnotes"/>
        <w:numPr>
          <w:ilvl w:val="0"/>
          <w:numId w:val="8"/>
        </w:numPr>
        <w:ind w:left="284" w:hanging="284"/>
      </w:pPr>
      <w:r w:rsidRPr="00646666">
        <w:t>Marginal tax rates do not include the Medicare levy or the Medicare levy surcharge where applicable.</w:t>
      </w:r>
    </w:p>
    <w:p w:rsidR="00F8300C" w:rsidRPr="00646666" w:rsidRDefault="00F8300C" w:rsidP="00646666">
      <w:pPr>
        <w:pStyle w:val="Footnotes"/>
      </w:pPr>
      <w:r w:rsidRPr="00646666">
        <w:t>Includes the 2 per cent Temporary Budget Repair Levy (TBRL), which will expire after the 2016-17 financial year under current policy settings.</w:t>
      </w:r>
    </w:p>
    <w:p w:rsidR="00F8300C" w:rsidRPr="00B52715" w:rsidRDefault="00F8300C" w:rsidP="00F8300C">
      <w:pPr>
        <w:spacing w:before="114" w:after="120"/>
      </w:pPr>
    </w:p>
    <w:p w:rsidR="00F8300C" w:rsidRPr="00B52715" w:rsidRDefault="00F8300C" w:rsidP="00F8300C">
      <w:pPr>
        <w:keepNext/>
        <w:spacing w:before="340" w:after="114"/>
        <w:rPr>
          <w:b/>
          <w:bCs/>
          <w:color w:val="2B3B5F" w:themeColor="text2"/>
          <w:spacing w:val="-4"/>
        </w:rPr>
        <w:sectPr w:rsidR="00F8300C" w:rsidRPr="00B52715" w:rsidSect="007E3C99">
          <w:headerReference w:type="even" r:id="rId65"/>
          <w:headerReference w:type="default" r:id="rId66"/>
          <w:footerReference w:type="even" r:id="rId67"/>
          <w:footerReference w:type="default" r:id="rId68"/>
          <w:headerReference w:type="first" r:id="rId69"/>
          <w:footerReference w:type="first" r:id="rId70"/>
          <w:pgSz w:w="11907" w:h="16840" w:code="9"/>
          <w:pgMar w:top="1361" w:right="1797" w:bottom="1474" w:left="1797" w:header="283" w:footer="454" w:gutter="0"/>
          <w:cols w:space="708"/>
          <w:docGrid w:linePitch="360"/>
        </w:sectPr>
      </w:pPr>
    </w:p>
    <w:p w:rsidR="00F8300C" w:rsidRPr="00B52715" w:rsidRDefault="00F8300C" w:rsidP="007A4BF9">
      <w:pPr>
        <w:pStyle w:val="Heading6"/>
      </w:pPr>
      <w:r w:rsidRPr="00B52715">
        <w:lastRenderedPageBreak/>
        <w:t>Attachment B:  Top Marginal Tax Rates—financial implications</w:t>
      </w:r>
    </w:p>
    <w:p w:rsidR="00F8300C" w:rsidRPr="00B52715" w:rsidRDefault="00F8300C" w:rsidP="00905B06">
      <w:pPr>
        <w:pStyle w:val="Caption"/>
        <w:rPr>
          <w:vertAlign w:val="superscript"/>
        </w:rPr>
      </w:pPr>
      <w:r w:rsidRPr="00B52715">
        <w:t>Table A1: Top Marginal Tax Rates – Financial implications (outturn prices)</w:t>
      </w:r>
      <w:r w:rsidRPr="00B52715">
        <w:rPr>
          <w:vertAlign w:val="superscript"/>
        </w:rPr>
        <w:t>(a)(b)</w:t>
      </w:r>
    </w:p>
    <w:tbl>
      <w:tblPr>
        <w:tblStyle w:val="TableGrid5"/>
        <w:tblW w:w="4948" w:type="pct"/>
        <w:tblLook w:val="0680" w:firstRow="0" w:lastRow="0" w:firstColumn="1" w:lastColumn="0" w:noHBand="1" w:noVBand="1"/>
      </w:tblPr>
      <w:tblGrid>
        <w:gridCol w:w="2019"/>
        <w:gridCol w:w="850"/>
        <w:gridCol w:w="850"/>
        <w:gridCol w:w="850"/>
        <w:gridCol w:w="850"/>
        <w:gridCol w:w="855"/>
        <w:gridCol w:w="850"/>
        <w:gridCol w:w="850"/>
        <w:gridCol w:w="850"/>
        <w:gridCol w:w="850"/>
        <w:gridCol w:w="850"/>
        <w:gridCol w:w="850"/>
        <w:gridCol w:w="850"/>
        <w:gridCol w:w="892"/>
      </w:tblGrid>
      <w:tr w:rsidR="00F8300C" w:rsidRPr="00B52715" w:rsidTr="005B2F0D">
        <w:trPr>
          <w:cantSplit/>
        </w:trPr>
        <w:tc>
          <w:tcPr>
            <w:cnfStyle w:val="001000000000" w:firstRow="0" w:lastRow="0" w:firstColumn="1" w:lastColumn="0" w:oddVBand="0" w:evenVBand="0" w:oddHBand="0" w:evenHBand="0" w:firstRowFirstColumn="0" w:firstRowLastColumn="0" w:lastRowFirstColumn="0" w:lastRowLastColumn="0"/>
            <w:tcW w:w="770" w:type="pct"/>
            <w:shd w:val="clear" w:color="auto" w:fill="D7DDE9"/>
          </w:tcPr>
          <w:p w:rsidR="00F8300C" w:rsidRPr="00B52715" w:rsidRDefault="00F8300C" w:rsidP="005B2F0D">
            <w:pPr>
              <w:keepNext/>
              <w:keepLines/>
              <w:ind w:left="57" w:right="57"/>
            </w:pPr>
            <w:r w:rsidRPr="00B52715">
              <w:t>($m)</w:t>
            </w:r>
          </w:p>
        </w:tc>
        <w:tc>
          <w:tcPr>
            <w:tcW w:w="324"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pPr>
            <w:r w:rsidRPr="00B52715">
              <w:t>2016–17</w:t>
            </w:r>
          </w:p>
        </w:tc>
        <w:tc>
          <w:tcPr>
            <w:tcW w:w="324"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pPr>
            <w:r w:rsidRPr="00B52715">
              <w:t>2017–18</w:t>
            </w:r>
          </w:p>
        </w:tc>
        <w:tc>
          <w:tcPr>
            <w:tcW w:w="324"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pPr>
            <w:r w:rsidRPr="00B52715">
              <w:t>2018–19</w:t>
            </w:r>
          </w:p>
        </w:tc>
        <w:tc>
          <w:tcPr>
            <w:tcW w:w="324"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pPr>
            <w:r w:rsidRPr="00B52715">
              <w:t>2019–20</w:t>
            </w:r>
          </w:p>
        </w:tc>
        <w:tc>
          <w:tcPr>
            <w:tcW w:w="326"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Total to 2019–20</w:t>
            </w:r>
          </w:p>
        </w:tc>
        <w:tc>
          <w:tcPr>
            <w:tcW w:w="324"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pPr>
            <w:r w:rsidRPr="00B52715">
              <w:t>2020–21</w:t>
            </w:r>
          </w:p>
        </w:tc>
        <w:tc>
          <w:tcPr>
            <w:tcW w:w="324"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pPr>
            <w:r w:rsidRPr="00B52715">
              <w:t>2021–22</w:t>
            </w:r>
          </w:p>
        </w:tc>
        <w:tc>
          <w:tcPr>
            <w:tcW w:w="324"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pPr>
            <w:r w:rsidRPr="00B52715">
              <w:t>2022–23</w:t>
            </w:r>
          </w:p>
        </w:tc>
        <w:tc>
          <w:tcPr>
            <w:tcW w:w="324"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pPr>
            <w:r w:rsidRPr="00B52715">
              <w:t>2023–24</w:t>
            </w:r>
          </w:p>
        </w:tc>
        <w:tc>
          <w:tcPr>
            <w:tcW w:w="324"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pPr>
            <w:r w:rsidRPr="00B52715">
              <w:t>2024–25</w:t>
            </w:r>
          </w:p>
        </w:tc>
        <w:tc>
          <w:tcPr>
            <w:tcW w:w="324"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pPr>
            <w:r w:rsidRPr="00B52715">
              <w:t>2025–26</w:t>
            </w:r>
          </w:p>
        </w:tc>
        <w:tc>
          <w:tcPr>
            <w:tcW w:w="324"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pPr>
            <w:r w:rsidRPr="00B52715">
              <w:t>2026–27</w:t>
            </w:r>
          </w:p>
        </w:tc>
        <w:tc>
          <w:tcPr>
            <w:tcW w:w="342" w:type="pct"/>
            <w:shd w:val="clear" w:color="auto" w:fill="D7DDE9"/>
          </w:tcPr>
          <w:p w:rsidR="00F8300C" w:rsidRPr="00B52715" w:rsidRDefault="00F8300C" w:rsidP="005B2F0D">
            <w:pPr>
              <w:keepNext/>
              <w:keepLines/>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Total to 2026–27</w:t>
            </w:r>
          </w:p>
        </w:tc>
      </w:tr>
      <w:tr w:rsidR="00F8300C" w:rsidRPr="00B52715" w:rsidTr="005B2F0D">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F8300C" w:rsidRPr="00B52715" w:rsidRDefault="00F8300C" w:rsidP="005B2F0D">
            <w:pPr>
              <w:keepNext/>
              <w:keepLines/>
              <w:ind w:left="57" w:right="57"/>
              <w:rPr>
                <w:b/>
              </w:rPr>
            </w:pPr>
            <w:r w:rsidRPr="00B52715">
              <w:rPr>
                <w:b/>
              </w:rPr>
              <w:t>Fiscal and underlying cash balances – revenue/expenses</w:t>
            </w:r>
          </w:p>
        </w:tc>
      </w:tr>
      <w:tr w:rsidR="00F8300C" w:rsidRPr="00B52715" w:rsidTr="005B2F0D">
        <w:trPr>
          <w:cantSplit/>
        </w:trPr>
        <w:tc>
          <w:tcPr>
            <w:cnfStyle w:val="001000000000" w:firstRow="0" w:lastRow="0" w:firstColumn="1" w:lastColumn="0" w:oddVBand="0" w:evenVBand="0" w:oddHBand="0" w:evenHBand="0" w:firstRowFirstColumn="0" w:firstRowLastColumn="0" w:lastRowFirstColumn="0" w:lastRowLastColumn="0"/>
            <w:tcW w:w="770" w:type="pct"/>
          </w:tcPr>
          <w:p w:rsidR="00F8300C" w:rsidRPr="00B52715" w:rsidRDefault="00F8300C" w:rsidP="005B2F0D">
            <w:pPr>
              <w:keepNext/>
              <w:keepLines/>
              <w:ind w:left="57" w:right="57"/>
            </w:pPr>
            <w:r w:rsidRPr="00B52715">
              <w:t>Revenue</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800.0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2,750.0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3,100.0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3,300.0</w:t>
            </w:r>
          </w:p>
        </w:tc>
        <w:tc>
          <w:tcPr>
            <w:tcW w:w="326"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i/>
              </w:rPr>
            </w:pPr>
            <w:r w:rsidRPr="00B52715">
              <w:rPr>
                <w:b/>
                <w:i/>
              </w:rPr>
              <w:t>9,950.0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3,550.0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3,800.0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4,050.0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4,300.0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4,600.0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4,950.0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5,300.0</w:t>
            </w:r>
          </w:p>
        </w:tc>
        <w:tc>
          <w:tcPr>
            <w:tcW w:w="342"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i/>
              </w:rPr>
            </w:pPr>
            <w:r w:rsidRPr="00B52715">
              <w:rPr>
                <w:b/>
                <w:i/>
              </w:rPr>
              <w:t>40,500.0</w:t>
            </w:r>
          </w:p>
        </w:tc>
      </w:tr>
      <w:tr w:rsidR="00F8300C" w:rsidRPr="00B52715" w:rsidTr="005B2F0D">
        <w:trPr>
          <w:cantSplit/>
        </w:trPr>
        <w:tc>
          <w:tcPr>
            <w:cnfStyle w:val="001000000000" w:firstRow="0" w:lastRow="0" w:firstColumn="1" w:lastColumn="0" w:oddVBand="0" w:evenVBand="0" w:oddHBand="0" w:evenHBand="0" w:firstRowFirstColumn="0" w:firstRowLastColumn="0" w:lastRowFirstColumn="0" w:lastRowLastColumn="0"/>
            <w:tcW w:w="770" w:type="pct"/>
          </w:tcPr>
          <w:p w:rsidR="00F8300C" w:rsidRPr="00B52715" w:rsidRDefault="00F8300C" w:rsidP="005B2F0D">
            <w:pPr>
              <w:keepNext/>
              <w:keepLines/>
              <w:ind w:left="57" w:right="57"/>
            </w:pPr>
            <w:r w:rsidRPr="00B52715">
              <w:t>Departmental expenses (ATO)</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-6.0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w:t>
            </w:r>
          </w:p>
        </w:tc>
        <w:tc>
          <w:tcPr>
            <w:tcW w:w="326"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i/>
              </w:rPr>
            </w:pPr>
            <w:r w:rsidRPr="00B52715">
              <w:rPr>
                <w:b/>
                <w:i/>
              </w:rPr>
              <w:t>-6.0</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w:t>
            </w:r>
          </w:p>
        </w:tc>
        <w:tc>
          <w:tcPr>
            <w:tcW w:w="324"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i/>
              </w:rPr>
            </w:pPr>
            <w:r w:rsidRPr="00B52715">
              <w:rPr>
                <w:i/>
              </w:rPr>
              <w:t>-</w:t>
            </w:r>
          </w:p>
        </w:tc>
        <w:tc>
          <w:tcPr>
            <w:tcW w:w="342" w:type="pct"/>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i/>
              </w:rPr>
            </w:pPr>
            <w:r w:rsidRPr="00B52715">
              <w:rPr>
                <w:b/>
                <w:i/>
              </w:rPr>
              <w:t>-6.0</w:t>
            </w:r>
          </w:p>
        </w:tc>
      </w:tr>
      <w:tr w:rsidR="00F8300C" w:rsidRPr="00B52715" w:rsidTr="005B2F0D">
        <w:trPr>
          <w:cantSplit/>
        </w:trPr>
        <w:tc>
          <w:tcPr>
            <w:cnfStyle w:val="001000000000" w:firstRow="0" w:lastRow="0" w:firstColumn="1" w:lastColumn="0" w:oddVBand="0" w:evenVBand="0" w:oddHBand="0" w:evenHBand="0" w:firstRowFirstColumn="0" w:firstRowLastColumn="0" w:lastRowFirstColumn="0" w:lastRowLastColumn="0"/>
            <w:tcW w:w="770" w:type="pct"/>
            <w:shd w:val="clear" w:color="auto" w:fill="D7DDE9"/>
          </w:tcPr>
          <w:p w:rsidR="00F8300C" w:rsidRPr="00B52715" w:rsidRDefault="00F8300C" w:rsidP="005B2F0D">
            <w:pPr>
              <w:keepNext/>
              <w:keepLines/>
              <w:ind w:left="57" w:right="57"/>
              <w:rPr>
                <w:b/>
              </w:rPr>
            </w:pPr>
            <w:r w:rsidRPr="00B52715">
              <w:rPr>
                <w:b/>
              </w:rPr>
              <w:t>Total</w:t>
            </w:r>
          </w:p>
        </w:tc>
        <w:tc>
          <w:tcPr>
            <w:tcW w:w="324"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794.0</w:t>
            </w:r>
          </w:p>
        </w:tc>
        <w:tc>
          <w:tcPr>
            <w:tcW w:w="324"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2,750.0</w:t>
            </w:r>
          </w:p>
        </w:tc>
        <w:tc>
          <w:tcPr>
            <w:tcW w:w="324"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3,100.0</w:t>
            </w:r>
          </w:p>
        </w:tc>
        <w:tc>
          <w:tcPr>
            <w:tcW w:w="324"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3,300.0</w:t>
            </w:r>
          </w:p>
        </w:tc>
        <w:tc>
          <w:tcPr>
            <w:tcW w:w="326"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9,944.0</w:t>
            </w:r>
          </w:p>
        </w:tc>
        <w:tc>
          <w:tcPr>
            <w:tcW w:w="324"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3,550.0</w:t>
            </w:r>
          </w:p>
        </w:tc>
        <w:tc>
          <w:tcPr>
            <w:tcW w:w="324"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3,800.0</w:t>
            </w:r>
          </w:p>
        </w:tc>
        <w:tc>
          <w:tcPr>
            <w:tcW w:w="324"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4,050.0</w:t>
            </w:r>
          </w:p>
        </w:tc>
        <w:tc>
          <w:tcPr>
            <w:tcW w:w="324"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4,300.0</w:t>
            </w:r>
          </w:p>
        </w:tc>
        <w:tc>
          <w:tcPr>
            <w:tcW w:w="324"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4,600.0</w:t>
            </w:r>
          </w:p>
        </w:tc>
        <w:tc>
          <w:tcPr>
            <w:tcW w:w="324"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4,950.0</w:t>
            </w:r>
          </w:p>
        </w:tc>
        <w:tc>
          <w:tcPr>
            <w:tcW w:w="324"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5,300.0</w:t>
            </w:r>
          </w:p>
        </w:tc>
        <w:tc>
          <w:tcPr>
            <w:tcW w:w="342" w:type="pct"/>
            <w:shd w:val="clear" w:color="auto" w:fill="D7DDE9"/>
          </w:tcPr>
          <w:p w:rsidR="00F8300C" w:rsidRPr="00B52715" w:rsidRDefault="00F8300C" w:rsidP="005B2F0D">
            <w:pPr>
              <w:ind w:left="57" w:right="57"/>
              <w:jc w:val="right"/>
              <w:cnfStyle w:val="000000000000" w:firstRow="0" w:lastRow="0" w:firstColumn="0" w:lastColumn="0" w:oddVBand="0" w:evenVBand="0" w:oddHBand="0" w:evenHBand="0" w:firstRowFirstColumn="0" w:firstRowLastColumn="0" w:lastRowFirstColumn="0" w:lastRowLastColumn="0"/>
              <w:rPr>
                <w:b/>
              </w:rPr>
            </w:pPr>
            <w:r w:rsidRPr="00B52715">
              <w:rPr>
                <w:b/>
              </w:rPr>
              <w:t>40,494.0</w:t>
            </w:r>
          </w:p>
        </w:tc>
      </w:tr>
    </w:tbl>
    <w:p w:rsidR="00F8300C" w:rsidRPr="00D32A11" w:rsidRDefault="00F8300C" w:rsidP="000B5C96">
      <w:pPr>
        <w:pStyle w:val="Footnotes"/>
        <w:numPr>
          <w:ilvl w:val="0"/>
          <w:numId w:val="40"/>
        </w:numPr>
        <w:ind w:left="284" w:hanging="284"/>
      </w:pPr>
      <w:r w:rsidRPr="00D32A11">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F8300C" w:rsidRPr="00B52715" w:rsidRDefault="00F8300C" w:rsidP="00646666">
      <w:pPr>
        <w:pStyle w:val="Footnotes"/>
      </w:pPr>
      <w:r w:rsidRPr="00B52715">
        <w:t>Figures may not sum to totals due to rounding.</w:t>
      </w:r>
    </w:p>
    <w:p w:rsidR="00F8300C" w:rsidRPr="00B52715" w:rsidRDefault="00F8300C" w:rsidP="000B5C96">
      <w:pPr>
        <w:pStyle w:val="Footnotes"/>
        <w:numPr>
          <w:ilvl w:val="0"/>
          <w:numId w:val="33"/>
        </w:numPr>
        <w:ind w:left="284" w:hanging="284"/>
      </w:pPr>
      <w:r w:rsidRPr="00B52715">
        <w:t>Indicates nil.</w:t>
      </w:r>
    </w:p>
    <w:p w:rsidR="00F8300C" w:rsidRDefault="00F8300C" w:rsidP="00F8300C">
      <w:pPr>
        <w:sectPr w:rsidR="00F8300C" w:rsidSect="007E3C99">
          <w:headerReference w:type="even" r:id="rId71"/>
          <w:headerReference w:type="default" r:id="rId72"/>
          <w:footerReference w:type="even" r:id="rId73"/>
          <w:footerReference w:type="default" r:id="rId74"/>
          <w:pgSz w:w="16838" w:h="11906" w:orient="landscape"/>
          <w:pgMar w:top="1361" w:right="1797" w:bottom="1474" w:left="1797" w:header="283" w:footer="454" w:gutter="0"/>
          <w:cols w:space="708"/>
          <w:docGrid w:linePitch="360"/>
        </w:sectPr>
      </w:pPr>
    </w:p>
    <w:p w:rsidR="00F8300C" w:rsidRDefault="00F8300C" w:rsidP="007A4BF9">
      <w:pPr>
        <w:pStyle w:val="Heading5"/>
        <w:rPr>
          <w:rFonts w:ascii="Calibri" w:eastAsia="Calibri" w:hAnsi="Calibri"/>
          <w:noProof/>
          <w:lang w:eastAsia="en-AU"/>
        </w:rPr>
      </w:pPr>
      <w:bookmarkStart w:id="17" w:name="_Toc458015773"/>
      <w:bookmarkStart w:id="18" w:name="_Toc458090612"/>
      <w:r>
        <w:rPr>
          <w:rFonts w:eastAsia="Times New Roman"/>
        </w:rPr>
        <w:lastRenderedPageBreak/>
        <w:t>GRN006</w:t>
      </w:r>
      <w:r w:rsidRPr="001C46AF">
        <w:rPr>
          <w:rFonts w:eastAsia="Times New Roman"/>
        </w:rPr>
        <w:t xml:space="preserve">: </w:t>
      </w:r>
      <w:r>
        <w:rPr>
          <w:rFonts w:eastAsia="Times New Roman"/>
        </w:rPr>
        <w:t>Buffett Rule: High Income Tax Guarantee</w:t>
      </w:r>
      <w:bookmarkEnd w:id="17"/>
      <w:bookmarkEnd w:id="18"/>
    </w:p>
    <w:p w:rsidR="00F8300C" w:rsidRDefault="00F8300C" w:rsidP="007A4BF9">
      <w:pPr>
        <w:pStyle w:val="BodyText"/>
      </w:pPr>
      <w:r>
        <w:rPr>
          <w:noProof/>
          <w:lang w:eastAsia="en-AU"/>
        </w:rPr>
        <w:drawing>
          <wp:inline distT="0" distB="0" distL="0" distR="0" wp14:anchorId="0773B4C4" wp14:editId="7CEA6E5C">
            <wp:extent cx="2696845" cy="572135"/>
            <wp:effectExtent l="0" t="0" r="8255" b="0"/>
            <wp:docPr id="459" name="Picture 45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F8300C" w:rsidRPr="004177B3" w:rsidRDefault="00F8300C" w:rsidP="007A4BF9">
      <w:pPr>
        <w:pStyle w:val="Heading6"/>
      </w:pPr>
      <w:r w:rsidRPr="004177B3">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F8300C" w:rsidRPr="00AF49FE" w:rsidTr="005B2F0D">
        <w:trPr>
          <w:cnfStyle w:val="100000000000" w:firstRow="1" w:lastRow="0" w:firstColumn="0" w:lastColumn="0" w:oddVBand="0" w:evenVBand="0" w:oddHBand="0" w:evenHBand="0" w:firstRowFirstColumn="0" w:firstRowLastColumn="0" w:lastRowFirstColumn="0" w:lastRowLastColumn="0"/>
        </w:trPr>
        <w:tc>
          <w:tcPr>
            <w:tcW w:w="3005" w:type="dxa"/>
          </w:tcPr>
          <w:p w:rsidR="00F8300C" w:rsidRPr="00AF49FE" w:rsidRDefault="00F8300C" w:rsidP="00AF49FE">
            <w:pPr>
              <w:pStyle w:val="PullOutBoxHeading"/>
              <w:rPr>
                <w:b/>
                <w:sz w:val="22"/>
              </w:rPr>
            </w:pPr>
            <w:r w:rsidRPr="00AF49FE">
              <w:rPr>
                <w:b/>
                <w:sz w:val="22"/>
              </w:rPr>
              <w:t>Name of proposal:</w:t>
            </w:r>
          </w:p>
        </w:tc>
        <w:tc>
          <w:tcPr>
            <w:tcW w:w="5335" w:type="dxa"/>
          </w:tcPr>
          <w:p w:rsidR="00F8300C" w:rsidRPr="00AF49FE" w:rsidRDefault="00F8300C" w:rsidP="00AF49FE">
            <w:pPr>
              <w:pStyle w:val="PullOutBoxHeading"/>
              <w:rPr>
                <w:b/>
                <w:sz w:val="22"/>
              </w:rPr>
            </w:pPr>
            <w:r w:rsidRPr="00AF49FE">
              <w:rPr>
                <w:b/>
                <w:sz w:val="22"/>
              </w:rPr>
              <w:t>High Income Tax Guarantee (The Buffett Rule)</w:t>
            </w:r>
          </w:p>
        </w:tc>
      </w:tr>
      <w:tr w:rsidR="00F8300C" w:rsidRPr="004177B3" w:rsidTr="005B2F0D">
        <w:tc>
          <w:tcPr>
            <w:tcW w:w="3005" w:type="dxa"/>
          </w:tcPr>
          <w:p w:rsidR="00F8300C" w:rsidRPr="004177B3" w:rsidRDefault="00F8300C" w:rsidP="00E1733B">
            <w:pPr>
              <w:pStyle w:val="PullOutBoxBodyText"/>
            </w:pPr>
            <w:r w:rsidRPr="004177B3">
              <w:t>Summary of proposal:</w:t>
            </w:r>
          </w:p>
        </w:tc>
        <w:tc>
          <w:tcPr>
            <w:tcW w:w="5335" w:type="dxa"/>
          </w:tcPr>
          <w:p w:rsidR="00F8300C" w:rsidRPr="004177B3" w:rsidRDefault="00F8300C" w:rsidP="00E1733B">
            <w:pPr>
              <w:pStyle w:val="PullOutBoxBodyText"/>
              <w:rPr>
                <w:rFonts w:ascii="Calibri" w:hAnsi="Calibri"/>
              </w:rPr>
            </w:pPr>
            <w:r w:rsidRPr="004177B3">
              <w:rPr>
                <w:rFonts w:ascii="Calibri" w:hAnsi="Calibri"/>
              </w:rPr>
              <w:t xml:space="preserve">The proposal would impose a minimum income tax liability of 35 per cent of total income for individuals with total income above $300,000. </w:t>
            </w:r>
          </w:p>
          <w:p w:rsidR="00F8300C" w:rsidRPr="004177B3" w:rsidRDefault="00F8300C" w:rsidP="00E1733B">
            <w:pPr>
              <w:pStyle w:val="PullOutBoxBodyText"/>
              <w:rPr>
                <w:rFonts w:ascii="Calibri" w:hAnsi="Calibri"/>
              </w:rPr>
            </w:pPr>
            <w:r w:rsidRPr="004177B3">
              <w:rPr>
                <w:rFonts w:ascii="Calibri" w:hAnsi="Calibri"/>
              </w:rPr>
              <w:t>The proposal would take effect from 1 September 2016.</w:t>
            </w:r>
          </w:p>
          <w:p w:rsidR="00F8300C" w:rsidRPr="004177B3" w:rsidRDefault="00F8300C" w:rsidP="00E1733B">
            <w:pPr>
              <w:pStyle w:val="PullOutBoxBodyText"/>
              <w:rPr>
                <w:rFonts w:ascii="Calibri" w:hAnsi="Calibri"/>
              </w:rPr>
            </w:pPr>
            <w:r w:rsidRPr="004177B3">
              <w:rPr>
                <w:rFonts w:ascii="Calibri" w:hAnsi="Calibri"/>
              </w:rPr>
              <w:t xml:space="preserve">The request noted that this proposal would interact with the </w:t>
            </w:r>
            <w:r w:rsidRPr="004177B3">
              <w:rPr>
                <w:rFonts w:ascii="Calibri" w:hAnsi="Calibri"/>
                <w:i/>
              </w:rPr>
              <w:t>Top Marginal Tax Rates</w:t>
            </w:r>
            <w:r w:rsidRPr="004177B3">
              <w:rPr>
                <w:rFonts w:ascii="Calibri" w:hAnsi="Calibri"/>
              </w:rPr>
              <w:t xml:space="preserve"> (GRN005) proposal. </w:t>
            </w:r>
          </w:p>
        </w:tc>
      </w:tr>
      <w:tr w:rsidR="00F8300C" w:rsidRPr="004177B3" w:rsidTr="005B2F0D">
        <w:tc>
          <w:tcPr>
            <w:tcW w:w="3005" w:type="dxa"/>
          </w:tcPr>
          <w:p w:rsidR="00F8300C" w:rsidRPr="004177B3" w:rsidRDefault="00F8300C" w:rsidP="00E1733B">
            <w:pPr>
              <w:pStyle w:val="PullOutBoxBodyText"/>
            </w:pPr>
            <w:r w:rsidRPr="004177B3">
              <w:t>Person/party requesting costing:</w:t>
            </w:r>
          </w:p>
        </w:tc>
        <w:tc>
          <w:tcPr>
            <w:tcW w:w="5335" w:type="dxa"/>
          </w:tcPr>
          <w:p w:rsidR="00F8300C" w:rsidRPr="004177B3" w:rsidRDefault="00F8300C" w:rsidP="00E1733B">
            <w:pPr>
              <w:pStyle w:val="PullOutBoxBodyText"/>
            </w:pPr>
            <w:r w:rsidRPr="004177B3">
              <w:t>Senator Richard Di Natale, Australian Greens</w:t>
            </w:r>
          </w:p>
        </w:tc>
      </w:tr>
      <w:tr w:rsidR="00F8300C" w:rsidRPr="004177B3" w:rsidTr="005B2F0D">
        <w:tc>
          <w:tcPr>
            <w:tcW w:w="3005" w:type="dxa"/>
          </w:tcPr>
          <w:p w:rsidR="00F8300C" w:rsidRPr="004177B3" w:rsidRDefault="00F8300C" w:rsidP="00E1733B">
            <w:pPr>
              <w:pStyle w:val="PullOutBoxBodyText"/>
            </w:pPr>
            <w:r w:rsidRPr="004177B3">
              <w:t>Date of public release of policy:</w:t>
            </w:r>
          </w:p>
        </w:tc>
        <w:tc>
          <w:tcPr>
            <w:tcW w:w="5335" w:type="dxa"/>
          </w:tcPr>
          <w:p w:rsidR="00F8300C" w:rsidRPr="004177B3" w:rsidRDefault="00F8300C" w:rsidP="00E1733B">
            <w:pPr>
              <w:pStyle w:val="PullOutBoxBodyText"/>
            </w:pPr>
            <w:r w:rsidRPr="004177B3">
              <w:t xml:space="preserve">26 April 2016 </w:t>
            </w:r>
          </w:p>
          <w:p w:rsidR="00F8300C" w:rsidRPr="004177B3" w:rsidRDefault="00E46526" w:rsidP="00E1733B">
            <w:pPr>
              <w:pStyle w:val="PullOutBoxBodyText"/>
            </w:pPr>
            <w:hyperlink r:id="rId75" w:history="1">
              <w:r w:rsidR="00F8300C" w:rsidRPr="004177B3">
                <w:rPr>
                  <w:rFonts w:ascii="Calibri" w:hAnsi="Calibri"/>
                  <w:color w:val="000000" w:themeColor="hyperlink"/>
                  <w:u w:val="single"/>
                </w:rPr>
                <w:t>http://greens.org.au/buffett-rule</w:t>
              </w:r>
            </w:hyperlink>
          </w:p>
        </w:tc>
      </w:tr>
      <w:tr w:rsidR="00F8300C" w:rsidRPr="004177B3" w:rsidTr="005B2F0D">
        <w:tc>
          <w:tcPr>
            <w:tcW w:w="3005" w:type="dxa"/>
          </w:tcPr>
          <w:p w:rsidR="00F8300C" w:rsidRPr="004177B3" w:rsidRDefault="00F8300C" w:rsidP="00E1733B">
            <w:pPr>
              <w:pStyle w:val="PullOutBoxBodyText"/>
            </w:pPr>
            <w:r w:rsidRPr="004177B3">
              <w:t>Date costing request received:</w:t>
            </w:r>
          </w:p>
        </w:tc>
        <w:tc>
          <w:tcPr>
            <w:tcW w:w="5335" w:type="dxa"/>
          </w:tcPr>
          <w:p w:rsidR="00F8300C" w:rsidRPr="004177B3" w:rsidRDefault="00F8300C" w:rsidP="00E1733B">
            <w:pPr>
              <w:pStyle w:val="PullOutBoxBodyText"/>
            </w:pPr>
            <w:r w:rsidRPr="004177B3">
              <w:t>23 June 2016</w:t>
            </w:r>
          </w:p>
        </w:tc>
      </w:tr>
      <w:tr w:rsidR="00F8300C" w:rsidRPr="004177B3" w:rsidTr="005B2F0D">
        <w:tc>
          <w:tcPr>
            <w:tcW w:w="3005" w:type="dxa"/>
          </w:tcPr>
          <w:p w:rsidR="00F8300C" w:rsidRPr="004177B3" w:rsidRDefault="00F8300C" w:rsidP="00E1733B">
            <w:pPr>
              <w:pStyle w:val="PullOutBoxBodyText"/>
            </w:pPr>
            <w:r w:rsidRPr="004177B3">
              <w:t>Date costing completed</w:t>
            </w:r>
          </w:p>
        </w:tc>
        <w:tc>
          <w:tcPr>
            <w:tcW w:w="5335" w:type="dxa"/>
          </w:tcPr>
          <w:p w:rsidR="00F8300C" w:rsidRPr="004177B3" w:rsidRDefault="00F8300C" w:rsidP="00E1733B">
            <w:pPr>
              <w:pStyle w:val="PullOutBoxBodyText"/>
            </w:pPr>
            <w:r w:rsidRPr="004177B3">
              <w:t>25 June 2016</w:t>
            </w:r>
          </w:p>
        </w:tc>
      </w:tr>
      <w:tr w:rsidR="00F8300C" w:rsidRPr="004177B3" w:rsidTr="005B2F0D">
        <w:tc>
          <w:tcPr>
            <w:tcW w:w="3005" w:type="dxa"/>
          </w:tcPr>
          <w:p w:rsidR="00F8300C" w:rsidRPr="004177B3" w:rsidRDefault="00F8300C" w:rsidP="00E1733B">
            <w:pPr>
              <w:pStyle w:val="PullOutBoxBodyText"/>
            </w:pPr>
            <w:r w:rsidRPr="004177B3">
              <w:t>Additional information received (including date):</w:t>
            </w:r>
          </w:p>
        </w:tc>
        <w:tc>
          <w:tcPr>
            <w:tcW w:w="5335" w:type="dxa"/>
          </w:tcPr>
          <w:p w:rsidR="00F8300C" w:rsidRPr="004177B3" w:rsidRDefault="00F8300C" w:rsidP="00E1733B">
            <w:pPr>
              <w:pStyle w:val="PullOutBoxBodyText"/>
            </w:pPr>
            <w:r w:rsidRPr="004177B3">
              <w:t>On 23 June 2016, Senator Di Natale’s office advised that:</w:t>
            </w:r>
          </w:p>
          <w:p w:rsidR="00F8300C" w:rsidRPr="004177B3" w:rsidRDefault="00F8300C" w:rsidP="00E1733B">
            <w:pPr>
              <w:pStyle w:val="PullOutBoxBullet"/>
              <w:rPr>
                <w:lang w:eastAsia="en-AU"/>
              </w:rPr>
            </w:pPr>
            <w:r w:rsidRPr="004177B3">
              <w:rPr>
                <w:lang w:eastAsia="en-AU"/>
              </w:rPr>
              <w:t>total income would consist of assessable income, net investment losses, exempt foreign employment income, reportable superannuation contributions and reportable fringe benefits</w:t>
            </w:r>
          </w:p>
          <w:p w:rsidR="00F8300C" w:rsidRPr="004177B3" w:rsidRDefault="00F8300C" w:rsidP="00E1733B">
            <w:pPr>
              <w:pStyle w:val="PullOutBoxBullet"/>
              <w:rPr>
                <w:lang w:eastAsia="en-AU"/>
              </w:rPr>
            </w:pPr>
            <w:r w:rsidRPr="004177B3">
              <w:rPr>
                <w:lang w:eastAsia="en-AU"/>
              </w:rPr>
              <w:t>net (rather than gross) business and investment income would be included in the calculation of total income</w:t>
            </w:r>
          </w:p>
          <w:p w:rsidR="00F8300C" w:rsidRPr="004177B3" w:rsidRDefault="00F8300C" w:rsidP="00E1733B">
            <w:pPr>
              <w:pStyle w:val="PullOutBoxBullet"/>
              <w:rPr>
                <w:lang w:eastAsia="en-AU"/>
              </w:rPr>
            </w:pPr>
            <w:r w:rsidRPr="004177B3">
              <w:rPr>
                <w:lang w:eastAsia="en-AU"/>
              </w:rPr>
              <w:t>the benchmark measure of tax for the calculation of the additional tax payable under the proposal would be gross tax, including the Medicare levy where applicable</w:t>
            </w:r>
          </w:p>
          <w:p w:rsidR="00F8300C" w:rsidRPr="004177B3" w:rsidRDefault="00F8300C" w:rsidP="004F4D35">
            <w:pPr>
              <w:pStyle w:val="PullOutBoxBullet"/>
              <w:spacing w:after="600"/>
              <w:rPr>
                <w:lang w:eastAsia="en-AU"/>
              </w:rPr>
            </w:pPr>
            <w:r w:rsidRPr="004177B3">
              <w:rPr>
                <w:lang w:eastAsia="en-AU"/>
              </w:rPr>
              <w:t>refundable tax credits and non-refundable tax offsets could not be used to reduce the minimum tax liability under the proposal</w:t>
            </w:r>
          </w:p>
          <w:p w:rsidR="00F8300C" w:rsidRPr="004177B3" w:rsidRDefault="00F8300C" w:rsidP="00895C1D">
            <w:pPr>
              <w:pStyle w:val="PullOutBoxBullet"/>
              <w:spacing w:before="120"/>
              <w:rPr>
                <w:lang w:eastAsia="en-AU"/>
              </w:rPr>
            </w:pPr>
            <w:r w:rsidRPr="004177B3">
              <w:rPr>
                <w:lang w:eastAsia="en-AU"/>
              </w:rPr>
              <w:lastRenderedPageBreak/>
              <w:t>the $300,000 threshold would be indexed each two</w:t>
            </w:r>
            <w:r w:rsidR="00895C1D">
              <w:rPr>
                <w:lang w:eastAsia="en-AU"/>
              </w:rPr>
              <w:t> </w:t>
            </w:r>
            <w:r w:rsidRPr="004177B3">
              <w:rPr>
                <w:lang w:eastAsia="en-AU"/>
              </w:rPr>
              <w:t>years from the date of implementation in line with the growth in Male Total Average Weekly Earnings.</w:t>
            </w:r>
          </w:p>
        </w:tc>
      </w:tr>
      <w:tr w:rsidR="00F8300C" w:rsidRPr="004177B3" w:rsidTr="005B2F0D">
        <w:tc>
          <w:tcPr>
            <w:tcW w:w="3005" w:type="dxa"/>
          </w:tcPr>
          <w:p w:rsidR="00F8300C" w:rsidRPr="004177B3" w:rsidRDefault="00F8300C" w:rsidP="00E1733B">
            <w:pPr>
              <w:pStyle w:val="PullOutBoxBodyText"/>
            </w:pPr>
            <w:r w:rsidRPr="004177B3">
              <w:lastRenderedPageBreak/>
              <w:t>Expiry date for the costing:</w:t>
            </w:r>
          </w:p>
        </w:tc>
        <w:tc>
          <w:tcPr>
            <w:tcW w:w="5335" w:type="dxa"/>
          </w:tcPr>
          <w:p w:rsidR="00F8300C" w:rsidRPr="004177B3" w:rsidRDefault="00F8300C" w:rsidP="00E1733B">
            <w:pPr>
              <w:pStyle w:val="PullOutBoxBodyText"/>
            </w:pPr>
            <w:r w:rsidRPr="004177B3">
              <w:t>Release of the next economic and fiscal outlook report</w:t>
            </w:r>
          </w:p>
        </w:tc>
      </w:tr>
    </w:tbl>
    <w:p w:rsidR="00F8300C" w:rsidRPr="004177B3" w:rsidRDefault="00F8300C" w:rsidP="00905B06">
      <w:pPr>
        <w:pStyle w:val="CostingsH7"/>
      </w:pPr>
      <w:r w:rsidRPr="004177B3">
        <w:t>Costing overview</w:t>
      </w:r>
    </w:p>
    <w:p w:rsidR="00F8300C" w:rsidRPr="004177B3" w:rsidRDefault="00F8300C" w:rsidP="00A753C8">
      <w:pPr>
        <w:pStyle w:val="BodyText"/>
      </w:pPr>
      <w:r w:rsidRPr="004177B3">
        <w:t>This proposal would be expected to increase both the fiscal and underlying cash balances by $8,388 million over the 2016</w:t>
      </w:r>
      <w:r w:rsidRPr="004177B3">
        <w:noBreakHyphen/>
        <w:t>17 Budget forward estimates period.  This reflects an increase in revenue of $8,400 million, partly offset by an increase in departmental expenditure of $12 million for the Australian Taxation Office (ATO) over this period.</w:t>
      </w:r>
    </w:p>
    <w:p w:rsidR="00F8300C" w:rsidRPr="004177B3" w:rsidRDefault="00F8300C" w:rsidP="00F8300C">
      <w:pPr>
        <w:spacing w:before="114" w:after="114"/>
      </w:pPr>
      <w:r w:rsidRPr="004177B3">
        <w:t xml:space="preserve">The financial implications of this proposal include the impact of interactions between this proposal and the </w:t>
      </w:r>
      <w:r w:rsidRPr="00A753C8">
        <w:rPr>
          <w:rFonts w:cs="Times New Roman"/>
          <w:i/>
          <w:spacing w:val="-1"/>
        </w:rPr>
        <w:t>Top Marginal Tax Rates</w:t>
      </w:r>
      <w:r w:rsidRPr="004177B3">
        <w:rPr>
          <w:i/>
        </w:rPr>
        <w:t xml:space="preserve"> </w:t>
      </w:r>
      <w:r w:rsidRPr="004177B3">
        <w:t>(GRN005) proposal.  This would reduce the revenue that would be expected from this proposal by $1,100 million over the 2016</w:t>
      </w:r>
      <w:r w:rsidRPr="004177B3">
        <w:noBreakHyphen/>
        <w:t>17 Budget forward estimates period, as fewer taxpayers above the relevant income thresholds would have a tax liability below 35 per cent of total income.</w:t>
      </w:r>
    </w:p>
    <w:p w:rsidR="00F8300C" w:rsidRPr="004177B3" w:rsidRDefault="00F8300C" w:rsidP="00A753C8">
      <w:pPr>
        <w:pStyle w:val="BodyText"/>
        <w:rPr>
          <w:u w:val="single"/>
        </w:rPr>
      </w:pPr>
      <w:r w:rsidRPr="004177B3">
        <w:t>The proposal would have ongoing financial implications beyond the 2016</w:t>
      </w:r>
      <w:r w:rsidRPr="004177B3">
        <w:noBreakHyphen/>
        <w:t xml:space="preserve">17 Budget forward estimates period.  Detailed financial implications are provided at </w:t>
      </w:r>
      <w:r w:rsidRPr="004177B3">
        <w:rPr>
          <w:u w:val="single"/>
        </w:rPr>
        <w:t>Attachment A</w:t>
      </w:r>
      <w:r w:rsidRPr="004177B3">
        <w:t>.</w:t>
      </w:r>
    </w:p>
    <w:p w:rsidR="00F8300C" w:rsidRPr="004177B3" w:rsidRDefault="00F8300C" w:rsidP="00A753C8">
      <w:pPr>
        <w:pStyle w:val="BodyText"/>
      </w:pPr>
      <w:r w:rsidRPr="004177B3">
        <w:t>This costing is considered to be of low reliability.  The results were estimated based on a large representative sample of administrative tax data.  However, the estimates would be sensitive to behavioural responses by individuals affected by this proposal and to variations in population and income growth.</w:t>
      </w:r>
    </w:p>
    <w:p w:rsidR="00F8300C" w:rsidRPr="004177B3" w:rsidRDefault="00F8300C" w:rsidP="00905B06">
      <w:pPr>
        <w:pStyle w:val="Caption"/>
      </w:pPr>
      <w:r w:rsidRPr="004177B3">
        <w:t>Table 1: Financial implications (outturn prices)</w:t>
      </w:r>
      <w:r w:rsidRPr="004177B3">
        <w:rPr>
          <w:vertAlign w:val="superscript"/>
        </w:rPr>
        <w:t>(a)(b)</w:t>
      </w:r>
    </w:p>
    <w:tbl>
      <w:tblPr>
        <w:tblStyle w:val="TableGrid6"/>
        <w:tblW w:w="4993" w:type="pct"/>
        <w:tblLook w:val="04A0" w:firstRow="1" w:lastRow="0" w:firstColumn="1" w:lastColumn="0" w:noHBand="0" w:noVBand="1"/>
      </w:tblPr>
      <w:tblGrid>
        <w:gridCol w:w="2645"/>
        <w:gridCol w:w="1134"/>
        <w:gridCol w:w="1133"/>
        <w:gridCol w:w="1133"/>
        <w:gridCol w:w="1133"/>
        <w:gridCol w:w="1132"/>
      </w:tblGrid>
      <w:tr w:rsidR="00F8300C" w:rsidRPr="004177B3" w:rsidTr="005B2F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F8300C" w:rsidRPr="004177B3" w:rsidRDefault="00F8300C" w:rsidP="005B2F0D">
            <w:pPr>
              <w:keepNext/>
              <w:keepLines/>
              <w:spacing w:line="240" w:lineRule="auto"/>
              <w:ind w:left="57" w:right="57"/>
              <w:rPr>
                <w:rFonts w:ascii="Calibri" w:hAnsi="Calibri"/>
                <w:szCs w:val="20"/>
              </w:rPr>
            </w:pPr>
            <w:r w:rsidRPr="004177B3">
              <w:rPr>
                <w:rFonts w:ascii="Calibri" w:hAnsi="Calibri"/>
                <w:szCs w:val="20"/>
              </w:rPr>
              <w:t>Impact on ($m)</w:t>
            </w:r>
          </w:p>
        </w:tc>
        <w:tc>
          <w:tcPr>
            <w:tcW w:w="682" w:type="pct"/>
          </w:tcPr>
          <w:p w:rsidR="00F8300C" w:rsidRPr="004177B3" w:rsidRDefault="00F8300C" w:rsidP="005B2F0D">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4177B3">
              <w:rPr>
                <w:rFonts w:ascii="Calibri" w:hAnsi="Calibri"/>
                <w:szCs w:val="20"/>
              </w:rPr>
              <w:t>2016–17</w:t>
            </w:r>
          </w:p>
        </w:tc>
        <w:tc>
          <w:tcPr>
            <w:tcW w:w="682" w:type="pct"/>
          </w:tcPr>
          <w:p w:rsidR="00F8300C" w:rsidRPr="004177B3" w:rsidRDefault="00F8300C" w:rsidP="005B2F0D">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4177B3">
              <w:rPr>
                <w:rFonts w:ascii="Calibri" w:hAnsi="Calibri"/>
                <w:szCs w:val="20"/>
              </w:rPr>
              <w:t>2017–18</w:t>
            </w:r>
          </w:p>
        </w:tc>
        <w:tc>
          <w:tcPr>
            <w:tcW w:w="682" w:type="pct"/>
          </w:tcPr>
          <w:p w:rsidR="00F8300C" w:rsidRPr="004177B3" w:rsidRDefault="00F8300C" w:rsidP="005B2F0D">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4177B3">
              <w:rPr>
                <w:rFonts w:ascii="Calibri" w:hAnsi="Calibri"/>
                <w:szCs w:val="20"/>
              </w:rPr>
              <w:t>2018–19</w:t>
            </w:r>
          </w:p>
        </w:tc>
        <w:tc>
          <w:tcPr>
            <w:tcW w:w="682" w:type="pct"/>
          </w:tcPr>
          <w:p w:rsidR="00F8300C" w:rsidRPr="004177B3" w:rsidRDefault="00F8300C" w:rsidP="005B2F0D">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b/>
                <w:szCs w:val="20"/>
              </w:rPr>
            </w:pPr>
            <w:r w:rsidRPr="004177B3">
              <w:rPr>
                <w:rFonts w:ascii="Calibri" w:hAnsi="Calibri"/>
                <w:szCs w:val="20"/>
              </w:rPr>
              <w:t>2019–20</w:t>
            </w:r>
          </w:p>
        </w:tc>
        <w:tc>
          <w:tcPr>
            <w:tcW w:w="681" w:type="pct"/>
          </w:tcPr>
          <w:p w:rsidR="00F8300C" w:rsidRPr="004177B3" w:rsidRDefault="00F8300C" w:rsidP="005B2F0D">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b/>
                <w:szCs w:val="20"/>
              </w:rPr>
            </w:pPr>
            <w:r w:rsidRPr="004177B3">
              <w:rPr>
                <w:rFonts w:ascii="Calibri" w:hAnsi="Calibri"/>
                <w:b/>
                <w:szCs w:val="20"/>
              </w:rPr>
              <w:t>Total</w:t>
            </w:r>
          </w:p>
        </w:tc>
      </w:tr>
      <w:tr w:rsidR="00F8300C" w:rsidRPr="004177B3" w:rsidTr="005B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F8300C" w:rsidRPr="004177B3" w:rsidRDefault="00F8300C" w:rsidP="005B2F0D">
            <w:pPr>
              <w:keepNext/>
              <w:keepLines/>
              <w:spacing w:line="240" w:lineRule="auto"/>
              <w:ind w:left="57" w:right="57"/>
              <w:rPr>
                <w:szCs w:val="20"/>
              </w:rPr>
            </w:pPr>
            <w:r w:rsidRPr="004177B3">
              <w:rPr>
                <w:szCs w:val="20"/>
              </w:rPr>
              <w:t>Fiscal balance</w:t>
            </w:r>
          </w:p>
        </w:tc>
        <w:tc>
          <w:tcPr>
            <w:tcW w:w="682" w:type="pct"/>
          </w:tcPr>
          <w:p w:rsidR="00F8300C" w:rsidRPr="004177B3" w:rsidRDefault="00F8300C" w:rsidP="005B2F0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4177B3">
              <w:t xml:space="preserve">-306.0 </w:t>
            </w:r>
          </w:p>
        </w:tc>
        <w:tc>
          <w:tcPr>
            <w:tcW w:w="682" w:type="pct"/>
          </w:tcPr>
          <w:p w:rsidR="00F8300C" w:rsidRPr="004177B3" w:rsidRDefault="00F8300C" w:rsidP="005B2F0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4177B3">
              <w:t xml:space="preserve"> 2,196.0 </w:t>
            </w:r>
          </w:p>
        </w:tc>
        <w:tc>
          <w:tcPr>
            <w:tcW w:w="682" w:type="pct"/>
          </w:tcPr>
          <w:p w:rsidR="00F8300C" w:rsidRPr="004177B3" w:rsidRDefault="00F8300C" w:rsidP="005B2F0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4177B3">
              <w:rPr>
                <w:rFonts w:ascii="Calibri" w:hAnsi="Calibri"/>
                <w:color w:val="000000"/>
                <w:szCs w:val="20"/>
              </w:rPr>
              <w:t>3,299.0</w:t>
            </w:r>
          </w:p>
        </w:tc>
        <w:tc>
          <w:tcPr>
            <w:tcW w:w="682" w:type="pct"/>
          </w:tcPr>
          <w:p w:rsidR="00F8300C" w:rsidRPr="004177B3" w:rsidRDefault="00F8300C" w:rsidP="005B2F0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4177B3">
              <w:rPr>
                <w:rFonts w:ascii="Calibri" w:hAnsi="Calibri"/>
                <w:color w:val="000000"/>
                <w:szCs w:val="20"/>
              </w:rPr>
              <w:t>3,199.0</w:t>
            </w:r>
          </w:p>
        </w:tc>
        <w:tc>
          <w:tcPr>
            <w:tcW w:w="681" w:type="pct"/>
          </w:tcPr>
          <w:p w:rsidR="00F8300C" w:rsidRPr="004177B3" w:rsidRDefault="00F8300C" w:rsidP="005B2F0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4177B3">
              <w:rPr>
                <w:rFonts w:ascii="Calibri" w:hAnsi="Calibri"/>
                <w:color w:val="000000"/>
                <w:szCs w:val="20"/>
              </w:rPr>
              <w:t>8,388.0</w:t>
            </w:r>
          </w:p>
        </w:tc>
      </w:tr>
      <w:tr w:rsidR="00F8300C" w:rsidRPr="004177B3" w:rsidTr="005B2F0D">
        <w:tc>
          <w:tcPr>
            <w:cnfStyle w:val="001000000000" w:firstRow="0" w:lastRow="0" w:firstColumn="1" w:lastColumn="0" w:oddVBand="0" w:evenVBand="0" w:oddHBand="0" w:evenHBand="0" w:firstRowFirstColumn="0" w:firstRowLastColumn="0" w:lastRowFirstColumn="0" w:lastRowLastColumn="0"/>
            <w:tcW w:w="1591" w:type="pct"/>
          </w:tcPr>
          <w:p w:rsidR="00F8300C" w:rsidRPr="004177B3" w:rsidRDefault="00F8300C" w:rsidP="005B2F0D">
            <w:pPr>
              <w:keepNext/>
              <w:keepLines/>
              <w:spacing w:line="240" w:lineRule="auto"/>
              <w:ind w:left="57" w:right="57"/>
              <w:rPr>
                <w:szCs w:val="20"/>
              </w:rPr>
            </w:pPr>
            <w:r w:rsidRPr="004177B3">
              <w:rPr>
                <w:szCs w:val="20"/>
              </w:rPr>
              <w:t>Underlying cash balance</w:t>
            </w:r>
          </w:p>
        </w:tc>
        <w:tc>
          <w:tcPr>
            <w:tcW w:w="682" w:type="pct"/>
          </w:tcPr>
          <w:p w:rsidR="00F8300C" w:rsidRPr="004177B3"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4177B3">
              <w:t xml:space="preserve">-306.0 </w:t>
            </w:r>
          </w:p>
        </w:tc>
        <w:tc>
          <w:tcPr>
            <w:tcW w:w="682" w:type="pct"/>
          </w:tcPr>
          <w:p w:rsidR="00F8300C" w:rsidRPr="004177B3"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4177B3">
              <w:t xml:space="preserve"> 2,196.0 </w:t>
            </w:r>
          </w:p>
        </w:tc>
        <w:tc>
          <w:tcPr>
            <w:tcW w:w="682" w:type="pct"/>
          </w:tcPr>
          <w:p w:rsidR="00F8300C" w:rsidRPr="004177B3"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4177B3">
              <w:rPr>
                <w:rFonts w:ascii="Calibri" w:hAnsi="Calibri"/>
                <w:color w:val="000000"/>
                <w:szCs w:val="20"/>
              </w:rPr>
              <w:t>3,299.0</w:t>
            </w:r>
          </w:p>
        </w:tc>
        <w:tc>
          <w:tcPr>
            <w:tcW w:w="682" w:type="pct"/>
          </w:tcPr>
          <w:p w:rsidR="00F8300C" w:rsidRPr="004177B3"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4177B3">
              <w:rPr>
                <w:rFonts w:ascii="Calibri" w:hAnsi="Calibri"/>
                <w:color w:val="000000"/>
                <w:szCs w:val="20"/>
              </w:rPr>
              <w:t>3,199.0</w:t>
            </w:r>
          </w:p>
        </w:tc>
        <w:tc>
          <w:tcPr>
            <w:tcW w:w="681" w:type="pct"/>
          </w:tcPr>
          <w:p w:rsidR="00F8300C" w:rsidRPr="004177B3" w:rsidRDefault="00F8300C" w:rsidP="005B2F0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4177B3">
              <w:rPr>
                <w:rFonts w:ascii="Calibri" w:hAnsi="Calibri"/>
                <w:color w:val="000000"/>
                <w:szCs w:val="20"/>
              </w:rPr>
              <w:t>8,388.0</w:t>
            </w:r>
          </w:p>
        </w:tc>
      </w:tr>
    </w:tbl>
    <w:p w:rsidR="00F8300C" w:rsidRPr="004177B3" w:rsidRDefault="00F8300C" w:rsidP="000B5C96">
      <w:pPr>
        <w:pStyle w:val="Footnotes"/>
        <w:numPr>
          <w:ilvl w:val="0"/>
          <w:numId w:val="41"/>
        </w:numPr>
        <w:ind w:left="284" w:hanging="284"/>
        <w:rPr>
          <w:lang w:eastAsia="en-AU"/>
        </w:rPr>
      </w:pPr>
      <w:r w:rsidRPr="004177B3">
        <w:rPr>
          <w:lang w:eastAsia="en-AU"/>
        </w:rPr>
        <w:t>A positive number represents an increase in the relevant budget balance, a negative number represents a decrease.</w:t>
      </w:r>
    </w:p>
    <w:p w:rsidR="00F8300C" w:rsidRPr="004177B3" w:rsidRDefault="00F8300C" w:rsidP="000B5C96">
      <w:pPr>
        <w:pStyle w:val="Footnotes"/>
        <w:numPr>
          <w:ilvl w:val="0"/>
          <w:numId w:val="41"/>
        </w:numPr>
        <w:ind w:left="284" w:hanging="284"/>
        <w:rPr>
          <w:lang w:eastAsia="en-AU"/>
        </w:rPr>
      </w:pPr>
      <w:r w:rsidRPr="004177B3">
        <w:rPr>
          <w:lang w:eastAsia="en-AU"/>
        </w:rPr>
        <w:t>Figures may not sum due to rounding.</w:t>
      </w:r>
    </w:p>
    <w:p w:rsidR="00F8300C" w:rsidRPr="004177B3" w:rsidRDefault="00F8300C" w:rsidP="00A47904">
      <w:pPr>
        <w:pStyle w:val="CostingsH7"/>
      </w:pPr>
      <w:r w:rsidRPr="004177B3">
        <w:lastRenderedPageBreak/>
        <w:t>Key assumptions</w:t>
      </w:r>
    </w:p>
    <w:p w:rsidR="00F8300C" w:rsidRPr="004177B3" w:rsidRDefault="00F8300C" w:rsidP="00A47904">
      <w:pPr>
        <w:pStyle w:val="ListBullet"/>
        <w:keepNext/>
        <w:rPr>
          <w:lang w:eastAsia="en-AU"/>
        </w:rPr>
      </w:pPr>
      <w:r w:rsidRPr="004177B3">
        <w:rPr>
          <w:lang w:eastAsia="en-AU"/>
        </w:rPr>
        <w:t>The costing assumes that the enabling legislation would be in place by 1 September 2016.</w:t>
      </w:r>
    </w:p>
    <w:p w:rsidR="00F8300C" w:rsidRPr="004177B3" w:rsidRDefault="00F8300C" w:rsidP="00A47904">
      <w:pPr>
        <w:pStyle w:val="ListBullet"/>
        <w:keepNext/>
        <w:rPr>
          <w:lang w:eastAsia="en-AU"/>
        </w:rPr>
      </w:pPr>
      <w:r w:rsidRPr="004177B3">
        <w:rPr>
          <w:lang w:eastAsia="en-AU"/>
        </w:rPr>
        <w:t>There are a number of potential behavioural responses associated with changes to personal income tax rates, including changes to labour supply and investment decisions.</w:t>
      </w:r>
    </w:p>
    <w:p w:rsidR="00F8300C" w:rsidRPr="004177B3" w:rsidRDefault="00F8300C" w:rsidP="00A753C8">
      <w:pPr>
        <w:pStyle w:val="ListBullet2"/>
        <w:rPr>
          <w:lang w:eastAsia="en-AU"/>
        </w:rPr>
      </w:pPr>
      <w:r w:rsidRPr="004177B3">
        <w:rPr>
          <w:lang w:eastAsia="en-AU"/>
        </w:rPr>
        <w:t>The Parliamentary Budget Office (PBO) has included a behavioural response to account for changes in investment decisions and tax planning arrangements by affected individuals, which results in decreased total income for these individuals.  This may include reducing or redirecting income distributed to individuals from partnerships, trusts or companies, so that this income is taxed at lower rates than 35</w:t>
      </w:r>
      <w:r w:rsidR="00A753C8">
        <w:rPr>
          <w:lang w:eastAsia="en-AU"/>
        </w:rPr>
        <w:t> </w:t>
      </w:r>
      <w:r w:rsidRPr="004177B3">
        <w:rPr>
          <w:lang w:eastAsia="en-AU"/>
        </w:rPr>
        <w:t>per cent.</w:t>
      </w:r>
    </w:p>
    <w:p w:rsidR="00F8300C" w:rsidRPr="004177B3" w:rsidRDefault="00F8300C" w:rsidP="00A753C8">
      <w:pPr>
        <w:pStyle w:val="ListBullet3"/>
        <w:rPr>
          <w:lang w:eastAsia="en-AU"/>
        </w:rPr>
      </w:pPr>
      <w:r w:rsidRPr="004177B3">
        <w:t>The PBO has assumed that individuals with incomes in excess of the threshold have a total income elasticity of 0.2.</w:t>
      </w:r>
      <w:r w:rsidRPr="004177B3">
        <w:rPr>
          <w:vertAlign w:val="superscript"/>
        </w:rPr>
        <w:footnoteReference w:id="2"/>
      </w:r>
    </w:p>
    <w:p w:rsidR="00F8300C" w:rsidRPr="004177B3" w:rsidRDefault="00F8300C" w:rsidP="00A753C8">
      <w:pPr>
        <w:pStyle w:val="ListBullet2"/>
        <w:rPr>
          <w:lang w:eastAsia="en-AU"/>
        </w:rPr>
      </w:pPr>
      <w:r w:rsidRPr="004177B3">
        <w:rPr>
          <w:lang w:eastAsia="en-AU"/>
        </w:rPr>
        <w:t>The costing does not account for changes in labour supply as a result of this proposal.  While studies indicate that labour supply, particularly by secondary earners, decreases in response to increases in tax rates, there is considerable uncertainty surrounding the magnitude and timing of the effect on employment.</w:t>
      </w:r>
    </w:p>
    <w:p w:rsidR="00F8300C" w:rsidRPr="004177B3" w:rsidRDefault="00F8300C" w:rsidP="00A753C8">
      <w:pPr>
        <w:pStyle w:val="ListBullet"/>
        <w:rPr>
          <w:lang w:eastAsia="en-AU"/>
        </w:rPr>
      </w:pPr>
      <w:r w:rsidRPr="004177B3">
        <w:rPr>
          <w:lang w:eastAsia="en-AU"/>
        </w:rPr>
        <w:t>It has been assumed that the additional tax payable under the proposal would be collected on assessment when individuals lodge their tax returns.  There would be no change to ‘pay as you go’ arrangements.</w:t>
      </w:r>
    </w:p>
    <w:p w:rsidR="00F8300C" w:rsidRPr="004177B3" w:rsidRDefault="00F8300C" w:rsidP="00A753C8">
      <w:pPr>
        <w:pStyle w:val="ListBullet"/>
        <w:rPr>
          <w:lang w:eastAsia="en-AU"/>
        </w:rPr>
      </w:pPr>
      <w:r w:rsidRPr="004177B3">
        <w:rPr>
          <w:lang w:eastAsia="en-AU"/>
        </w:rPr>
        <w:t>The proposal effectively removes tax deductibility of certain expenses for affected individuals, which increases the after-tax cost of these goods or services.  This may result in reduced expenditure on these goods or services.  The budgetary impacts of these broader macroeconomic implications have not been estimated.</w:t>
      </w:r>
    </w:p>
    <w:p w:rsidR="00F8300C" w:rsidRPr="004177B3" w:rsidRDefault="00F8300C" w:rsidP="00A753C8">
      <w:pPr>
        <w:pStyle w:val="ListBullet"/>
        <w:rPr>
          <w:lang w:eastAsia="en-AU"/>
        </w:rPr>
      </w:pPr>
      <w:r w:rsidRPr="004177B3">
        <w:rPr>
          <w:lang w:eastAsia="en-AU"/>
        </w:rPr>
        <w:t>The PBO expects that some individuals would bring forward income and/or deductions prior to the proposal’s implementation date of 1 September 2016.  However this impact is expected to be small and has been rounded to zero.</w:t>
      </w:r>
    </w:p>
    <w:p w:rsidR="00F8300C" w:rsidRPr="004177B3" w:rsidRDefault="00F8300C" w:rsidP="00905B06">
      <w:pPr>
        <w:pStyle w:val="CostingsH7"/>
      </w:pPr>
      <w:r w:rsidRPr="004177B3">
        <w:t>Methodology</w:t>
      </w:r>
    </w:p>
    <w:p w:rsidR="00F8300C" w:rsidRPr="004177B3" w:rsidRDefault="00F8300C" w:rsidP="00A753C8">
      <w:pPr>
        <w:pStyle w:val="ListBullet"/>
        <w:rPr>
          <w:lang w:eastAsia="en-AU"/>
        </w:rPr>
      </w:pPr>
      <w:r w:rsidRPr="004177B3">
        <w:rPr>
          <w:lang w:eastAsia="en-AU"/>
        </w:rPr>
        <w:t>A weighted sample of de</w:t>
      </w:r>
      <w:r w:rsidRPr="004177B3">
        <w:rPr>
          <w:lang w:eastAsia="en-AU"/>
        </w:rPr>
        <w:noBreakHyphen/>
        <w:t>identified personal income tax returns for 2012-13 from the ATO has been used to estimate the revenue impact of the proposal.  For each individual in the data, future tax liabilities have been estimated under both current and proposed policy settings after accounting for behavioural responses.  The difference between current policy and the proposal gives the costing.</w:t>
      </w:r>
    </w:p>
    <w:p w:rsidR="00F8300C" w:rsidRPr="004177B3" w:rsidRDefault="00F8300C" w:rsidP="00A753C8">
      <w:pPr>
        <w:pStyle w:val="ListBullet"/>
        <w:rPr>
          <w:lang w:eastAsia="en-AU"/>
        </w:rPr>
      </w:pPr>
      <w:r w:rsidRPr="004177B3">
        <w:rPr>
          <w:lang w:eastAsia="en-AU"/>
        </w:rPr>
        <w:t xml:space="preserve">Revenue estimates were adjusted to account for the interactions between this proposal and the </w:t>
      </w:r>
      <w:r w:rsidRPr="004177B3">
        <w:rPr>
          <w:i/>
          <w:lang w:eastAsia="en-AU"/>
        </w:rPr>
        <w:t>Top Marginal Tax Rates</w:t>
      </w:r>
      <w:r w:rsidRPr="004177B3">
        <w:rPr>
          <w:lang w:eastAsia="en-AU"/>
        </w:rPr>
        <w:t xml:space="preserve"> proposal.</w:t>
      </w:r>
    </w:p>
    <w:p w:rsidR="00F8300C" w:rsidRPr="004177B3" w:rsidRDefault="00F8300C" w:rsidP="00A753C8">
      <w:pPr>
        <w:pStyle w:val="ListBullet"/>
        <w:rPr>
          <w:lang w:eastAsia="en-AU"/>
        </w:rPr>
      </w:pPr>
      <w:r w:rsidRPr="004177B3">
        <w:rPr>
          <w:lang w:eastAsia="en-AU"/>
        </w:rPr>
        <w:lastRenderedPageBreak/>
        <w:t>The modelling takes account of the timing of tax collections and the part</w:t>
      </w:r>
      <w:r w:rsidRPr="004177B3">
        <w:rPr>
          <w:lang w:eastAsia="en-AU"/>
        </w:rPr>
        <w:noBreakHyphen/>
        <w:t>year effect of the proposal.</w:t>
      </w:r>
    </w:p>
    <w:p w:rsidR="00F8300C" w:rsidRPr="004177B3" w:rsidRDefault="00F8300C" w:rsidP="00A753C8">
      <w:pPr>
        <w:pStyle w:val="ListBullet"/>
        <w:rPr>
          <w:lang w:eastAsia="en-AU"/>
        </w:rPr>
      </w:pPr>
      <w:r w:rsidRPr="004177B3">
        <w:rPr>
          <w:lang w:eastAsia="en-AU"/>
        </w:rPr>
        <w:t>The PBO’s estimate of departmental expenses is based on analysis of previous policies with similar administrative complexity.   This reflects both the initial implementation and ongoing administration costs of the proposal.</w:t>
      </w:r>
    </w:p>
    <w:p w:rsidR="00F8300C" w:rsidRPr="004177B3" w:rsidRDefault="00F8300C" w:rsidP="00A753C8">
      <w:pPr>
        <w:pStyle w:val="ListBullet"/>
        <w:rPr>
          <w:lang w:eastAsia="en-AU"/>
        </w:rPr>
      </w:pPr>
      <w:r w:rsidRPr="004177B3">
        <w:rPr>
          <w:lang w:eastAsia="en-AU"/>
        </w:rPr>
        <w:t>Revenue estimates have been rounded to the nearest $50 million.  Departmental expenses have been rounded to the nearest $1 million.</w:t>
      </w:r>
    </w:p>
    <w:p w:rsidR="00F8300C" w:rsidRPr="004177B3" w:rsidRDefault="00F8300C" w:rsidP="00E1733B">
      <w:pPr>
        <w:pStyle w:val="Heading6"/>
      </w:pPr>
      <w:r w:rsidRPr="004177B3">
        <w:t>Data sources</w:t>
      </w:r>
    </w:p>
    <w:p w:rsidR="00F8300C" w:rsidRPr="004177B3" w:rsidRDefault="00F8300C" w:rsidP="00A753C8">
      <w:pPr>
        <w:pStyle w:val="ListBullet"/>
        <w:rPr>
          <w:lang w:eastAsia="en-AU"/>
        </w:rPr>
      </w:pPr>
      <w:r w:rsidRPr="004177B3">
        <w:rPr>
          <w:lang w:eastAsia="en-AU"/>
        </w:rPr>
        <w:t>16 per cent sample of de-identified personal income tax and superannuation records for the 2012</w:t>
      </w:r>
      <w:r w:rsidRPr="004177B3">
        <w:rPr>
          <w:lang w:eastAsia="en-AU"/>
        </w:rPr>
        <w:noBreakHyphen/>
        <w:t>13 financial year from the ATO.</w:t>
      </w:r>
    </w:p>
    <w:p w:rsidR="00F8300C" w:rsidRPr="004177B3" w:rsidRDefault="00F8300C" w:rsidP="00F8300C">
      <w:pPr>
        <w:spacing w:before="113" w:line="260" w:lineRule="atLeast"/>
        <w:rPr>
          <w:sz w:val="20"/>
          <w:szCs w:val="20"/>
        </w:rPr>
      </w:pPr>
    </w:p>
    <w:p w:rsidR="00F8300C" w:rsidRPr="004177B3" w:rsidRDefault="00F8300C" w:rsidP="000B5C96">
      <w:pPr>
        <w:numPr>
          <w:ilvl w:val="0"/>
          <w:numId w:val="7"/>
        </w:numPr>
        <w:spacing w:before="113" w:after="114" w:line="260" w:lineRule="atLeast"/>
        <w:ind w:left="284" w:hanging="284"/>
        <w:rPr>
          <w:sz w:val="20"/>
          <w:szCs w:val="20"/>
          <w:highlight w:val="yellow"/>
        </w:rPr>
        <w:sectPr w:rsidR="00F8300C" w:rsidRPr="004177B3" w:rsidSect="007E3C99">
          <w:headerReference w:type="even" r:id="rId76"/>
          <w:headerReference w:type="default" r:id="rId77"/>
          <w:footerReference w:type="even" r:id="rId78"/>
          <w:footerReference w:type="default" r:id="rId79"/>
          <w:headerReference w:type="first" r:id="rId80"/>
          <w:footerReference w:type="first" r:id="rId81"/>
          <w:footnotePr>
            <w:numRestart w:val="eachSect"/>
          </w:footnotePr>
          <w:pgSz w:w="11906" w:h="16838"/>
          <w:pgMar w:top="1361" w:right="1797" w:bottom="1474" w:left="1797" w:header="283" w:footer="454" w:gutter="0"/>
          <w:cols w:space="708"/>
          <w:docGrid w:linePitch="360"/>
        </w:sectPr>
      </w:pPr>
    </w:p>
    <w:p w:rsidR="00F8300C" w:rsidRPr="004177B3" w:rsidRDefault="00F8300C" w:rsidP="007A4BF9">
      <w:pPr>
        <w:pStyle w:val="Heading6"/>
      </w:pPr>
      <w:r w:rsidRPr="004177B3">
        <w:lastRenderedPageBreak/>
        <w:t>Attachment A: High Income Tax Guarantee (The Buffett Rule)—financial implications</w:t>
      </w:r>
    </w:p>
    <w:p w:rsidR="00F8300C" w:rsidRPr="004177B3" w:rsidRDefault="00F8300C" w:rsidP="00905B06">
      <w:pPr>
        <w:pStyle w:val="Caption"/>
      </w:pPr>
      <w:r w:rsidRPr="004177B3">
        <w:t>Table A1: High Income Tax Guarantee (The Buffett Rule)—financial implications (outturn prices)</w:t>
      </w:r>
      <w:r w:rsidRPr="004177B3">
        <w:rPr>
          <w:vertAlign w:val="superscript"/>
        </w:rPr>
        <w:t>(a)(b)</w:t>
      </w:r>
    </w:p>
    <w:tbl>
      <w:tblPr>
        <w:tblStyle w:val="TableGrid6"/>
        <w:tblW w:w="4431" w:type="pct"/>
        <w:tblLayout w:type="fixed"/>
        <w:tblLook w:val="0680" w:firstRow="0" w:lastRow="0" w:firstColumn="1" w:lastColumn="0" w:noHBand="1" w:noVBand="1"/>
      </w:tblPr>
      <w:tblGrid>
        <w:gridCol w:w="1603"/>
        <w:gridCol w:w="1152"/>
        <w:gridCol w:w="1158"/>
        <w:gridCol w:w="1158"/>
        <w:gridCol w:w="1152"/>
        <w:gridCol w:w="1152"/>
      </w:tblGrid>
      <w:tr w:rsidR="00F8300C" w:rsidRPr="004177B3" w:rsidTr="005B2F0D">
        <w:trPr>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D7DDE9"/>
          </w:tcPr>
          <w:p w:rsidR="00F8300C" w:rsidRPr="004177B3" w:rsidRDefault="00F8300C" w:rsidP="005B2F0D">
            <w:pPr>
              <w:keepNext/>
              <w:keepLines/>
              <w:ind w:left="57" w:right="57"/>
            </w:pPr>
            <w:r w:rsidRPr="004177B3">
              <w:t>($m)</w:t>
            </w:r>
          </w:p>
        </w:tc>
        <w:tc>
          <w:tcPr>
            <w:tcW w:w="765" w:type="pct"/>
            <w:shd w:val="clear" w:color="auto" w:fill="D7DDE9"/>
          </w:tcPr>
          <w:p w:rsidR="00F8300C" w:rsidRPr="004177B3"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4177B3">
              <w:t>2016–17</w:t>
            </w:r>
          </w:p>
        </w:tc>
        <w:tc>
          <w:tcPr>
            <w:tcW w:w="769" w:type="pct"/>
            <w:shd w:val="clear" w:color="auto" w:fill="D7DDE9"/>
          </w:tcPr>
          <w:p w:rsidR="00F8300C" w:rsidRPr="004177B3"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4177B3">
              <w:t>2017–18</w:t>
            </w:r>
          </w:p>
        </w:tc>
        <w:tc>
          <w:tcPr>
            <w:tcW w:w="769" w:type="pct"/>
            <w:shd w:val="clear" w:color="auto" w:fill="D7DDE9"/>
          </w:tcPr>
          <w:p w:rsidR="00F8300C" w:rsidRPr="004177B3"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4177B3">
              <w:t>2018–19</w:t>
            </w:r>
          </w:p>
        </w:tc>
        <w:tc>
          <w:tcPr>
            <w:tcW w:w="765" w:type="pct"/>
            <w:shd w:val="clear" w:color="auto" w:fill="D7DDE9"/>
          </w:tcPr>
          <w:p w:rsidR="00F8300C" w:rsidRPr="004177B3"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pPr>
            <w:r w:rsidRPr="004177B3">
              <w:t>2019–20</w:t>
            </w:r>
          </w:p>
        </w:tc>
        <w:tc>
          <w:tcPr>
            <w:tcW w:w="765" w:type="pct"/>
            <w:shd w:val="clear" w:color="auto" w:fill="D7DDE9"/>
          </w:tcPr>
          <w:p w:rsidR="00F8300C" w:rsidRPr="004177B3" w:rsidRDefault="00F8300C" w:rsidP="005B2F0D">
            <w:pPr>
              <w:keepNext/>
              <w:keepLines/>
              <w:jc w:val="right"/>
              <w:cnfStyle w:val="000000000000" w:firstRow="0" w:lastRow="0" w:firstColumn="0" w:lastColumn="0" w:oddVBand="0" w:evenVBand="0" w:oddHBand="0" w:evenHBand="0" w:firstRowFirstColumn="0" w:firstRowLastColumn="0" w:lastRowFirstColumn="0" w:lastRowLastColumn="0"/>
              <w:rPr>
                <w:b/>
              </w:rPr>
            </w:pPr>
            <w:r w:rsidRPr="004177B3">
              <w:rPr>
                <w:b/>
              </w:rPr>
              <w:t>Total to 2019–20</w:t>
            </w:r>
          </w:p>
        </w:tc>
      </w:tr>
      <w:tr w:rsidR="00F8300C" w:rsidRPr="004177B3" w:rsidTr="005B2F0D">
        <w:trPr>
          <w:cantSplit/>
        </w:trPr>
        <w:tc>
          <w:tcPr>
            <w:cnfStyle w:val="001000000000" w:firstRow="0" w:lastRow="0" w:firstColumn="1" w:lastColumn="0" w:oddVBand="0" w:evenVBand="0" w:oddHBand="0" w:evenHBand="0" w:firstRowFirstColumn="0" w:firstRowLastColumn="0" w:lastRowFirstColumn="0" w:lastRowLastColumn="0"/>
            <w:tcW w:w="1063" w:type="pct"/>
          </w:tcPr>
          <w:p w:rsidR="00F8300C" w:rsidRPr="004177B3" w:rsidRDefault="00F8300C" w:rsidP="005B2F0D">
            <w:pPr>
              <w:keepNext/>
              <w:keepLines/>
              <w:ind w:left="57" w:right="57"/>
            </w:pPr>
            <w:r w:rsidRPr="004177B3">
              <w:t>Total revenue</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pPr>
            <w:r w:rsidRPr="004177B3">
              <w:t>-300.0</w:t>
            </w:r>
          </w:p>
        </w:tc>
        <w:tc>
          <w:tcPr>
            <w:tcW w:w="769"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pPr>
            <w:r w:rsidRPr="004177B3">
              <w:t>2,200.0</w:t>
            </w:r>
          </w:p>
        </w:tc>
        <w:tc>
          <w:tcPr>
            <w:tcW w:w="769"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pPr>
            <w:r w:rsidRPr="004177B3">
              <w:t>3,300.0</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pPr>
            <w:r w:rsidRPr="004177B3">
              <w:t>3,200.0</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b/>
              </w:rPr>
            </w:pPr>
            <w:r w:rsidRPr="004177B3">
              <w:rPr>
                <w:b/>
              </w:rPr>
              <w:t>8,400.0</w:t>
            </w:r>
          </w:p>
        </w:tc>
      </w:tr>
      <w:tr w:rsidR="00F8300C" w:rsidRPr="004177B3" w:rsidTr="005B2F0D">
        <w:trPr>
          <w:cantSplit/>
        </w:trPr>
        <w:tc>
          <w:tcPr>
            <w:cnfStyle w:val="001000000000" w:firstRow="0" w:lastRow="0" w:firstColumn="1" w:lastColumn="0" w:oddVBand="0" w:evenVBand="0" w:oddHBand="0" w:evenHBand="0" w:firstRowFirstColumn="0" w:firstRowLastColumn="0" w:lastRowFirstColumn="0" w:lastRowLastColumn="0"/>
            <w:tcW w:w="1063" w:type="pct"/>
          </w:tcPr>
          <w:p w:rsidR="00F8300C" w:rsidRPr="004177B3" w:rsidRDefault="00F8300C" w:rsidP="005B2F0D">
            <w:pPr>
              <w:keepNext/>
              <w:keepLines/>
              <w:ind w:left="57" w:right="57"/>
              <w:rPr>
                <w:i/>
              </w:rPr>
            </w:pPr>
            <w:r w:rsidRPr="004177B3">
              <w:rPr>
                <w:i/>
              </w:rPr>
              <w:t>High Income Tax Guarantee</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i/>
              </w:rPr>
            </w:pPr>
            <w:r w:rsidRPr="004177B3">
              <w:rPr>
                <w:i/>
              </w:rPr>
              <w:t>-300.0</w:t>
            </w:r>
          </w:p>
        </w:tc>
        <w:tc>
          <w:tcPr>
            <w:tcW w:w="769"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i/>
              </w:rPr>
            </w:pPr>
            <w:r w:rsidRPr="004177B3">
              <w:rPr>
                <w:i/>
              </w:rPr>
              <w:t>2,450.0</w:t>
            </w:r>
          </w:p>
        </w:tc>
        <w:tc>
          <w:tcPr>
            <w:tcW w:w="769"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i/>
              </w:rPr>
            </w:pPr>
            <w:r w:rsidRPr="004177B3">
              <w:rPr>
                <w:i/>
              </w:rPr>
              <w:t>3,700.0</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i/>
              </w:rPr>
            </w:pPr>
            <w:r w:rsidRPr="004177B3">
              <w:rPr>
                <w:i/>
              </w:rPr>
              <w:t>3,650.0</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b/>
                <w:i/>
              </w:rPr>
            </w:pPr>
            <w:r w:rsidRPr="004177B3">
              <w:rPr>
                <w:b/>
                <w:i/>
              </w:rPr>
              <w:t>9,500.0</w:t>
            </w:r>
          </w:p>
        </w:tc>
      </w:tr>
      <w:tr w:rsidR="00F8300C" w:rsidRPr="004177B3" w:rsidTr="005B2F0D">
        <w:trPr>
          <w:cantSplit/>
        </w:trPr>
        <w:tc>
          <w:tcPr>
            <w:cnfStyle w:val="001000000000" w:firstRow="0" w:lastRow="0" w:firstColumn="1" w:lastColumn="0" w:oddVBand="0" w:evenVBand="0" w:oddHBand="0" w:evenHBand="0" w:firstRowFirstColumn="0" w:firstRowLastColumn="0" w:lastRowFirstColumn="0" w:lastRowLastColumn="0"/>
            <w:tcW w:w="1063" w:type="pct"/>
          </w:tcPr>
          <w:p w:rsidR="00F8300C" w:rsidRPr="004177B3" w:rsidRDefault="00F8300C" w:rsidP="005B2F0D">
            <w:pPr>
              <w:spacing w:before="114" w:after="114"/>
              <w:ind w:left="57" w:right="57"/>
              <w:rPr>
                <w:i/>
              </w:rPr>
            </w:pPr>
            <w:r w:rsidRPr="004177B3">
              <w:rPr>
                <w:i/>
              </w:rPr>
              <w:t>Interactions with Top Marginal Tax Rates (GRN005) proposal</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i/>
              </w:rPr>
            </w:pPr>
            <w:r w:rsidRPr="004177B3">
              <w:rPr>
                <w:i/>
              </w:rPr>
              <w:t>..</w:t>
            </w:r>
          </w:p>
        </w:tc>
        <w:tc>
          <w:tcPr>
            <w:tcW w:w="769"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i/>
              </w:rPr>
            </w:pPr>
            <w:r w:rsidRPr="004177B3">
              <w:rPr>
                <w:i/>
              </w:rPr>
              <w:t>-250.0</w:t>
            </w:r>
          </w:p>
        </w:tc>
        <w:tc>
          <w:tcPr>
            <w:tcW w:w="769"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i/>
              </w:rPr>
            </w:pPr>
            <w:r w:rsidRPr="004177B3">
              <w:rPr>
                <w:i/>
              </w:rPr>
              <w:t>-400.0</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i/>
              </w:rPr>
            </w:pPr>
            <w:r w:rsidRPr="004177B3">
              <w:rPr>
                <w:i/>
              </w:rPr>
              <w:t>-450.0</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b/>
                <w:i/>
              </w:rPr>
            </w:pPr>
            <w:r w:rsidRPr="004177B3">
              <w:rPr>
                <w:b/>
                <w:i/>
              </w:rPr>
              <w:t>-1,100.0</w:t>
            </w:r>
          </w:p>
        </w:tc>
      </w:tr>
      <w:tr w:rsidR="00F8300C" w:rsidRPr="004177B3" w:rsidTr="005B2F0D">
        <w:trPr>
          <w:cantSplit/>
        </w:trPr>
        <w:tc>
          <w:tcPr>
            <w:cnfStyle w:val="001000000000" w:firstRow="0" w:lastRow="0" w:firstColumn="1" w:lastColumn="0" w:oddVBand="0" w:evenVBand="0" w:oddHBand="0" w:evenHBand="0" w:firstRowFirstColumn="0" w:firstRowLastColumn="0" w:lastRowFirstColumn="0" w:lastRowLastColumn="0"/>
            <w:tcW w:w="1063" w:type="pct"/>
          </w:tcPr>
          <w:p w:rsidR="00F8300C" w:rsidRPr="004177B3" w:rsidRDefault="00F8300C" w:rsidP="005B2F0D">
            <w:pPr>
              <w:keepNext/>
              <w:keepLines/>
              <w:ind w:left="57" w:right="57"/>
            </w:pPr>
            <w:r w:rsidRPr="004177B3">
              <w:t>Departmental expense (ATO)</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pPr>
            <w:r w:rsidRPr="004177B3">
              <w:t>-6.0</w:t>
            </w:r>
          </w:p>
        </w:tc>
        <w:tc>
          <w:tcPr>
            <w:tcW w:w="769"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pPr>
            <w:r w:rsidRPr="004177B3">
              <w:t>-4.0</w:t>
            </w:r>
          </w:p>
        </w:tc>
        <w:tc>
          <w:tcPr>
            <w:tcW w:w="769"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pPr>
            <w:r w:rsidRPr="004177B3">
              <w:t>-1.0</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pPr>
            <w:r w:rsidRPr="004177B3">
              <w:t>-1.0</w:t>
            </w:r>
          </w:p>
        </w:tc>
        <w:tc>
          <w:tcPr>
            <w:tcW w:w="765" w:type="pct"/>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b/>
              </w:rPr>
            </w:pPr>
            <w:r w:rsidRPr="004177B3">
              <w:rPr>
                <w:b/>
              </w:rPr>
              <w:t>-12.0</w:t>
            </w:r>
          </w:p>
        </w:tc>
      </w:tr>
      <w:tr w:rsidR="00F8300C" w:rsidRPr="004177B3" w:rsidTr="005B2F0D">
        <w:trPr>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E9ECF3"/>
          </w:tcPr>
          <w:p w:rsidR="00F8300C" w:rsidRPr="004177B3" w:rsidRDefault="00F8300C" w:rsidP="005B2F0D">
            <w:pPr>
              <w:keepNext/>
              <w:keepLines/>
              <w:ind w:left="57" w:right="57"/>
              <w:rPr>
                <w:b/>
              </w:rPr>
            </w:pPr>
            <w:r w:rsidRPr="004177B3">
              <w:rPr>
                <w:b/>
              </w:rPr>
              <w:t>Total</w:t>
            </w:r>
          </w:p>
        </w:tc>
        <w:tc>
          <w:tcPr>
            <w:tcW w:w="765" w:type="pct"/>
            <w:shd w:val="clear" w:color="auto" w:fill="E9ECF3"/>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b/>
              </w:rPr>
            </w:pPr>
            <w:r w:rsidRPr="004177B3">
              <w:rPr>
                <w:b/>
              </w:rPr>
              <w:t>-306.0</w:t>
            </w:r>
          </w:p>
        </w:tc>
        <w:tc>
          <w:tcPr>
            <w:tcW w:w="769" w:type="pct"/>
            <w:shd w:val="clear" w:color="auto" w:fill="E9ECF3"/>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b/>
              </w:rPr>
            </w:pPr>
            <w:r w:rsidRPr="004177B3">
              <w:rPr>
                <w:b/>
              </w:rPr>
              <w:t>2,196.0</w:t>
            </w:r>
          </w:p>
        </w:tc>
        <w:tc>
          <w:tcPr>
            <w:tcW w:w="769" w:type="pct"/>
            <w:shd w:val="clear" w:color="auto" w:fill="E9ECF3"/>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b/>
              </w:rPr>
            </w:pPr>
            <w:r w:rsidRPr="004177B3">
              <w:rPr>
                <w:b/>
              </w:rPr>
              <w:t>3,299.0</w:t>
            </w:r>
          </w:p>
        </w:tc>
        <w:tc>
          <w:tcPr>
            <w:tcW w:w="765" w:type="pct"/>
            <w:shd w:val="clear" w:color="auto" w:fill="E9ECF3"/>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b/>
              </w:rPr>
            </w:pPr>
            <w:r w:rsidRPr="004177B3">
              <w:rPr>
                <w:b/>
              </w:rPr>
              <w:t>3,199.0</w:t>
            </w:r>
          </w:p>
        </w:tc>
        <w:tc>
          <w:tcPr>
            <w:tcW w:w="765" w:type="pct"/>
            <w:shd w:val="clear" w:color="auto" w:fill="E9ECF3"/>
          </w:tcPr>
          <w:p w:rsidR="00F8300C" w:rsidRPr="004177B3" w:rsidRDefault="00F8300C" w:rsidP="005B2F0D">
            <w:pPr>
              <w:spacing w:before="114" w:after="114"/>
              <w:jc w:val="right"/>
              <w:cnfStyle w:val="000000000000" w:firstRow="0" w:lastRow="0" w:firstColumn="0" w:lastColumn="0" w:oddVBand="0" w:evenVBand="0" w:oddHBand="0" w:evenHBand="0" w:firstRowFirstColumn="0" w:firstRowLastColumn="0" w:lastRowFirstColumn="0" w:lastRowLastColumn="0"/>
              <w:rPr>
                <w:b/>
              </w:rPr>
            </w:pPr>
            <w:r w:rsidRPr="004177B3">
              <w:rPr>
                <w:b/>
              </w:rPr>
              <w:t>8,388.0</w:t>
            </w:r>
          </w:p>
        </w:tc>
      </w:tr>
    </w:tbl>
    <w:p w:rsidR="00F8300C" w:rsidRPr="004177B3" w:rsidRDefault="00F8300C" w:rsidP="000B5C96">
      <w:pPr>
        <w:pStyle w:val="Footnotes"/>
        <w:numPr>
          <w:ilvl w:val="0"/>
          <w:numId w:val="42"/>
        </w:numPr>
        <w:ind w:left="284" w:hanging="284"/>
      </w:pPr>
      <w:r w:rsidRPr="004177B3">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  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F8300C" w:rsidRPr="004177B3" w:rsidRDefault="00F8300C" w:rsidP="000B5C96">
      <w:pPr>
        <w:pStyle w:val="Footnotes"/>
        <w:numPr>
          <w:ilvl w:val="0"/>
          <w:numId w:val="42"/>
        </w:numPr>
        <w:ind w:left="284" w:hanging="284"/>
      </w:pPr>
      <w:r w:rsidRPr="004177B3">
        <w:t>Figures may not sum to totals due to rounding.</w:t>
      </w:r>
    </w:p>
    <w:p w:rsidR="00F8300C" w:rsidRPr="004177B3" w:rsidRDefault="00F8300C" w:rsidP="0029223C">
      <w:pPr>
        <w:pStyle w:val="Footnotes"/>
        <w:numPr>
          <w:ilvl w:val="0"/>
          <w:numId w:val="0"/>
        </w:numPr>
        <w:ind w:left="284" w:hanging="284"/>
      </w:pPr>
      <w:r w:rsidRPr="004177B3">
        <w:t>..</w:t>
      </w:r>
      <w:r w:rsidR="0029223C">
        <w:tab/>
      </w:r>
      <w:r w:rsidRPr="004177B3">
        <w:tab/>
        <w:t>Not zero, but rounded to zero.</w:t>
      </w:r>
    </w:p>
    <w:p w:rsidR="007E3C99" w:rsidRDefault="007E3C99" w:rsidP="000B5C96">
      <w:pPr>
        <w:pStyle w:val="Footnotes"/>
        <w:numPr>
          <w:ilvl w:val="0"/>
          <w:numId w:val="42"/>
        </w:numPr>
        <w:sectPr w:rsidR="007E3C99" w:rsidSect="007E3C99">
          <w:headerReference w:type="even" r:id="rId82"/>
          <w:headerReference w:type="default" r:id="rId83"/>
          <w:footerReference w:type="even" r:id="rId84"/>
          <w:footerReference w:type="default" r:id="rId85"/>
          <w:headerReference w:type="first" r:id="rId86"/>
          <w:footerReference w:type="first" r:id="rId87"/>
          <w:pgSz w:w="11906" w:h="16838"/>
          <w:pgMar w:top="1361" w:right="1797" w:bottom="1474" w:left="1797" w:header="283" w:footer="454" w:gutter="0"/>
          <w:cols w:space="708"/>
          <w:docGrid w:linePitch="360"/>
        </w:sectPr>
      </w:pPr>
    </w:p>
    <w:p w:rsidR="000714DE" w:rsidRDefault="000714DE" w:rsidP="007A4BF9">
      <w:pPr>
        <w:pStyle w:val="Heading5"/>
        <w:rPr>
          <w:rFonts w:ascii="Calibri" w:eastAsia="Calibri" w:hAnsi="Calibri"/>
          <w:noProof/>
          <w:lang w:eastAsia="en-AU"/>
        </w:rPr>
      </w:pPr>
      <w:bookmarkStart w:id="19" w:name="_Toc458015774"/>
      <w:bookmarkStart w:id="20" w:name="_Toc458090613"/>
      <w:r>
        <w:rPr>
          <w:rFonts w:eastAsia="Times New Roman"/>
        </w:rPr>
        <w:lastRenderedPageBreak/>
        <w:t>GRN007</w:t>
      </w:r>
      <w:r w:rsidRPr="001C46AF">
        <w:rPr>
          <w:rFonts w:eastAsia="Times New Roman"/>
        </w:rPr>
        <w:t xml:space="preserve">: </w:t>
      </w:r>
      <w:r>
        <w:rPr>
          <w:rFonts w:eastAsia="Times New Roman"/>
        </w:rPr>
        <w:t>Restoring Trust in Trusts</w:t>
      </w:r>
      <w:bookmarkEnd w:id="19"/>
      <w:bookmarkEnd w:id="20"/>
    </w:p>
    <w:p w:rsidR="000714DE" w:rsidRDefault="000714DE" w:rsidP="007A4BF9">
      <w:pPr>
        <w:pStyle w:val="BodyText"/>
      </w:pPr>
      <w:r>
        <w:rPr>
          <w:noProof/>
          <w:lang w:eastAsia="en-AU"/>
        </w:rPr>
        <w:drawing>
          <wp:inline distT="0" distB="0" distL="0" distR="0" wp14:anchorId="4898B13D" wp14:editId="24D447B4">
            <wp:extent cx="2696845" cy="572135"/>
            <wp:effectExtent l="0" t="0" r="8255" b="0"/>
            <wp:docPr id="2" name="Picture 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316289" w:rsidRPr="00316289" w:rsidRDefault="00316289" w:rsidP="007A4BF9">
      <w:pPr>
        <w:pStyle w:val="Heading6"/>
        <w:rPr>
          <w:rFonts w:eastAsia="Calibri"/>
        </w:rPr>
      </w:pPr>
      <w:r w:rsidRPr="00316289">
        <w:rPr>
          <w:rFonts w:eastAsia="Calibri"/>
        </w:rPr>
        <w:t>Policy costing—during the caretaker period for the 2016 general election</w:t>
      </w:r>
    </w:p>
    <w:tbl>
      <w:tblPr>
        <w:tblStyle w:val="Style1"/>
        <w:tblW w:w="8528" w:type="dxa"/>
        <w:tblLayout w:type="fixed"/>
        <w:tblLook w:val="04A0" w:firstRow="1" w:lastRow="0" w:firstColumn="1" w:lastColumn="0" w:noHBand="0" w:noVBand="1"/>
      </w:tblPr>
      <w:tblGrid>
        <w:gridCol w:w="2943"/>
        <w:gridCol w:w="5585"/>
      </w:tblGrid>
      <w:tr w:rsidR="00316289" w:rsidRPr="00AF49FE" w:rsidTr="00567E62">
        <w:trPr>
          <w:cnfStyle w:val="100000000000" w:firstRow="1" w:lastRow="0" w:firstColumn="0" w:lastColumn="0" w:oddVBand="0" w:evenVBand="0" w:oddHBand="0" w:evenHBand="0" w:firstRowFirstColumn="0" w:firstRowLastColumn="0" w:lastRowFirstColumn="0" w:lastRowLastColumn="0"/>
        </w:trPr>
        <w:tc>
          <w:tcPr>
            <w:tcW w:w="2943" w:type="dxa"/>
          </w:tcPr>
          <w:p w:rsidR="00316289" w:rsidRPr="00AF49FE" w:rsidRDefault="00316289" w:rsidP="00AF49FE">
            <w:pPr>
              <w:pStyle w:val="PullOutBoxHeading"/>
              <w:rPr>
                <w:b/>
                <w:sz w:val="22"/>
              </w:rPr>
            </w:pPr>
            <w:r w:rsidRPr="00AF49FE">
              <w:rPr>
                <w:b/>
                <w:sz w:val="22"/>
              </w:rPr>
              <w:t>Name of proposal:</w:t>
            </w:r>
          </w:p>
        </w:tc>
        <w:tc>
          <w:tcPr>
            <w:tcW w:w="5585" w:type="dxa"/>
          </w:tcPr>
          <w:p w:rsidR="00316289" w:rsidRPr="00AF49FE" w:rsidRDefault="00316289" w:rsidP="00AF49FE">
            <w:pPr>
              <w:pStyle w:val="PullOutBoxHeading"/>
              <w:rPr>
                <w:b/>
                <w:sz w:val="22"/>
              </w:rPr>
            </w:pPr>
            <w:r w:rsidRPr="00AF49FE">
              <w:rPr>
                <w:b/>
                <w:sz w:val="22"/>
              </w:rPr>
              <w:t xml:space="preserve">Restoring Trust in Trusts </w:t>
            </w:r>
          </w:p>
        </w:tc>
      </w:tr>
      <w:tr w:rsidR="00316289" w:rsidRPr="00316289" w:rsidTr="00567E62">
        <w:tc>
          <w:tcPr>
            <w:tcW w:w="2943" w:type="dxa"/>
          </w:tcPr>
          <w:p w:rsidR="00316289" w:rsidRPr="00316289" w:rsidRDefault="00316289" w:rsidP="00E1733B">
            <w:pPr>
              <w:pStyle w:val="PullOutBoxBodyText"/>
            </w:pPr>
            <w:r w:rsidRPr="00316289">
              <w:t>Summary of proposal:</w:t>
            </w:r>
          </w:p>
        </w:tc>
        <w:tc>
          <w:tcPr>
            <w:tcW w:w="5585" w:type="dxa"/>
          </w:tcPr>
          <w:p w:rsidR="00316289" w:rsidRPr="00316289" w:rsidRDefault="00316289" w:rsidP="00E1733B">
            <w:pPr>
              <w:pStyle w:val="PullOutBoxBodyText"/>
            </w:pPr>
            <w:r w:rsidRPr="00316289">
              <w:t xml:space="preserve">The proposal would reform the taxation treatment of discretionary trusts (except trusts used for farming businesses) so that they are taxed as companies. </w:t>
            </w:r>
          </w:p>
          <w:p w:rsidR="00316289" w:rsidRPr="00316289" w:rsidRDefault="00316289" w:rsidP="00E1733B">
            <w:pPr>
              <w:pStyle w:val="PullOutBoxBodyText"/>
            </w:pPr>
            <w:r w:rsidRPr="00316289">
              <w:t>The proposal would have effect from 1 September 2016.</w:t>
            </w:r>
          </w:p>
        </w:tc>
      </w:tr>
      <w:tr w:rsidR="00316289" w:rsidRPr="00316289" w:rsidTr="00567E62">
        <w:tc>
          <w:tcPr>
            <w:tcW w:w="2943" w:type="dxa"/>
          </w:tcPr>
          <w:p w:rsidR="00316289" w:rsidRPr="00316289" w:rsidRDefault="00316289" w:rsidP="00E1733B">
            <w:pPr>
              <w:pStyle w:val="PullOutBoxBodyText"/>
            </w:pPr>
            <w:r w:rsidRPr="00316289">
              <w:t>Person/party requesting costing:</w:t>
            </w:r>
          </w:p>
        </w:tc>
        <w:tc>
          <w:tcPr>
            <w:tcW w:w="5585" w:type="dxa"/>
          </w:tcPr>
          <w:p w:rsidR="00316289" w:rsidRPr="00316289" w:rsidRDefault="00316289" w:rsidP="00E1733B">
            <w:pPr>
              <w:pStyle w:val="PullOutBoxBodyText"/>
            </w:pPr>
            <w:r w:rsidRPr="00316289">
              <w:t>Senator Richard Di Natale, Australian Greens</w:t>
            </w:r>
          </w:p>
        </w:tc>
      </w:tr>
      <w:tr w:rsidR="00316289" w:rsidRPr="00316289" w:rsidTr="00567E62">
        <w:tc>
          <w:tcPr>
            <w:tcW w:w="2943" w:type="dxa"/>
          </w:tcPr>
          <w:p w:rsidR="00316289" w:rsidRPr="00316289" w:rsidRDefault="00316289" w:rsidP="00E1733B">
            <w:pPr>
              <w:pStyle w:val="PullOutBoxBodyText"/>
            </w:pPr>
            <w:r w:rsidRPr="00316289">
              <w:t>Date of public release of policy:</w:t>
            </w:r>
          </w:p>
        </w:tc>
        <w:tc>
          <w:tcPr>
            <w:tcW w:w="5585" w:type="dxa"/>
          </w:tcPr>
          <w:p w:rsidR="00316289" w:rsidRPr="00316289" w:rsidRDefault="00316289" w:rsidP="008F29BA">
            <w:pPr>
              <w:pStyle w:val="PullOutBoxBodyText"/>
            </w:pPr>
            <w:r w:rsidRPr="00316289">
              <w:t xml:space="preserve">22 June 2016 </w:t>
            </w:r>
            <w:hyperlink r:id="rId88" w:history="1">
              <w:r w:rsidRPr="008F29BA">
                <w:rPr>
                  <w:u w:val="single"/>
                </w:rPr>
                <w:t>http://greens.org.au/sites/greens.org.au/files/Tax%20Avoidance%20Package_0.pdf</w:t>
              </w:r>
            </w:hyperlink>
          </w:p>
        </w:tc>
      </w:tr>
      <w:tr w:rsidR="00316289" w:rsidRPr="00316289" w:rsidTr="00567E62">
        <w:tc>
          <w:tcPr>
            <w:tcW w:w="2943" w:type="dxa"/>
          </w:tcPr>
          <w:p w:rsidR="00316289" w:rsidRPr="00316289" w:rsidRDefault="00316289" w:rsidP="00E1733B">
            <w:pPr>
              <w:pStyle w:val="PullOutBoxBodyText"/>
            </w:pPr>
            <w:r w:rsidRPr="00316289">
              <w:t>Date costing request received:</w:t>
            </w:r>
          </w:p>
        </w:tc>
        <w:tc>
          <w:tcPr>
            <w:tcW w:w="5585" w:type="dxa"/>
          </w:tcPr>
          <w:p w:rsidR="00316289" w:rsidRPr="00316289" w:rsidRDefault="00316289" w:rsidP="00E1733B">
            <w:pPr>
              <w:pStyle w:val="PullOutBoxBodyText"/>
            </w:pPr>
            <w:r w:rsidRPr="00316289">
              <w:t>23 June 2016</w:t>
            </w:r>
          </w:p>
        </w:tc>
      </w:tr>
      <w:tr w:rsidR="00316289" w:rsidRPr="00316289" w:rsidTr="00567E62">
        <w:tc>
          <w:tcPr>
            <w:tcW w:w="2943" w:type="dxa"/>
          </w:tcPr>
          <w:p w:rsidR="00316289" w:rsidRPr="00316289" w:rsidRDefault="00316289" w:rsidP="00E1733B">
            <w:pPr>
              <w:pStyle w:val="PullOutBoxBodyText"/>
            </w:pPr>
            <w:r w:rsidRPr="00316289">
              <w:t>Date costing completed</w:t>
            </w:r>
          </w:p>
        </w:tc>
        <w:tc>
          <w:tcPr>
            <w:tcW w:w="5585" w:type="dxa"/>
          </w:tcPr>
          <w:p w:rsidR="00316289" w:rsidRPr="00316289" w:rsidRDefault="00316289" w:rsidP="00E1733B">
            <w:pPr>
              <w:pStyle w:val="PullOutBoxBodyText"/>
            </w:pPr>
            <w:r w:rsidRPr="00316289">
              <w:t>24 June 2016</w:t>
            </w:r>
          </w:p>
        </w:tc>
      </w:tr>
      <w:tr w:rsidR="00316289" w:rsidRPr="00316289" w:rsidTr="00567E62">
        <w:tc>
          <w:tcPr>
            <w:tcW w:w="2943" w:type="dxa"/>
          </w:tcPr>
          <w:p w:rsidR="00316289" w:rsidRPr="00316289" w:rsidRDefault="00316289" w:rsidP="00E1733B">
            <w:pPr>
              <w:pStyle w:val="PullOutBoxBodyText"/>
            </w:pPr>
            <w:r w:rsidRPr="00316289">
              <w:t>Expiry date for the costing:</w:t>
            </w:r>
          </w:p>
        </w:tc>
        <w:tc>
          <w:tcPr>
            <w:tcW w:w="5585" w:type="dxa"/>
          </w:tcPr>
          <w:p w:rsidR="00316289" w:rsidRPr="00316289" w:rsidRDefault="00316289" w:rsidP="00E1733B">
            <w:pPr>
              <w:pStyle w:val="PullOutBoxBodyText"/>
            </w:pPr>
            <w:r w:rsidRPr="00316289">
              <w:t>Release of the next economic and fiscal outlook report</w:t>
            </w:r>
          </w:p>
        </w:tc>
      </w:tr>
    </w:tbl>
    <w:p w:rsidR="00316289" w:rsidRPr="00316289" w:rsidRDefault="00316289" w:rsidP="00905B06">
      <w:pPr>
        <w:pStyle w:val="CostingsH7"/>
        <w:rPr>
          <w:rFonts w:eastAsia="Calibri"/>
        </w:rPr>
      </w:pPr>
      <w:r w:rsidRPr="00316289">
        <w:rPr>
          <w:rFonts w:eastAsia="Calibri"/>
        </w:rPr>
        <w:t>Costing overview</w:t>
      </w:r>
    </w:p>
    <w:p w:rsidR="00316289" w:rsidRPr="00316289" w:rsidRDefault="00316289" w:rsidP="00A753C8">
      <w:pPr>
        <w:pStyle w:val="BodyText"/>
      </w:pPr>
      <w:r w:rsidRPr="00316289">
        <w:t>This proposal would be expected to increase both the fiscal and underlying cash balances by $3,300 million over the 2016-17 Budget forward estimates period.  This reflects an increase in revenue of $3,400 million and an increase in departmental expenditure of $100 million over this period.</w:t>
      </w:r>
      <w:r w:rsidRPr="00316289">
        <w:rPr>
          <w:highlight w:val="yellow"/>
        </w:rPr>
        <w:t xml:space="preserve"> </w:t>
      </w:r>
    </w:p>
    <w:p w:rsidR="00316289" w:rsidRPr="00316289" w:rsidRDefault="00316289" w:rsidP="00A753C8">
      <w:pPr>
        <w:pStyle w:val="BodyText"/>
      </w:pPr>
      <w:r w:rsidRPr="00316289">
        <w:t>This proposal would have an ongoing impact that extends beyond the 2016</w:t>
      </w:r>
      <w:r w:rsidRPr="00316289">
        <w:noBreakHyphen/>
        <w:t>17 Budget forward estimates period.  The financial impact would be expected to decrease over the period to 2026-27, reflecting the changes in the company tax rate.</w:t>
      </w:r>
    </w:p>
    <w:p w:rsidR="00316289" w:rsidRPr="00316289" w:rsidRDefault="00316289" w:rsidP="00A753C8">
      <w:pPr>
        <w:pStyle w:val="BodyText"/>
      </w:pPr>
      <w:r w:rsidRPr="00316289">
        <w:t>Departmental costs are expected to increase by $40 million in 2016-17 and $20 million p</w:t>
      </w:r>
      <w:r w:rsidR="00A753C8">
        <w:t>er </w:t>
      </w:r>
      <w:r w:rsidRPr="00316289">
        <w:t xml:space="preserve">annum from 2017-18 as a result of the proposal.  This is based on the cost of implementing other large-scale tax proposals. </w:t>
      </w:r>
    </w:p>
    <w:p w:rsidR="00316289" w:rsidRPr="00316289" w:rsidRDefault="00316289" w:rsidP="00A753C8">
      <w:pPr>
        <w:pStyle w:val="BodyText"/>
      </w:pPr>
      <w:r w:rsidRPr="00316289">
        <w:t xml:space="preserve">A detailed breakdown of this costing is presented at </w:t>
      </w:r>
      <w:r w:rsidRPr="00316289">
        <w:rPr>
          <w:u w:val="single"/>
        </w:rPr>
        <w:t>Attachment A</w:t>
      </w:r>
      <w:r w:rsidRPr="00316289">
        <w:t>.</w:t>
      </w:r>
    </w:p>
    <w:p w:rsidR="00316289" w:rsidRPr="00316289" w:rsidRDefault="00316289" w:rsidP="00A753C8">
      <w:pPr>
        <w:pStyle w:val="BodyText"/>
      </w:pPr>
      <w:r w:rsidRPr="00316289">
        <w:lastRenderedPageBreak/>
        <w:t>This costing is considered to be of low reliability.  The model relies on several assumptions and aggregate trust distribution data.  Possible behavioural responses to this proposal are extremely uncertain.</w:t>
      </w:r>
    </w:p>
    <w:p w:rsidR="00316289" w:rsidRPr="00316289" w:rsidRDefault="00316289" w:rsidP="00905B06">
      <w:pPr>
        <w:pStyle w:val="Caption"/>
      </w:pPr>
      <w:r w:rsidRPr="00316289">
        <w:t>Table 1: Financial implications (outturn prices)</w:t>
      </w:r>
      <w:r w:rsidRPr="00316289">
        <w:rPr>
          <w:vertAlign w:val="superscript"/>
        </w:rPr>
        <w:t>(a)(b)</w:t>
      </w:r>
    </w:p>
    <w:tbl>
      <w:tblPr>
        <w:tblStyle w:val="TableGrid11"/>
        <w:tblW w:w="4993" w:type="pct"/>
        <w:tblLook w:val="04A0" w:firstRow="1" w:lastRow="0" w:firstColumn="1" w:lastColumn="0" w:noHBand="0" w:noVBand="1"/>
      </w:tblPr>
      <w:tblGrid>
        <w:gridCol w:w="2645"/>
        <w:gridCol w:w="1134"/>
        <w:gridCol w:w="1133"/>
        <w:gridCol w:w="1133"/>
        <w:gridCol w:w="1133"/>
        <w:gridCol w:w="1132"/>
      </w:tblGrid>
      <w:tr w:rsidR="00316289" w:rsidRPr="00316289" w:rsidTr="00567E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316289" w:rsidRPr="00316289" w:rsidRDefault="00316289" w:rsidP="00316289">
            <w:pPr>
              <w:keepNext/>
              <w:keepLines/>
              <w:ind w:left="57" w:right="57"/>
              <w:rPr>
                <w:szCs w:val="20"/>
              </w:rPr>
            </w:pPr>
            <w:r w:rsidRPr="00316289">
              <w:rPr>
                <w:szCs w:val="20"/>
              </w:rPr>
              <w:t>Impact on ($m)</w:t>
            </w:r>
          </w:p>
        </w:tc>
        <w:tc>
          <w:tcPr>
            <w:tcW w:w="682" w:type="pct"/>
          </w:tcPr>
          <w:p w:rsidR="00316289" w:rsidRPr="00316289" w:rsidRDefault="00316289" w:rsidP="00316289">
            <w:pPr>
              <w:keepNext/>
              <w:keepLines/>
              <w:ind w:left="57" w:right="57"/>
              <w:cnfStyle w:val="100000000000" w:firstRow="1" w:lastRow="0" w:firstColumn="0" w:lastColumn="0" w:oddVBand="0" w:evenVBand="0" w:oddHBand="0" w:evenHBand="0" w:firstRowFirstColumn="0" w:firstRowLastColumn="0" w:lastRowFirstColumn="0" w:lastRowLastColumn="0"/>
              <w:rPr>
                <w:szCs w:val="20"/>
              </w:rPr>
            </w:pPr>
            <w:r w:rsidRPr="00316289">
              <w:rPr>
                <w:szCs w:val="20"/>
              </w:rPr>
              <w:t>2016–17</w:t>
            </w:r>
          </w:p>
        </w:tc>
        <w:tc>
          <w:tcPr>
            <w:tcW w:w="682" w:type="pct"/>
          </w:tcPr>
          <w:p w:rsidR="00316289" w:rsidRPr="00316289" w:rsidRDefault="00316289" w:rsidP="00316289">
            <w:pPr>
              <w:keepNext/>
              <w:keepLines/>
              <w:ind w:left="57" w:right="57"/>
              <w:cnfStyle w:val="100000000000" w:firstRow="1" w:lastRow="0" w:firstColumn="0" w:lastColumn="0" w:oddVBand="0" w:evenVBand="0" w:oddHBand="0" w:evenHBand="0" w:firstRowFirstColumn="0" w:firstRowLastColumn="0" w:lastRowFirstColumn="0" w:lastRowLastColumn="0"/>
              <w:rPr>
                <w:szCs w:val="20"/>
              </w:rPr>
            </w:pPr>
            <w:r w:rsidRPr="00316289">
              <w:rPr>
                <w:szCs w:val="20"/>
              </w:rPr>
              <w:t>2017–18</w:t>
            </w:r>
          </w:p>
        </w:tc>
        <w:tc>
          <w:tcPr>
            <w:tcW w:w="682" w:type="pct"/>
          </w:tcPr>
          <w:p w:rsidR="00316289" w:rsidRPr="00316289" w:rsidRDefault="00316289" w:rsidP="00316289">
            <w:pPr>
              <w:keepNext/>
              <w:keepLines/>
              <w:ind w:left="57" w:right="57"/>
              <w:cnfStyle w:val="100000000000" w:firstRow="1" w:lastRow="0" w:firstColumn="0" w:lastColumn="0" w:oddVBand="0" w:evenVBand="0" w:oddHBand="0" w:evenHBand="0" w:firstRowFirstColumn="0" w:firstRowLastColumn="0" w:lastRowFirstColumn="0" w:lastRowLastColumn="0"/>
              <w:rPr>
                <w:szCs w:val="20"/>
              </w:rPr>
            </w:pPr>
            <w:r w:rsidRPr="00316289">
              <w:rPr>
                <w:szCs w:val="20"/>
              </w:rPr>
              <w:t>2018–19</w:t>
            </w:r>
          </w:p>
        </w:tc>
        <w:tc>
          <w:tcPr>
            <w:tcW w:w="682" w:type="pct"/>
          </w:tcPr>
          <w:p w:rsidR="00316289" w:rsidRPr="00316289" w:rsidRDefault="00316289" w:rsidP="00316289">
            <w:pPr>
              <w:keepNext/>
              <w:keepLines/>
              <w:ind w:left="57" w:right="57"/>
              <w:cnfStyle w:val="100000000000" w:firstRow="1" w:lastRow="0" w:firstColumn="0" w:lastColumn="0" w:oddVBand="0" w:evenVBand="0" w:oddHBand="0" w:evenHBand="0" w:firstRowFirstColumn="0" w:firstRowLastColumn="0" w:lastRowFirstColumn="0" w:lastRowLastColumn="0"/>
              <w:rPr>
                <w:b/>
                <w:szCs w:val="20"/>
              </w:rPr>
            </w:pPr>
            <w:r w:rsidRPr="00316289">
              <w:rPr>
                <w:szCs w:val="20"/>
              </w:rPr>
              <w:t>2019–20</w:t>
            </w:r>
          </w:p>
        </w:tc>
        <w:tc>
          <w:tcPr>
            <w:tcW w:w="681" w:type="pct"/>
          </w:tcPr>
          <w:p w:rsidR="00316289" w:rsidRPr="00316289" w:rsidRDefault="00316289" w:rsidP="00316289">
            <w:pPr>
              <w:keepNext/>
              <w:keepLines/>
              <w:ind w:left="57" w:right="57"/>
              <w:cnfStyle w:val="100000000000" w:firstRow="1" w:lastRow="0" w:firstColumn="0" w:lastColumn="0" w:oddVBand="0" w:evenVBand="0" w:oddHBand="0" w:evenHBand="0" w:firstRowFirstColumn="0" w:firstRowLastColumn="0" w:lastRowFirstColumn="0" w:lastRowLastColumn="0"/>
              <w:rPr>
                <w:b/>
                <w:szCs w:val="20"/>
              </w:rPr>
            </w:pPr>
            <w:r w:rsidRPr="00316289">
              <w:rPr>
                <w:b/>
                <w:szCs w:val="20"/>
              </w:rPr>
              <w:t>Total</w:t>
            </w:r>
          </w:p>
        </w:tc>
      </w:tr>
      <w:tr w:rsidR="00316289" w:rsidRPr="00316289" w:rsidTr="00567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316289" w:rsidRPr="00316289" w:rsidRDefault="00316289" w:rsidP="00316289">
            <w:pPr>
              <w:keepNext/>
              <w:keepLines/>
              <w:ind w:left="57" w:right="57"/>
              <w:rPr>
                <w:szCs w:val="20"/>
              </w:rPr>
            </w:pPr>
            <w:r w:rsidRPr="00316289">
              <w:rPr>
                <w:szCs w:val="20"/>
              </w:rPr>
              <w:t>Fiscal balance</w:t>
            </w:r>
          </w:p>
        </w:tc>
        <w:tc>
          <w:tcPr>
            <w:tcW w:w="682" w:type="pct"/>
          </w:tcPr>
          <w:p w:rsidR="00316289" w:rsidRPr="00316289" w:rsidRDefault="00316289" w:rsidP="00316289">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16289">
              <w:rPr>
                <w:rFonts w:ascii="Calibri" w:hAnsi="Calibri"/>
                <w:szCs w:val="20"/>
              </w:rPr>
              <w:t>460.0</w:t>
            </w:r>
          </w:p>
        </w:tc>
        <w:tc>
          <w:tcPr>
            <w:tcW w:w="682" w:type="pct"/>
          </w:tcPr>
          <w:p w:rsidR="00316289" w:rsidRPr="00316289" w:rsidRDefault="00316289" w:rsidP="00316289">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16289">
              <w:rPr>
                <w:rFonts w:ascii="Calibri" w:hAnsi="Calibri"/>
                <w:szCs w:val="20"/>
              </w:rPr>
              <w:t>880.0</w:t>
            </w:r>
          </w:p>
        </w:tc>
        <w:tc>
          <w:tcPr>
            <w:tcW w:w="682" w:type="pct"/>
          </w:tcPr>
          <w:p w:rsidR="00316289" w:rsidRPr="00316289" w:rsidRDefault="00316289" w:rsidP="00316289">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16289">
              <w:rPr>
                <w:rFonts w:ascii="Calibri" w:hAnsi="Calibri"/>
                <w:szCs w:val="20"/>
              </w:rPr>
              <w:t>980.0</w:t>
            </w:r>
          </w:p>
        </w:tc>
        <w:tc>
          <w:tcPr>
            <w:tcW w:w="682" w:type="pct"/>
          </w:tcPr>
          <w:p w:rsidR="00316289" w:rsidRPr="00316289" w:rsidRDefault="00316289" w:rsidP="00316289">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16289">
              <w:rPr>
                <w:rFonts w:ascii="Calibri" w:hAnsi="Calibri"/>
                <w:szCs w:val="20"/>
              </w:rPr>
              <w:t>980.0</w:t>
            </w:r>
          </w:p>
        </w:tc>
        <w:tc>
          <w:tcPr>
            <w:tcW w:w="681" w:type="pct"/>
          </w:tcPr>
          <w:p w:rsidR="00316289" w:rsidRPr="00316289" w:rsidRDefault="00316289" w:rsidP="00316289">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16289">
              <w:rPr>
                <w:rFonts w:ascii="Calibri" w:hAnsi="Calibri"/>
                <w:b/>
                <w:szCs w:val="20"/>
              </w:rPr>
              <w:t>3,300.0</w:t>
            </w:r>
          </w:p>
        </w:tc>
      </w:tr>
      <w:tr w:rsidR="00316289" w:rsidRPr="00316289" w:rsidTr="00567E62">
        <w:tc>
          <w:tcPr>
            <w:cnfStyle w:val="001000000000" w:firstRow="0" w:lastRow="0" w:firstColumn="1" w:lastColumn="0" w:oddVBand="0" w:evenVBand="0" w:oddHBand="0" w:evenHBand="0" w:firstRowFirstColumn="0" w:firstRowLastColumn="0" w:lastRowFirstColumn="0" w:lastRowLastColumn="0"/>
            <w:tcW w:w="1591" w:type="pct"/>
          </w:tcPr>
          <w:p w:rsidR="00316289" w:rsidRPr="00316289" w:rsidRDefault="00316289" w:rsidP="00316289">
            <w:pPr>
              <w:keepNext/>
              <w:keepLines/>
              <w:ind w:left="57" w:right="57"/>
              <w:rPr>
                <w:szCs w:val="20"/>
              </w:rPr>
            </w:pPr>
            <w:r w:rsidRPr="00316289">
              <w:rPr>
                <w:szCs w:val="20"/>
              </w:rPr>
              <w:t>Underlying cash balance</w:t>
            </w:r>
          </w:p>
        </w:tc>
        <w:tc>
          <w:tcPr>
            <w:tcW w:w="682" w:type="pct"/>
          </w:tcPr>
          <w:p w:rsidR="00316289" w:rsidRPr="00316289" w:rsidRDefault="00316289" w:rsidP="00316289">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16289">
              <w:rPr>
                <w:rFonts w:ascii="Calibri" w:hAnsi="Calibri"/>
                <w:szCs w:val="20"/>
              </w:rPr>
              <w:t>460.0</w:t>
            </w:r>
          </w:p>
        </w:tc>
        <w:tc>
          <w:tcPr>
            <w:tcW w:w="682" w:type="pct"/>
          </w:tcPr>
          <w:p w:rsidR="00316289" w:rsidRPr="00316289" w:rsidRDefault="00316289" w:rsidP="00316289">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16289">
              <w:rPr>
                <w:rFonts w:ascii="Calibri" w:hAnsi="Calibri"/>
                <w:szCs w:val="20"/>
              </w:rPr>
              <w:t>880.0</w:t>
            </w:r>
          </w:p>
        </w:tc>
        <w:tc>
          <w:tcPr>
            <w:tcW w:w="682" w:type="pct"/>
          </w:tcPr>
          <w:p w:rsidR="00316289" w:rsidRPr="00316289" w:rsidRDefault="00316289" w:rsidP="00316289">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16289">
              <w:rPr>
                <w:rFonts w:ascii="Calibri" w:hAnsi="Calibri"/>
                <w:szCs w:val="20"/>
              </w:rPr>
              <w:t>980.0</w:t>
            </w:r>
          </w:p>
        </w:tc>
        <w:tc>
          <w:tcPr>
            <w:tcW w:w="682" w:type="pct"/>
          </w:tcPr>
          <w:p w:rsidR="00316289" w:rsidRPr="00316289" w:rsidRDefault="00316289" w:rsidP="00316289">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16289">
              <w:rPr>
                <w:rFonts w:ascii="Calibri" w:hAnsi="Calibri"/>
                <w:szCs w:val="20"/>
              </w:rPr>
              <w:t>980.0</w:t>
            </w:r>
          </w:p>
        </w:tc>
        <w:tc>
          <w:tcPr>
            <w:tcW w:w="681" w:type="pct"/>
          </w:tcPr>
          <w:p w:rsidR="00316289" w:rsidRPr="00316289" w:rsidRDefault="00316289" w:rsidP="00316289">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16289">
              <w:rPr>
                <w:rFonts w:ascii="Calibri" w:hAnsi="Calibri"/>
                <w:b/>
                <w:szCs w:val="20"/>
              </w:rPr>
              <w:t>3,300.0</w:t>
            </w:r>
          </w:p>
        </w:tc>
      </w:tr>
    </w:tbl>
    <w:p w:rsidR="00316289" w:rsidRPr="0029223C" w:rsidRDefault="00316289" w:rsidP="000B5C96">
      <w:pPr>
        <w:pStyle w:val="Footnotes"/>
        <w:numPr>
          <w:ilvl w:val="0"/>
          <w:numId w:val="9"/>
        </w:numPr>
        <w:ind w:left="284" w:hanging="284"/>
      </w:pPr>
      <w:r w:rsidRPr="00F93F34">
        <w:t xml:space="preserve">A positive number indicates an increase in </w:t>
      </w:r>
      <w:r>
        <w:t>the relevant budget balance, a negative number a decrease.</w:t>
      </w:r>
    </w:p>
    <w:p w:rsidR="00316289" w:rsidRPr="00F93F34" w:rsidRDefault="00316289" w:rsidP="0029223C">
      <w:pPr>
        <w:pStyle w:val="Footnotes"/>
      </w:pPr>
      <w:r w:rsidRPr="0029223C">
        <w:t>Figures m</w:t>
      </w:r>
      <w:r>
        <w:t>ay not sum to totals due to rounding.</w:t>
      </w:r>
    </w:p>
    <w:p w:rsidR="00316289" w:rsidRPr="00316289" w:rsidRDefault="00316289" w:rsidP="00905B06">
      <w:pPr>
        <w:pStyle w:val="CostingsH7"/>
        <w:rPr>
          <w:rFonts w:eastAsia="Calibri"/>
        </w:rPr>
      </w:pPr>
      <w:r w:rsidRPr="00316289">
        <w:rPr>
          <w:rFonts w:eastAsia="Calibri"/>
        </w:rPr>
        <w:t>Key assumptions</w:t>
      </w:r>
    </w:p>
    <w:p w:rsidR="00316289" w:rsidRPr="00316289" w:rsidRDefault="00316289" w:rsidP="00A753C8">
      <w:pPr>
        <w:pStyle w:val="BodyText"/>
      </w:pPr>
      <w:r w:rsidRPr="00316289">
        <w:t>The Parliamentary Budget Office has made the following assumptions in relation to this proposal:</w:t>
      </w:r>
    </w:p>
    <w:p w:rsidR="00316289" w:rsidRPr="00316289" w:rsidRDefault="00316289" w:rsidP="00A753C8">
      <w:pPr>
        <w:pStyle w:val="ListBullet"/>
        <w:rPr>
          <w:lang w:eastAsia="en-AU"/>
        </w:rPr>
      </w:pPr>
      <w:r w:rsidRPr="00316289">
        <w:rPr>
          <w:lang w:eastAsia="en-AU"/>
        </w:rPr>
        <w:t>Trust income is comprised of income from interest, dividends, capital gains and general sources.</w:t>
      </w:r>
    </w:p>
    <w:p w:rsidR="00316289" w:rsidRPr="00316289" w:rsidRDefault="00316289" w:rsidP="00A753C8">
      <w:pPr>
        <w:pStyle w:val="ListBullet"/>
        <w:rPr>
          <w:lang w:eastAsia="en-AU"/>
        </w:rPr>
      </w:pPr>
      <w:r w:rsidRPr="00316289">
        <w:rPr>
          <w:lang w:eastAsia="en-AU"/>
        </w:rPr>
        <w:t>Trust income is assumed to be distributed in the following way:</w:t>
      </w:r>
    </w:p>
    <w:p w:rsidR="00316289" w:rsidRPr="00316289" w:rsidRDefault="00316289" w:rsidP="00A753C8">
      <w:pPr>
        <w:pStyle w:val="ListBullet2"/>
        <w:rPr>
          <w:lang w:eastAsia="en-AU"/>
        </w:rPr>
      </w:pPr>
      <w:r w:rsidRPr="00316289">
        <w:rPr>
          <w:lang w:eastAsia="en-AU"/>
        </w:rPr>
        <w:t>30 per cent to individuals (of which 70 per cent are Australian residents and 30 per cent are non-residents)</w:t>
      </w:r>
    </w:p>
    <w:p w:rsidR="00316289" w:rsidRPr="00316289" w:rsidRDefault="00316289" w:rsidP="00A753C8">
      <w:pPr>
        <w:pStyle w:val="ListBullet2"/>
        <w:rPr>
          <w:lang w:eastAsia="en-AU"/>
        </w:rPr>
      </w:pPr>
      <w:r w:rsidRPr="00316289">
        <w:rPr>
          <w:lang w:eastAsia="en-AU"/>
        </w:rPr>
        <w:t>20 per cent to superannuation funds</w:t>
      </w:r>
    </w:p>
    <w:p w:rsidR="00316289" w:rsidRPr="00316289" w:rsidRDefault="00316289" w:rsidP="00A753C8">
      <w:pPr>
        <w:pStyle w:val="ListBullet2"/>
        <w:rPr>
          <w:lang w:eastAsia="en-AU"/>
        </w:rPr>
      </w:pPr>
      <w:r w:rsidRPr="00316289">
        <w:rPr>
          <w:lang w:eastAsia="en-AU"/>
        </w:rPr>
        <w:t>50 per cent to companies.</w:t>
      </w:r>
    </w:p>
    <w:p w:rsidR="00316289" w:rsidRPr="00316289" w:rsidRDefault="00316289" w:rsidP="00A753C8">
      <w:pPr>
        <w:pStyle w:val="ListBullet"/>
        <w:rPr>
          <w:lang w:eastAsia="en-AU"/>
        </w:rPr>
      </w:pPr>
      <w:r w:rsidRPr="00316289">
        <w:rPr>
          <w:lang w:eastAsia="en-AU"/>
        </w:rPr>
        <w:t>Taxing discretionary trusts as companies would mean that the imputation system for franked dividends that applies to companies would also apply to trust distributions.</w:t>
      </w:r>
    </w:p>
    <w:p w:rsidR="00316289" w:rsidRPr="00316289" w:rsidRDefault="00316289" w:rsidP="00A753C8">
      <w:pPr>
        <w:pStyle w:val="ListBullet"/>
        <w:rPr>
          <w:lang w:eastAsia="en-AU"/>
        </w:rPr>
      </w:pPr>
      <w:r w:rsidRPr="00316289">
        <w:rPr>
          <w:lang w:eastAsia="en-AU"/>
        </w:rPr>
        <w:t>It is assumed that 50 per cent of income would be retained in trusts in response to this proposal.</w:t>
      </w:r>
    </w:p>
    <w:p w:rsidR="00316289" w:rsidRPr="00316289" w:rsidRDefault="00316289" w:rsidP="00A753C8">
      <w:pPr>
        <w:pStyle w:val="ListBullet2"/>
        <w:rPr>
          <w:lang w:eastAsia="en-AU"/>
        </w:rPr>
      </w:pPr>
      <w:r w:rsidRPr="00316289">
        <w:rPr>
          <w:lang w:eastAsia="en-AU"/>
        </w:rPr>
        <w:t>This would mean that 100 per cent of the trust income is taxed at the company tax rate, however only 50 per cent of the after-tax amount would be distributed to beneficiaries as a ‘dividend’, which would be eligible for franking credits at the company tax rate, as per company tax arrangements.</w:t>
      </w:r>
    </w:p>
    <w:p w:rsidR="00316289" w:rsidRPr="00316289" w:rsidRDefault="00316289" w:rsidP="00A753C8">
      <w:pPr>
        <w:pStyle w:val="ListBullet"/>
        <w:rPr>
          <w:lang w:eastAsia="en-AU"/>
        </w:rPr>
      </w:pPr>
      <w:r w:rsidRPr="00316289">
        <w:rPr>
          <w:lang w:eastAsia="en-AU"/>
        </w:rPr>
        <w:t xml:space="preserve">Generally, superannuation funds currently have a tax rate of 15 per cent and would receive a refund of a portion of the tax paid at the company tax rate through the imputation system. </w:t>
      </w:r>
    </w:p>
    <w:p w:rsidR="00316289" w:rsidRPr="00316289" w:rsidRDefault="00316289" w:rsidP="00A753C8">
      <w:pPr>
        <w:pStyle w:val="ListBullet2"/>
        <w:rPr>
          <w:lang w:eastAsia="en-AU"/>
        </w:rPr>
      </w:pPr>
      <w:r w:rsidRPr="00316289">
        <w:rPr>
          <w:lang w:eastAsia="en-AU"/>
        </w:rPr>
        <w:t>If superannuation funds were to invest in trusts which do not distribute 100 per cent of their income, they would not be able to access refunded imputation credits and would face a higher effective tax rate on undistributed income.</w:t>
      </w:r>
    </w:p>
    <w:p w:rsidR="00316289" w:rsidRPr="00316289" w:rsidRDefault="00316289" w:rsidP="00A753C8">
      <w:pPr>
        <w:pStyle w:val="ListBullet2"/>
        <w:rPr>
          <w:lang w:eastAsia="en-AU"/>
        </w:rPr>
      </w:pPr>
      <w:r w:rsidRPr="00316289">
        <w:rPr>
          <w:lang w:eastAsia="en-AU"/>
        </w:rPr>
        <w:t>Under this proposal, it is assumed that superannuation funds would only invest in trusts that distribute 100 per cent of their income and would therefore continue to have an effective tax rate of 15 per cent.</w:t>
      </w:r>
    </w:p>
    <w:p w:rsidR="00316289" w:rsidRPr="00316289" w:rsidRDefault="00316289" w:rsidP="00A753C8">
      <w:pPr>
        <w:pStyle w:val="ListBullet"/>
        <w:rPr>
          <w:lang w:eastAsia="en-AU"/>
        </w:rPr>
      </w:pPr>
      <w:r w:rsidRPr="00316289">
        <w:rPr>
          <w:lang w:eastAsia="en-AU"/>
        </w:rPr>
        <w:lastRenderedPageBreak/>
        <w:t>It is assumed that on average trusts would pay tax on a quarterly basis.</w:t>
      </w:r>
    </w:p>
    <w:p w:rsidR="00316289" w:rsidRPr="00316289" w:rsidRDefault="00316289" w:rsidP="00A753C8">
      <w:pPr>
        <w:pStyle w:val="ListBullet"/>
        <w:rPr>
          <w:lang w:eastAsia="en-AU"/>
        </w:rPr>
      </w:pPr>
      <w:r w:rsidRPr="00316289">
        <w:rPr>
          <w:lang w:eastAsia="en-AU"/>
        </w:rPr>
        <w:t>It is assumed that, in response to this proposal, a proportion of trust beneficiaries would find alternative investments that would give them a similar return to their trust structure, which means that the proposal does not raise as much revenue as it would have done in the absence of this behavioural response.</w:t>
      </w:r>
    </w:p>
    <w:p w:rsidR="00316289" w:rsidRPr="00316289" w:rsidRDefault="00316289" w:rsidP="00905B06">
      <w:pPr>
        <w:pStyle w:val="CostingsH7"/>
        <w:rPr>
          <w:rFonts w:eastAsia="Calibri"/>
        </w:rPr>
      </w:pPr>
      <w:r w:rsidRPr="00316289">
        <w:rPr>
          <w:rFonts w:eastAsia="Calibri"/>
        </w:rPr>
        <w:t>Methodology</w:t>
      </w:r>
    </w:p>
    <w:p w:rsidR="00316289" w:rsidRPr="00316289" w:rsidRDefault="00316289" w:rsidP="00A753C8">
      <w:pPr>
        <w:pStyle w:val="BodyText"/>
      </w:pPr>
      <w:r w:rsidRPr="00316289">
        <w:t>The financial impact of this proposal was estimated by calculating the tax revenue to be paid by affected discretionary trusts at the company tax rate and the tax paid by beneficiaries on their distributions under the proposal, less the amount of base tax to be paid on distributions from trusts that is expected to be collected over the same period.  Base trust distribution amounts are grown at a rate equivalent to growth in Gross Domestic Product.</w:t>
      </w:r>
    </w:p>
    <w:p w:rsidR="00316289" w:rsidRPr="00316289" w:rsidRDefault="00316289" w:rsidP="00A753C8">
      <w:pPr>
        <w:pStyle w:val="BodyText"/>
      </w:pPr>
      <w:r w:rsidRPr="00316289">
        <w:t>Revenue estimates have been rounded to the nearest $100 million.  Expense estimates have been rounded to the nearest $10 million.</w:t>
      </w:r>
    </w:p>
    <w:p w:rsidR="00316289" w:rsidRPr="00316289" w:rsidRDefault="00316289" w:rsidP="00905B06">
      <w:pPr>
        <w:pStyle w:val="CostingsH7"/>
        <w:rPr>
          <w:rFonts w:eastAsia="Calibri"/>
        </w:rPr>
      </w:pPr>
      <w:r w:rsidRPr="00316289">
        <w:rPr>
          <w:rFonts w:eastAsia="Calibri"/>
        </w:rPr>
        <w:t>Data sources</w:t>
      </w:r>
    </w:p>
    <w:p w:rsidR="00316289" w:rsidRPr="00316289" w:rsidRDefault="00316289" w:rsidP="00A753C8">
      <w:pPr>
        <w:pStyle w:val="ListBullet"/>
        <w:rPr>
          <w:lang w:eastAsia="en-AU"/>
        </w:rPr>
      </w:pPr>
      <w:r w:rsidRPr="00316289">
        <w:rPr>
          <w:lang w:eastAsia="en-AU"/>
        </w:rPr>
        <w:t>Trust distribution data from Australian Taxation Office (ATO) Taxation Statistics</w:t>
      </w:r>
    </w:p>
    <w:p w:rsidR="00316289" w:rsidRPr="00316289" w:rsidRDefault="00316289" w:rsidP="00A753C8">
      <w:pPr>
        <w:pStyle w:val="ListBullet"/>
        <w:rPr>
          <w:lang w:eastAsia="en-AU"/>
        </w:rPr>
      </w:pPr>
      <w:r w:rsidRPr="00316289">
        <w:rPr>
          <w:lang w:eastAsia="en-AU"/>
        </w:rPr>
        <w:t>Australian tax treaties data from the Treasury website</w:t>
      </w:r>
    </w:p>
    <w:p w:rsidR="00316289" w:rsidRPr="00316289" w:rsidRDefault="00316289" w:rsidP="00316289">
      <w:pPr>
        <w:pStyle w:val="ListBullet"/>
        <w:rPr>
          <w:lang w:eastAsia="en-AU"/>
        </w:rPr>
      </w:pPr>
      <w:r w:rsidRPr="00316289">
        <w:rPr>
          <w:lang w:eastAsia="en-AU"/>
        </w:rPr>
        <w:t xml:space="preserve">Australian Bureau of Statistics </w:t>
      </w:r>
      <w:r w:rsidRPr="005077ED">
        <w:rPr>
          <w:i/>
        </w:rPr>
        <w:t>International Investment Position, Australia: Supplementary Statistics</w:t>
      </w:r>
      <w:r w:rsidRPr="00316289">
        <w:rPr>
          <w:lang w:eastAsia="en-AU"/>
        </w:rPr>
        <w:t xml:space="preserve"> Cat. No. 5352.0</w:t>
      </w:r>
    </w:p>
    <w:p w:rsidR="00316289" w:rsidRPr="00316289" w:rsidRDefault="00316289" w:rsidP="00A753C8">
      <w:pPr>
        <w:pStyle w:val="ListBullet"/>
        <w:rPr>
          <w:lang w:eastAsia="en-AU"/>
        </w:rPr>
      </w:pPr>
      <w:r w:rsidRPr="00316289">
        <w:rPr>
          <w:lang w:eastAsia="en-AU"/>
        </w:rPr>
        <w:t>Taxation parameters from the 2016 Pre-election Economic and Fiscal Outlook</w:t>
      </w:r>
    </w:p>
    <w:p w:rsidR="00316289" w:rsidRPr="00316289" w:rsidRDefault="00316289" w:rsidP="00A753C8">
      <w:pPr>
        <w:pStyle w:val="ListBullet"/>
        <w:rPr>
          <w:lang w:eastAsia="en-AU"/>
        </w:rPr>
        <w:sectPr w:rsidR="00316289" w:rsidRPr="00316289" w:rsidSect="007E3C99">
          <w:pgSz w:w="11906" w:h="16838"/>
          <w:pgMar w:top="1361" w:right="1797" w:bottom="1474" w:left="1797" w:header="283" w:footer="454" w:gutter="0"/>
          <w:cols w:space="708"/>
          <w:docGrid w:linePitch="360"/>
        </w:sectPr>
      </w:pPr>
      <w:r w:rsidRPr="00316289">
        <w:rPr>
          <w:lang w:eastAsia="en-AU"/>
        </w:rPr>
        <w:t>2016</w:t>
      </w:r>
      <w:r w:rsidRPr="00316289">
        <w:rPr>
          <w:lang w:eastAsia="en-AU"/>
        </w:rPr>
        <w:noBreakHyphen/>
        <w:t>17 Budget Paper No. 2</w:t>
      </w:r>
    </w:p>
    <w:p w:rsidR="00316289" w:rsidRPr="00316289" w:rsidRDefault="00316289" w:rsidP="007A4BF9">
      <w:pPr>
        <w:pStyle w:val="Heading6"/>
        <w:rPr>
          <w:rFonts w:eastAsia="Calibri"/>
        </w:rPr>
      </w:pPr>
      <w:r w:rsidRPr="00316289">
        <w:rPr>
          <w:rFonts w:eastAsia="Calibri"/>
        </w:rPr>
        <w:lastRenderedPageBreak/>
        <w:t>Attachment A: Restoring Trust in Trusts—financial implications</w:t>
      </w:r>
    </w:p>
    <w:p w:rsidR="00316289" w:rsidRPr="00316289" w:rsidRDefault="00316289" w:rsidP="00905B06">
      <w:pPr>
        <w:pStyle w:val="Caption"/>
        <w:rPr>
          <w:vertAlign w:val="superscript"/>
        </w:rPr>
      </w:pPr>
      <w:r w:rsidRPr="00316289">
        <w:t>Table A1: Restoring Trust in Trusts— Financial implications (outturn prices)</w:t>
      </w:r>
      <w:r w:rsidRPr="00316289">
        <w:rPr>
          <w:vertAlign w:val="superscript"/>
        </w:rPr>
        <w:t>(a)(b)</w:t>
      </w:r>
    </w:p>
    <w:tbl>
      <w:tblPr>
        <w:tblStyle w:val="TableGrid11"/>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316289" w:rsidRPr="00316289" w:rsidTr="00567E62">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316289" w:rsidRPr="00316289" w:rsidRDefault="00316289" w:rsidP="00316289">
            <w:pPr>
              <w:keepNext/>
              <w:keepLines/>
              <w:spacing w:line="240" w:lineRule="auto"/>
              <w:ind w:left="57" w:right="57"/>
              <w:rPr>
                <w:b/>
                <w:szCs w:val="20"/>
              </w:rPr>
            </w:pPr>
            <w:r w:rsidRPr="00316289">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316289" w:rsidRPr="00316289" w:rsidRDefault="00316289" w:rsidP="00316289">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16289">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316289" w:rsidRPr="00316289" w:rsidRDefault="00316289" w:rsidP="00316289">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16289">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316289" w:rsidRPr="00316289" w:rsidRDefault="00316289" w:rsidP="00316289">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16289">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316289" w:rsidRPr="00316289" w:rsidRDefault="00316289" w:rsidP="00316289">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16289">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316289" w:rsidRPr="00316289" w:rsidRDefault="00316289" w:rsidP="00316289">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316289">
              <w:rPr>
                <w:b/>
              </w:rPr>
              <w:t>Total</w:t>
            </w:r>
            <w:r w:rsidRPr="00316289">
              <w:rPr>
                <w:b/>
                <w:szCs w:val="20"/>
              </w:rPr>
              <w:t xml:space="preserve"> to 2019–20</w:t>
            </w:r>
          </w:p>
        </w:tc>
      </w:tr>
      <w:tr w:rsidR="00316289" w:rsidRPr="00316289"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316289" w:rsidRPr="00316289" w:rsidRDefault="00316289" w:rsidP="00316289">
            <w:pPr>
              <w:keepNext/>
              <w:keepLines/>
              <w:spacing w:line="240" w:lineRule="auto"/>
              <w:ind w:left="57" w:right="57"/>
              <w:rPr>
                <w:b/>
              </w:rPr>
            </w:pPr>
            <w:r w:rsidRPr="00316289">
              <w:rPr>
                <w:b/>
              </w:rPr>
              <w:t>Impact on fiscal and underlying cash balances</w:t>
            </w:r>
          </w:p>
        </w:tc>
      </w:tr>
      <w:tr w:rsidR="00316289" w:rsidRPr="00316289"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keepNext/>
              <w:keepLines/>
              <w:ind w:left="57" w:right="57"/>
              <w:rPr>
                <w:szCs w:val="20"/>
              </w:rPr>
            </w:pPr>
            <w:r w:rsidRPr="00316289">
              <w:rPr>
                <w:szCs w:val="20"/>
              </w:rPr>
              <w:t>Revenue</w:t>
            </w:r>
          </w:p>
        </w:tc>
        <w:tc>
          <w:tcPr>
            <w:tcW w:w="682"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16289">
              <w:rPr>
                <w:rFonts w:ascii="Calibri" w:hAnsi="Calibri"/>
              </w:rPr>
              <w:t>500.0</w:t>
            </w:r>
          </w:p>
        </w:tc>
        <w:tc>
          <w:tcPr>
            <w:tcW w:w="682"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16289">
              <w:rPr>
                <w:rFonts w:ascii="Calibri" w:hAnsi="Calibri"/>
              </w:rPr>
              <w:t>900.0</w:t>
            </w:r>
          </w:p>
        </w:tc>
        <w:tc>
          <w:tcPr>
            <w:tcW w:w="682"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16289">
              <w:rPr>
                <w:rFonts w:ascii="Calibri" w:hAnsi="Calibri"/>
              </w:rPr>
              <w:t>1,000.0</w:t>
            </w:r>
          </w:p>
        </w:tc>
        <w:tc>
          <w:tcPr>
            <w:tcW w:w="682"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16289">
              <w:rPr>
                <w:rFonts w:ascii="Calibri" w:hAnsi="Calibri"/>
              </w:rPr>
              <w:t>1,000.0</w:t>
            </w:r>
          </w:p>
        </w:tc>
        <w:tc>
          <w:tcPr>
            <w:tcW w:w="682"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16289">
              <w:rPr>
                <w:rFonts w:ascii="Calibri" w:hAnsi="Calibri"/>
                <w:b/>
              </w:rPr>
              <w:t>3,400.0</w:t>
            </w:r>
          </w:p>
        </w:tc>
      </w:tr>
      <w:tr w:rsidR="00316289" w:rsidRPr="00316289"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keepNext/>
              <w:keepLines/>
              <w:ind w:left="57" w:right="57"/>
              <w:rPr>
                <w:szCs w:val="20"/>
              </w:rPr>
            </w:pPr>
            <w:r w:rsidRPr="00316289">
              <w:rPr>
                <w:szCs w:val="20"/>
              </w:rPr>
              <w:t>Departmental expenses - ATO</w:t>
            </w:r>
          </w:p>
        </w:tc>
        <w:tc>
          <w:tcPr>
            <w:tcW w:w="682"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16289">
              <w:rPr>
                <w:rFonts w:ascii="Calibri" w:hAnsi="Calibri"/>
              </w:rPr>
              <w:t>-40.0</w:t>
            </w:r>
          </w:p>
        </w:tc>
        <w:tc>
          <w:tcPr>
            <w:tcW w:w="682"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16289">
              <w:rPr>
                <w:rFonts w:ascii="Calibri" w:hAnsi="Calibri"/>
              </w:rPr>
              <w:t>-20.0</w:t>
            </w:r>
          </w:p>
        </w:tc>
        <w:tc>
          <w:tcPr>
            <w:tcW w:w="682"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16289">
              <w:rPr>
                <w:rFonts w:ascii="Calibri" w:hAnsi="Calibri"/>
              </w:rPr>
              <w:t>-20.0</w:t>
            </w:r>
          </w:p>
        </w:tc>
        <w:tc>
          <w:tcPr>
            <w:tcW w:w="682"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16289">
              <w:rPr>
                <w:rFonts w:ascii="Calibri" w:hAnsi="Calibri"/>
              </w:rPr>
              <w:t>-20.0</w:t>
            </w:r>
          </w:p>
        </w:tc>
        <w:tc>
          <w:tcPr>
            <w:tcW w:w="682" w:type="pct"/>
            <w:tcBorders>
              <w:top w:val="single" w:sz="4" w:space="0" w:color="788184"/>
              <w:left w:val="single" w:sz="4" w:space="0" w:color="788184"/>
              <w:bottom w:val="single" w:sz="4" w:space="0" w:color="788184"/>
              <w:right w:val="single" w:sz="4" w:space="0" w:color="788184"/>
            </w:tcBorders>
          </w:tcPr>
          <w:p w:rsidR="00316289" w:rsidRPr="00316289" w:rsidRDefault="00316289" w:rsidP="00316289">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316289">
              <w:rPr>
                <w:rFonts w:ascii="Calibri" w:hAnsi="Calibri"/>
                <w:b/>
              </w:rPr>
              <w:t>-100.0</w:t>
            </w:r>
          </w:p>
        </w:tc>
      </w:tr>
      <w:tr w:rsidR="00316289" w:rsidRPr="00316289"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316289" w:rsidRPr="00316289" w:rsidRDefault="00316289" w:rsidP="00316289">
            <w:pPr>
              <w:keepNext/>
              <w:keepLines/>
              <w:ind w:left="57" w:right="57"/>
              <w:rPr>
                <w:b/>
                <w:szCs w:val="20"/>
              </w:rPr>
            </w:pPr>
            <w:r w:rsidRPr="00316289">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316289" w:rsidRPr="00316289" w:rsidRDefault="00316289" w:rsidP="00316289">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16289">
              <w:rPr>
                <w:rFonts w:ascii="Calibri" w:hAnsi="Calibri"/>
                <w:b/>
              </w:rPr>
              <w:t>460.0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316289" w:rsidRPr="00316289" w:rsidRDefault="00316289" w:rsidP="00316289">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16289">
              <w:rPr>
                <w:rFonts w:ascii="Calibri" w:hAnsi="Calibri"/>
                <w:b/>
              </w:rPr>
              <w:t>880.0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316289" w:rsidRPr="00316289" w:rsidRDefault="00316289" w:rsidP="00316289">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16289">
              <w:rPr>
                <w:rFonts w:ascii="Calibri" w:hAnsi="Calibri"/>
                <w:b/>
              </w:rPr>
              <w:t>980.0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316289" w:rsidRPr="00316289" w:rsidRDefault="00316289" w:rsidP="00316289">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16289">
              <w:rPr>
                <w:rFonts w:ascii="Calibri" w:hAnsi="Calibri"/>
                <w:b/>
              </w:rPr>
              <w:t>980.0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316289" w:rsidRPr="00316289" w:rsidRDefault="00316289" w:rsidP="00316289">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16289">
              <w:rPr>
                <w:rFonts w:ascii="Calibri" w:hAnsi="Calibri"/>
                <w:b/>
              </w:rPr>
              <w:t>3,300.0</w:t>
            </w:r>
          </w:p>
        </w:tc>
      </w:tr>
    </w:tbl>
    <w:p w:rsidR="00316289" w:rsidRPr="00D753F0" w:rsidRDefault="00316289" w:rsidP="000B5C96">
      <w:pPr>
        <w:pStyle w:val="Footnotes"/>
        <w:numPr>
          <w:ilvl w:val="0"/>
          <w:numId w:val="43"/>
        </w:numPr>
        <w:ind w:left="284" w:hanging="284"/>
      </w:pPr>
      <w:r w:rsidRPr="00D753F0">
        <w:t>A positive number indicates an increase in revenue or decrease in expenses or net capital investment in accrual and cash terms.  A negative number indicates a decrease in revenue or an increase in expenses or net capital investment in accrual and cash terms.</w:t>
      </w:r>
    </w:p>
    <w:p w:rsidR="00316289" w:rsidRPr="00316289" w:rsidRDefault="00316289" w:rsidP="0059097F">
      <w:pPr>
        <w:pStyle w:val="Footnotes"/>
      </w:pPr>
      <w:r w:rsidRPr="00316289">
        <w:t>Figures may not sum to totals due to rounding.</w:t>
      </w:r>
    </w:p>
    <w:p w:rsidR="00E651E6" w:rsidRDefault="00E651E6" w:rsidP="00E651E6">
      <w:pPr>
        <w:pStyle w:val="BodyText"/>
        <w:sectPr w:rsidR="00E651E6" w:rsidSect="007E3C99">
          <w:headerReference w:type="even" r:id="rId89"/>
          <w:headerReference w:type="default" r:id="rId90"/>
          <w:footerReference w:type="even" r:id="rId91"/>
          <w:footerReference w:type="default" r:id="rId92"/>
          <w:headerReference w:type="first" r:id="rId93"/>
          <w:footerReference w:type="first" r:id="rId94"/>
          <w:pgSz w:w="11906" w:h="16838"/>
          <w:pgMar w:top="1361" w:right="1797" w:bottom="1474" w:left="1797" w:header="283" w:footer="454" w:gutter="0"/>
          <w:cols w:space="708"/>
          <w:docGrid w:linePitch="360"/>
        </w:sectPr>
      </w:pPr>
    </w:p>
    <w:p w:rsidR="00CE12AC" w:rsidRDefault="003A33DB" w:rsidP="007A4BF9">
      <w:pPr>
        <w:pStyle w:val="Heading5"/>
      </w:pPr>
      <w:bookmarkStart w:id="21" w:name="_Toc455655060"/>
      <w:bookmarkStart w:id="22" w:name="_Toc456766791"/>
      <w:bookmarkStart w:id="23" w:name="_Toc457819885"/>
      <w:bookmarkStart w:id="24" w:name="_Toc458015775"/>
      <w:bookmarkStart w:id="25" w:name="_Toc458090614"/>
      <w:r>
        <w:lastRenderedPageBreak/>
        <w:t>GRN008: Worldwide Gearing Ratio</w:t>
      </w:r>
      <w:bookmarkEnd w:id="21"/>
      <w:bookmarkEnd w:id="22"/>
      <w:bookmarkEnd w:id="23"/>
      <w:bookmarkEnd w:id="24"/>
      <w:bookmarkEnd w:id="25"/>
    </w:p>
    <w:p w:rsidR="00367C10" w:rsidRDefault="003A33DB" w:rsidP="007A4BF9">
      <w:pPr>
        <w:pStyle w:val="BodyText"/>
      </w:pPr>
      <w:r>
        <w:rPr>
          <w:noProof/>
          <w:lang w:eastAsia="en-AU"/>
        </w:rPr>
        <w:drawing>
          <wp:inline distT="0" distB="0" distL="0" distR="0" wp14:anchorId="7ECF965C" wp14:editId="7CC83CAE">
            <wp:extent cx="2696845" cy="572135"/>
            <wp:effectExtent l="0" t="0" r="8255" b="0"/>
            <wp:docPr id="4" name="Picture 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DD2779" w:rsidRPr="00DD2779" w:rsidRDefault="00DD2779" w:rsidP="007A4BF9">
      <w:pPr>
        <w:pStyle w:val="Heading6"/>
        <w:rPr>
          <w:rFonts w:eastAsia="Calibri"/>
        </w:rPr>
      </w:pPr>
      <w:r w:rsidRPr="00DD2779">
        <w:rPr>
          <w:rFonts w:eastAsia="Calibri"/>
        </w:rPr>
        <w:t>Policy costing—during the caretaker period for the 2016 general election</w:t>
      </w:r>
    </w:p>
    <w:tbl>
      <w:tblPr>
        <w:tblStyle w:val="Style1"/>
        <w:tblW w:w="8528" w:type="dxa"/>
        <w:tblLayout w:type="fixed"/>
        <w:tblLook w:val="04A0" w:firstRow="1" w:lastRow="0" w:firstColumn="1" w:lastColumn="0" w:noHBand="0" w:noVBand="1"/>
      </w:tblPr>
      <w:tblGrid>
        <w:gridCol w:w="3073"/>
        <w:gridCol w:w="5455"/>
      </w:tblGrid>
      <w:tr w:rsidR="00DD2779" w:rsidRPr="00AF49FE" w:rsidTr="00567E62">
        <w:trPr>
          <w:cnfStyle w:val="100000000000" w:firstRow="1" w:lastRow="0" w:firstColumn="0" w:lastColumn="0" w:oddVBand="0" w:evenVBand="0" w:oddHBand="0" w:evenHBand="0" w:firstRowFirstColumn="0" w:firstRowLastColumn="0" w:lastRowFirstColumn="0" w:lastRowLastColumn="0"/>
        </w:trPr>
        <w:tc>
          <w:tcPr>
            <w:tcW w:w="3005" w:type="dxa"/>
          </w:tcPr>
          <w:p w:rsidR="00DD2779" w:rsidRPr="00AF49FE" w:rsidRDefault="00DD2779" w:rsidP="00AF49FE">
            <w:pPr>
              <w:pStyle w:val="PullOutBoxHeading"/>
              <w:rPr>
                <w:b/>
                <w:sz w:val="22"/>
              </w:rPr>
            </w:pPr>
            <w:r w:rsidRPr="00AF49FE">
              <w:rPr>
                <w:b/>
                <w:sz w:val="22"/>
              </w:rPr>
              <w:t>Name of proposal:</w:t>
            </w:r>
          </w:p>
        </w:tc>
        <w:tc>
          <w:tcPr>
            <w:tcW w:w="5335" w:type="dxa"/>
          </w:tcPr>
          <w:p w:rsidR="00DD2779" w:rsidRPr="00AF49FE" w:rsidRDefault="00DD2779" w:rsidP="00AF49FE">
            <w:pPr>
              <w:pStyle w:val="PullOutBoxHeading"/>
              <w:rPr>
                <w:b/>
                <w:sz w:val="22"/>
              </w:rPr>
            </w:pPr>
            <w:r w:rsidRPr="00AF49FE">
              <w:rPr>
                <w:b/>
                <w:sz w:val="22"/>
              </w:rPr>
              <w:t>Worldwide Gearing Ratio</w:t>
            </w:r>
          </w:p>
        </w:tc>
      </w:tr>
      <w:tr w:rsidR="00DD2779" w:rsidRPr="00DD2779" w:rsidTr="00567E62">
        <w:tc>
          <w:tcPr>
            <w:tcW w:w="3005" w:type="dxa"/>
          </w:tcPr>
          <w:p w:rsidR="00DD2779" w:rsidRPr="00DD2779" w:rsidRDefault="00DD2779" w:rsidP="00E1733B">
            <w:pPr>
              <w:pStyle w:val="PullOutBoxBodyText"/>
            </w:pPr>
            <w:r w:rsidRPr="00DD2779">
              <w:t>Summary of proposal:</w:t>
            </w:r>
          </w:p>
        </w:tc>
        <w:tc>
          <w:tcPr>
            <w:tcW w:w="5335" w:type="dxa"/>
          </w:tcPr>
          <w:p w:rsidR="00DD2779" w:rsidRPr="00DD2779" w:rsidRDefault="00DD2779" w:rsidP="00E1733B">
            <w:pPr>
              <w:pStyle w:val="PullOutBoxBodyText"/>
            </w:pPr>
            <w:r w:rsidRPr="00DD2779">
              <w:t>The proposal would remove the current thin capitalisation rules so that a company’s limit of allowable debt deductions would be determined by the debt to equity ratio for their global operations.</w:t>
            </w:r>
          </w:p>
          <w:p w:rsidR="00DD2779" w:rsidRPr="00DD2779" w:rsidRDefault="00DD2779" w:rsidP="00E1733B">
            <w:pPr>
              <w:pStyle w:val="PullOutBoxBodyText"/>
            </w:pPr>
            <w:r w:rsidRPr="00DD2779">
              <w:t>This proposal would have effect from 1 September 2016.</w:t>
            </w:r>
          </w:p>
        </w:tc>
      </w:tr>
      <w:tr w:rsidR="00DD2779" w:rsidRPr="00DD2779" w:rsidTr="00567E62">
        <w:tc>
          <w:tcPr>
            <w:tcW w:w="3005" w:type="dxa"/>
          </w:tcPr>
          <w:p w:rsidR="00DD2779" w:rsidRPr="00DD2779" w:rsidRDefault="00DD2779" w:rsidP="00E1733B">
            <w:pPr>
              <w:pStyle w:val="PullOutBoxBodyText"/>
            </w:pPr>
            <w:r w:rsidRPr="00DD2779">
              <w:t>Person/party requesting costing:</w:t>
            </w:r>
          </w:p>
        </w:tc>
        <w:tc>
          <w:tcPr>
            <w:tcW w:w="5335" w:type="dxa"/>
          </w:tcPr>
          <w:p w:rsidR="00DD2779" w:rsidRPr="00DD2779" w:rsidRDefault="00DD2779" w:rsidP="00E1733B">
            <w:pPr>
              <w:pStyle w:val="PullOutBoxBodyText"/>
            </w:pPr>
            <w:r w:rsidRPr="00DD2779">
              <w:t>Senator Richard Di Natale, Australian Greens</w:t>
            </w:r>
          </w:p>
        </w:tc>
      </w:tr>
      <w:tr w:rsidR="00DD2779" w:rsidRPr="00DD2779" w:rsidTr="00567E62">
        <w:tc>
          <w:tcPr>
            <w:tcW w:w="3005" w:type="dxa"/>
          </w:tcPr>
          <w:p w:rsidR="00DD2779" w:rsidRPr="00DD2779" w:rsidRDefault="00DD2779" w:rsidP="00E1733B">
            <w:pPr>
              <w:pStyle w:val="PullOutBoxBodyText"/>
            </w:pPr>
            <w:r w:rsidRPr="00DD2779">
              <w:t>Date of public release of policy:</w:t>
            </w:r>
          </w:p>
        </w:tc>
        <w:tc>
          <w:tcPr>
            <w:tcW w:w="5335" w:type="dxa"/>
          </w:tcPr>
          <w:p w:rsidR="00DD2779" w:rsidRPr="00DD2779" w:rsidRDefault="00DD2779" w:rsidP="003A1F07">
            <w:pPr>
              <w:pStyle w:val="PullOutBoxBodyText"/>
            </w:pPr>
            <w:r w:rsidRPr="00DD2779">
              <w:t xml:space="preserve">22 June 2016 </w:t>
            </w:r>
            <w:hyperlink r:id="rId95" w:history="1">
              <w:r w:rsidRPr="003A1F07">
                <w:rPr>
                  <w:u w:val="single"/>
                </w:rPr>
                <w:t>http://greens.org.au/sites/greens.org.au/files/Tax%20Avoidance%20Package_0.pdf</w:t>
              </w:r>
            </w:hyperlink>
          </w:p>
        </w:tc>
      </w:tr>
      <w:tr w:rsidR="00DD2779" w:rsidRPr="00DD2779" w:rsidTr="00567E62">
        <w:tc>
          <w:tcPr>
            <w:tcW w:w="3005" w:type="dxa"/>
          </w:tcPr>
          <w:p w:rsidR="00DD2779" w:rsidRPr="00DD2779" w:rsidRDefault="00DD2779" w:rsidP="00E1733B">
            <w:pPr>
              <w:pStyle w:val="PullOutBoxBodyText"/>
            </w:pPr>
            <w:r w:rsidRPr="00DD2779">
              <w:t>Date costing request received:</w:t>
            </w:r>
          </w:p>
        </w:tc>
        <w:tc>
          <w:tcPr>
            <w:tcW w:w="5335" w:type="dxa"/>
          </w:tcPr>
          <w:p w:rsidR="00DD2779" w:rsidRPr="00DD2779" w:rsidRDefault="00DD2779" w:rsidP="00E1733B">
            <w:pPr>
              <w:pStyle w:val="PullOutBoxBodyText"/>
            </w:pPr>
            <w:r w:rsidRPr="00DD2779">
              <w:t>23 June 2016</w:t>
            </w:r>
          </w:p>
        </w:tc>
      </w:tr>
      <w:tr w:rsidR="00DD2779" w:rsidRPr="00DD2779" w:rsidTr="00567E62">
        <w:tc>
          <w:tcPr>
            <w:tcW w:w="3005" w:type="dxa"/>
          </w:tcPr>
          <w:p w:rsidR="00DD2779" w:rsidRPr="00DD2779" w:rsidRDefault="00DD2779" w:rsidP="00E1733B">
            <w:pPr>
              <w:pStyle w:val="PullOutBoxBodyText"/>
            </w:pPr>
            <w:r w:rsidRPr="00DD2779">
              <w:t>Date costing completed</w:t>
            </w:r>
          </w:p>
        </w:tc>
        <w:tc>
          <w:tcPr>
            <w:tcW w:w="5335" w:type="dxa"/>
          </w:tcPr>
          <w:p w:rsidR="00DD2779" w:rsidRPr="00DD2779" w:rsidRDefault="00DD2779" w:rsidP="00E1733B">
            <w:pPr>
              <w:pStyle w:val="PullOutBoxBodyText"/>
            </w:pPr>
            <w:r w:rsidRPr="00DD2779">
              <w:t>24 June 2016</w:t>
            </w:r>
          </w:p>
        </w:tc>
      </w:tr>
      <w:tr w:rsidR="00DD2779" w:rsidRPr="00DD2779" w:rsidTr="00567E62">
        <w:tc>
          <w:tcPr>
            <w:tcW w:w="3005" w:type="dxa"/>
          </w:tcPr>
          <w:p w:rsidR="00DD2779" w:rsidRPr="00DD2779" w:rsidRDefault="00DD2779" w:rsidP="00E1733B">
            <w:pPr>
              <w:pStyle w:val="PullOutBoxBodyText"/>
            </w:pPr>
            <w:r w:rsidRPr="00DD2779">
              <w:t>Expiry date for the costing:</w:t>
            </w:r>
          </w:p>
        </w:tc>
        <w:tc>
          <w:tcPr>
            <w:tcW w:w="5335" w:type="dxa"/>
          </w:tcPr>
          <w:p w:rsidR="00DD2779" w:rsidRPr="00DD2779" w:rsidRDefault="00DD2779" w:rsidP="00E1733B">
            <w:pPr>
              <w:pStyle w:val="PullOutBoxBodyText"/>
            </w:pPr>
            <w:r w:rsidRPr="00DD2779">
              <w:t>Release of the next economic and fiscal outlook report</w:t>
            </w:r>
          </w:p>
        </w:tc>
      </w:tr>
    </w:tbl>
    <w:p w:rsidR="00DD2779" w:rsidRPr="00DD2779" w:rsidRDefault="00DD2779" w:rsidP="00E1733B">
      <w:pPr>
        <w:pStyle w:val="Heading6"/>
        <w:rPr>
          <w:rFonts w:eastAsia="Calibri"/>
        </w:rPr>
      </w:pPr>
      <w:r w:rsidRPr="00DD2779">
        <w:rPr>
          <w:rFonts w:eastAsia="Calibri"/>
        </w:rPr>
        <w:t>Costing overview</w:t>
      </w:r>
    </w:p>
    <w:p w:rsidR="00DD2779" w:rsidRPr="00DD2779" w:rsidRDefault="00DD2779" w:rsidP="00A43DA9">
      <w:pPr>
        <w:pStyle w:val="BodyText"/>
        <w:rPr>
          <w:highlight w:val="yellow"/>
        </w:rPr>
      </w:pPr>
      <w:r w:rsidRPr="00DD2779">
        <w:t>This proposal would be expected to increase the fiscal and underlying cash balances by $1,750 million over the 2016-17 Budget forward estimates period.  This proposal would have an ongoing impact beyond the forward estimates period.</w:t>
      </w:r>
    </w:p>
    <w:p w:rsidR="00DD2779" w:rsidRPr="00DD2779" w:rsidRDefault="00DD2779" w:rsidP="00A43DA9">
      <w:pPr>
        <w:pStyle w:val="BodyText"/>
      </w:pPr>
      <w:r w:rsidRPr="00DD2779">
        <w:t>Departmental expenses are not expected to be significant and have not been included in this costing.</w:t>
      </w:r>
    </w:p>
    <w:p w:rsidR="00DD2779" w:rsidRPr="00DD2779" w:rsidRDefault="00DD2779" w:rsidP="00A43DA9">
      <w:pPr>
        <w:pStyle w:val="BodyText"/>
      </w:pPr>
      <w:r w:rsidRPr="00DD2779">
        <w:t>This costing is considered to be of low reliability.  To reliably cost this proposal would require detailed knowledge of the current tax practices of large multinational companies and their likely behavioural responses to this proposal.  As there is very little reliable data on which to base these estimates the costing is highly sensitive to a range of assumptions.</w:t>
      </w:r>
    </w:p>
    <w:p w:rsidR="00DD2779" w:rsidRPr="00DD2779" w:rsidRDefault="00DD2779" w:rsidP="00905B06">
      <w:pPr>
        <w:pStyle w:val="Caption"/>
      </w:pPr>
      <w:r w:rsidRPr="00DD2779">
        <w:lastRenderedPageBreak/>
        <w:t>Table 1: Financial implications (outturn prices)</w:t>
      </w:r>
      <w:r w:rsidRPr="00DD2779">
        <w:rPr>
          <w:vertAlign w:val="superscript"/>
        </w:rPr>
        <w:t>(a)(b)</w:t>
      </w:r>
    </w:p>
    <w:tbl>
      <w:tblPr>
        <w:tblStyle w:val="TableGrid12"/>
        <w:tblW w:w="4993" w:type="pct"/>
        <w:tblLook w:val="04A0" w:firstRow="1" w:lastRow="0" w:firstColumn="1" w:lastColumn="0" w:noHBand="0" w:noVBand="1"/>
      </w:tblPr>
      <w:tblGrid>
        <w:gridCol w:w="2645"/>
        <w:gridCol w:w="1134"/>
        <w:gridCol w:w="1133"/>
        <w:gridCol w:w="1133"/>
        <w:gridCol w:w="1133"/>
        <w:gridCol w:w="1132"/>
      </w:tblGrid>
      <w:tr w:rsidR="00DD2779" w:rsidRPr="00DD2779" w:rsidTr="00567E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DD2779" w:rsidRPr="00DD2779" w:rsidRDefault="00DD2779" w:rsidP="00DD2779">
            <w:pPr>
              <w:keepNext/>
              <w:keepLines/>
              <w:rPr>
                <w:szCs w:val="20"/>
              </w:rPr>
            </w:pPr>
            <w:r w:rsidRPr="00DD2779">
              <w:rPr>
                <w:szCs w:val="20"/>
              </w:rPr>
              <w:t>Impact on ($m)</w:t>
            </w:r>
          </w:p>
        </w:tc>
        <w:tc>
          <w:tcPr>
            <w:tcW w:w="682" w:type="pct"/>
          </w:tcPr>
          <w:p w:rsidR="00DD2779" w:rsidRPr="00DD2779" w:rsidRDefault="00DD2779" w:rsidP="00DD2779">
            <w:pPr>
              <w:keepNext/>
              <w:keepLines/>
              <w:cnfStyle w:val="100000000000" w:firstRow="1" w:lastRow="0" w:firstColumn="0" w:lastColumn="0" w:oddVBand="0" w:evenVBand="0" w:oddHBand="0" w:evenHBand="0" w:firstRowFirstColumn="0" w:firstRowLastColumn="0" w:lastRowFirstColumn="0" w:lastRowLastColumn="0"/>
              <w:rPr>
                <w:szCs w:val="20"/>
              </w:rPr>
            </w:pPr>
            <w:r w:rsidRPr="00DD2779">
              <w:rPr>
                <w:szCs w:val="20"/>
              </w:rPr>
              <w:t>2016–17</w:t>
            </w:r>
          </w:p>
        </w:tc>
        <w:tc>
          <w:tcPr>
            <w:tcW w:w="682" w:type="pct"/>
          </w:tcPr>
          <w:p w:rsidR="00DD2779" w:rsidRPr="00DD2779" w:rsidRDefault="00DD2779" w:rsidP="00DD2779">
            <w:pPr>
              <w:keepNext/>
              <w:keepLines/>
              <w:cnfStyle w:val="100000000000" w:firstRow="1" w:lastRow="0" w:firstColumn="0" w:lastColumn="0" w:oddVBand="0" w:evenVBand="0" w:oddHBand="0" w:evenHBand="0" w:firstRowFirstColumn="0" w:firstRowLastColumn="0" w:lastRowFirstColumn="0" w:lastRowLastColumn="0"/>
              <w:rPr>
                <w:szCs w:val="20"/>
              </w:rPr>
            </w:pPr>
            <w:r w:rsidRPr="00DD2779">
              <w:rPr>
                <w:szCs w:val="20"/>
              </w:rPr>
              <w:t>2017–18</w:t>
            </w:r>
          </w:p>
        </w:tc>
        <w:tc>
          <w:tcPr>
            <w:tcW w:w="682" w:type="pct"/>
          </w:tcPr>
          <w:p w:rsidR="00DD2779" w:rsidRPr="00DD2779" w:rsidRDefault="00DD2779" w:rsidP="00DD2779">
            <w:pPr>
              <w:keepNext/>
              <w:keepLines/>
              <w:cnfStyle w:val="100000000000" w:firstRow="1" w:lastRow="0" w:firstColumn="0" w:lastColumn="0" w:oddVBand="0" w:evenVBand="0" w:oddHBand="0" w:evenHBand="0" w:firstRowFirstColumn="0" w:firstRowLastColumn="0" w:lastRowFirstColumn="0" w:lastRowLastColumn="0"/>
              <w:rPr>
                <w:szCs w:val="20"/>
              </w:rPr>
            </w:pPr>
            <w:r w:rsidRPr="00DD2779">
              <w:rPr>
                <w:szCs w:val="20"/>
              </w:rPr>
              <w:t>2018–19</w:t>
            </w:r>
          </w:p>
        </w:tc>
        <w:tc>
          <w:tcPr>
            <w:tcW w:w="682" w:type="pct"/>
          </w:tcPr>
          <w:p w:rsidR="00DD2779" w:rsidRPr="00DD2779" w:rsidRDefault="00DD2779" w:rsidP="00DD2779">
            <w:pPr>
              <w:keepNext/>
              <w:keepLines/>
              <w:cnfStyle w:val="100000000000" w:firstRow="1" w:lastRow="0" w:firstColumn="0" w:lastColumn="0" w:oddVBand="0" w:evenVBand="0" w:oddHBand="0" w:evenHBand="0" w:firstRowFirstColumn="0" w:firstRowLastColumn="0" w:lastRowFirstColumn="0" w:lastRowLastColumn="0"/>
              <w:rPr>
                <w:b/>
                <w:szCs w:val="20"/>
              </w:rPr>
            </w:pPr>
            <w:r w:rsidRPr="00DD2779">
              <w:rPr>
                <w:szCs w:val="20"/>
              </w:rPr>
              <w:t>2019–20</w:t>
            </w:r>
          </w:p>
        </w:tc>
        <w:tc>
          <w:tcPr>
            <w:tcW w:w="681" w:type="pct"/>
          </w:tcPr>
          <w:p w:rsidR="00DD2779" w:rsidRPr="00DD2779" w:rsidRDefault="00DD2779" w:rsidP="00DD2779">
            <w:pPr>
              <w:keepNext/>
              <w:keepLines/>
              <w:cnfStyle w:val="100000000000" w:firstRow="1" w:lastRow="0" w:firstColumn="0" w:lastColumn="0" w:oddVBand="0" w:evenVBand="0" w:oddHBand="0" w:evenHBand="0" w:firstRowFirstColumn="0" w:firstRowLastColumn="0" w:lastRowFirstColumn="0" w:lastRowLastColumn="0"/>
              <w:rPr>
                <w:b/>
                <w:szCs w:val="20"/>
              </w:rPr>
            </w:pPr>
            <w:r w:rsidRPr="00DD2779">
              <w:rPr>
                <w:b/>
                <w:szCs w:val="20"/>
              </w:rPr>
              <w:t>Total</w:t>
            </w:r>
          </w:p>
        </w:tc>
      </w:tr>
      <w:tr w:rsidR="00720648" w:rsidRPr="00DD2779" w:rsidTr="00567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DD2779" w:rsidRPr="00DD2779" w:rsidRDefault="00DD2779" w:rsidP="00DD2779">
            <w:pPr>
              <w:keepNext/>
              <w:keepLines/>
              <w:rPr>
                <w:szCs w:val="20"/>
              </w:rPr>
            </w:pPr>
            <w:r w:rsidRPr="00DD2779">
              <w:rPr>
                <w:szCs w:val="20"/>
              </w:rPr>
              <w:t>Fiscal balance</w:t>
            </w:r>
          </w:p>
        </w:tc>
        <w:tc>
          <w:tcPr>
            <w:tcW w:w="682" w:type="pct"/>
          </w:tcPr>
          <w:p w:rsidR="00DD2779" w:rsidRPr="00DD2779" w:rsidRDefault="00DD2779" w:rsidP="00DD2779">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DD2779">
              <w:rPr>
                <w:rFonts w:ascii="Calibri" w:hAnsi="Calibri"/>
                <w:szCs w:val="20"/>
              </w:rPr>
              <w:t>150.0</w:t>
            </w:r>
          </w:p>
        </w:tc>
        <w:tc>
          <w:tcPr>
            <w:tcW w:w="682" w:type="pct"/>
          </w:tcPr>
          <w:p w:rsidR="00DD2779" w:rsidRPr="00DD2779" w:rsidRDefault="00DD2779" w:rsidP="00DD2779">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DD2779">
              <w:rPr>
                <w:rFonts w:ascii="Calibri" w:hAnsi="Calibri"/>
                <w:szCs w:val="20"/>
              </w:rPr>
              <w:t>600.0</w:t>
            </w:r>
          </w:p>
        </w:tc>
        <w:tc>
          <w:tcPr>
            <w:tcW w:w="682" w:type="pct"/>
          </w:tcPr>
          <w:p w:rsidR="00DD2779" w:rsidRPr="00DD2779" w:rsidRDefault="00DD2779" w:rsidP="00DD2779">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DD2779">
              <w:rPr>
                <w:rFonts w:ascii="Calibri" w:hAnsi="Calibri"/>
                <w:szCs w:val="20"/>
              </w:rPr>
              <w:t>500.0</w:t>
            </w:r>
          </w:p>
        </w:tc>
        <w:tc>
          <w:tcPr>
            <w:tcW w:w="682" w:type="pct"/>
          </w:tcPr>
          <w:p w:rsidR="00DD2779" w:rsidRPr="00DD2779" w:rsidRDefault="00DD2779" w:rsidP="00DD2779">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DD2779">
              <w:rPr>
                <w:rFonts w:ascii="Calibri" w:hAnsi="Calibri"/>
                <w:szCs w:val="20"/>
              </w:rPr>
              <w:t>500.0</w:t>
            </w:r>
          </w:p>
        </w:tc>
        <w:tc>
          <w:tcPr>
            <w:tcW w:w="681" w:type="pct"/>
          </w:tcPr>
          <w:p w:rsidR="00DD2779" w:rsidRPr="00DD2779" w:rsidRDefault="00DD2779" w:rsidP="00DD2779">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DD2779">
              <w:rPr>
                <w:rFonts w:ascii="Calibri" w:hAnsi="Calibri"/>
                <w:b/>
                <w:szCs w:val="20"/>
              </w:rPr>
              <w:t>1,750.0</w:t>
            </w:r>
          </w:p>
        </w:tc>
      </w:tr>
      <w:tr w:rsidR="00DD2779" w:rsidRPr="00DD2779" w:rsidTr="00567E62">
        <w:tc>
          <w:tcPr>
            <w:cnfStyle w:val="001000000000" w:firstRow="0" w:lastRow="0" w:firstColumn="1" w:lastColumn="0" w:oddVBand="0" w:evenVBand="0" w:oddHBand="0" w:evenHBand="0" w:firstRowFirstColumn="0" w:firstRowLastColumn="0" w:lastRowFirstColumn="0" w:lastRowLastColumn="0"/>
            <w:tcW w:w="1591" w:type="pct"/>
          </w:tcPr>
          <w:p w:rsidR="00DD2779" w:rsidRPr="00DD2779" w:rsidRDefault="00DD2779" w:rsidP="00DD2779">
            <w:pPr>
              <w:keepNext/>
              <w:keepLines/>
              <w:rPr>
                <w:szCs w:val="20"/>
              </w:rPr>
            </w:pPr>
            <w:r w:rsidRPr="00DD2779">
              <w:rPr>
                <w:szCs w:val="20"/>
              </w:rPr>
              <w:t>Underlying cash balance</w:t>
            </w:r>
          </w:p>
        </w:tc>
        <w:tc>
          <w:tcPr>
            <w:tcW w:w="682" w:type="pct"/>
          </w:tcPr>
          <w:p w:rsidR="00DD2779" w:rsidRPr="00DD2779" w:rsidRDefault="00DD2779" w:rsidP="00DD2779">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D2779">
              <w:rPr>
                <w:rFonts w:ascii="Calibri" w:hAnsi="Calibri"/>
                <w:szCs w:val="20"/>
              </w:rPr>
              <w:t>150.0</w:t>
            </w:r>
          </w:p>
        </w:tc>
        <w:tc>
          <w:tcPr>
            <w:tcW w:w="682" w:type="pct"/>
          </w:tcPr>
          <w:p w:rsidR="00DD2779" w:rsidRPr="00DD2779" w:rsidRDefault="00DD2779" w:rsidP="00DD2779">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D2779">
              <w:rPr>
                <w:rFonts w:ascii="Calibri" w:hAnsi="Calibri"/>
                <w:szCs w:val="20"/>
              </w:rPr>
              <w:t>600.0</w:t>
            </w:r>
          </w:p>
        </w:tc>
        <w:tc>
          <w:tcPr>
            <w:tcW w:w="682" w:type="pct"/>
          </w:tcPr>
          <w:p w:rsidR="00DD2779" w:rsidRPr="00DD2779" w:rsidRDefault="00DD2779" w:rsidP="00DD2779">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D2779">
              <w:rPr>
                <w:rFonts w:ascii="Calibri" w:hAnsi="Calibri"/>
                <w:szCs w:val="20"/>
              </w:rPr>
              <w:t>500.0</w:t>
            </w:r>
          </w:p>
        </w:tc>
        <w:tc>
          <w:tcPr>
            <w:tcW w:w="682" w:type="pct"/>
          </w:tcPr>
          <w:p w:rsidR="00DD2779" w:rsidRPr="00DD2779" w:rsidRDefault="00DD2779" w:rsidP="00DD2779">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D2779">
              <w:rPr>
                <w:rFonts w:ascii="Calibri" w:hAnsi="Calibri"/>
                <w:szCs w:val="20"/>
              </w:rPr>
              <w:t>500.0</w:t>
            </w:r>
          </w:p>
        </w:tc>
        <w:tc>
          <w:tcPr>
            <w:tcW w:w="681" w:type="pct"/>
          </w:tcPr>
          <w:p w:rsidR="00DD2779" w:rsidRPr="00DD2779" w:rsidRDefault="00DD2779" w:rsidP="00DD2779">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DD2779">
              <w:rPr>
                <w:rFonts w:ascii="Calibri" w:hAnsi="Calibri"/>
                <w:b/>
                <w:szCs w:val="20"/>
              </w:rPr>
              <w:t>1,750.0</w:t>
            </w:r>
          </w:p>
        </w:tc>
      </w:tr>
    </w:tbl>
    <w:p w:rsidR="00DD2779" w:rsidRPr="00DD2779" w:rsidRDefault="00DD2779" w:rsidP="000B5C96">
      <w:pPr>
        <w:pStyle w:val="Footnotes"/>
        <w:numPr>
          <w:ilvl w:val="0"/>
          <w:numId w:val="44"/>
        </w:numPr>
        <w:ind w:left="284" w:hanging="284"/>
      </w:pPr>
      <w:bookmarkStart w:id="26" w:name="Key_assumptions"/>
      <w:bookmarkEnd w:id="26"/>
      <w:r w:rsidRPr="00DD2779">
        <w:t>A positive number represents an increase in the relevant budget balance, a negative number represents a decrease.</w:t>
      </w:r>
    </w:p>
    <w:p w:rsidR="00DD2779" w:rsidRPr="00DD2779" w:rsidRDefault="00DD2779" w:rsidP="000B5C96">
      <w:pPr>
        <w:pStyle w:val="Footnotes"/>
        <w:numPr>
          <w:ilvl w:val="0"/>
          <w:numId w:val="44"/>
        </w:numPr>
        <w:ind w:left="284" w:hanging="284"/>
      </w:pPr>
      <w:r w:rsidRPr="00DD2779">
        <w:t>Figures may not sum to totals due to rounding.</w:t>
      </w:r>
    </w:p>
    <w:p w:rsidR="00DD2779" w:rsidRPr="00DD2779" w:rsidRDefault="00DD2779" w:rsidP="00905B06">
      <w:pPr>
        <w:pStyle w:val="CostingsH7"/>
        <w:rPr>
          <w:rFonts w:eastAsia="Calibri"/>
        </w:rPr>
      </w:pPr>
      <w:r w:rsidRPr="00DD2779">
        <w:rPr>
          <w:rFonts w:eastAsia="Calibri"/>
        </w:rPr>
        <w:t>Key assumptions</w:t>
      </w:r>
    </w:p>
    <w:p w:rsidR="00DD2779" w:rsidRPr="00DD2779" w:rsidRDefault="00DD2779" w:rsidP="00A43DA9">
      <w:pPr>
        <w:pStyle w:val="ListBullet"/>
        <w:rPr>
          <w:lang w:eastAsia="en-AU"/>
        </w:rPr>
      </w:pPr>
      <w:r w:rsidRPr="00DD2779">
        <w:rPr>
          <w:lang w:eastAsia="en-AU"/>
        </w:rPr>
        <w:t>The available Australian Taxation Office (ATO) company data on thin capitalisation shows that very few companies have used the ‘worldwide gearing debt amount’ test to determine their allowable deduction amount, with most using either the safe harbour or  arm’s length test.  This means that most companies have not been required to submit information on the level of their worldwide gearing to the ATO.</w:t>
      </w:r>
    </w:p>
    <w:p w:rsidR="00DD2779" w:rsidRPr="00DD2779" w:rsidRDefault="00DD2779" w:rsidP="00A43DA9">
      <w:pPr>
        <w:pStyle w:val="ListBullet"/>
        <w:rPr>
          <w:lang w:eastAsia="en-AU"/>
        </w:rPr>
      </w:pPr>
      <w:r w:rsidRPr="00DD2779">
        <w:rPr>
          <w:lang w:eastAsia="en-AU"/>
        </w:rPr>
        <w:t>In the absence of this information the Parliamentary Budget Office (PBO) has calculated the average debt/equity ratios by industry group.  Companies are assumed to have a worldwide gearing ratio equal to the average of their industry.</w:t>
      </w:r>
    </w:p>
    <w:p w:rsidR="00DD2779" w:rsidRPr="00DD2779" w:rsidRDefault="00DD2779" w:rsidP="00A43DA9">
      <w:pPr>
        <w:pStyle w:val="ListBullet"/>
        <w:rPr>
          <w:lang w:eastAsia="en-AU"/>
        </w:rPr>
      </w:pPr>
      <w:r w:rsidRPr="00DD2779">
        <w:rPr>
          <w:lang w:eastAsia="en-AU"/>
        </w:rPr>
        <w:t xml:space="preserve">The costing makes an allowance for the possibility that some companies may alter their behaviour in order to avoid the impact of this proposal. </w:t>
      </w:r>
    </w:p>
    <w:p w:rsidR="00DD2779" w:rsidRPr="00DD2779" w:rsidRDefault="00DD2779" w:rsidP="00A43DA9">
      <w:pPr>
        <w:pStyle w:val="ListBullet"/>
        <w:rPr>
          <w:lang w:eastAsia="en-AU"/>
        </w:rPr>
      </w:pPr>
      <w:r w:rsidRPr="00DD2779">
        <w:rPr>
          <w:lang w:eastAsia="en-AU"/>
        </w:rPr>
        <w:t>The ATO would not vary the company pay as you go (PAYG) instalments in the first year of the proposal.  Where this proposal results in a company paying higher income tax in relation to the 2016-17 income year, this would flow through to higher PAYG instalments in subsequent years.</w:t>
      </w:r>
    </w:p>
    <w:p w:rsidR="00DD2779" w:rsidRPr="00DD2779" w:rsidRDefault="00DD2779" w:rsidP="00905B06">
      <w:pPr>
        <w:pStyle w:val="CostingsH7"/>
        <w:rPr>
          <w:rFonts w:eastAsia="Calibri"/>
        </w:rPr>
      </w:pPr>
      <w:r w:rsidRPr="00DD2779">
        <w:rPr>
          <w:rFonts w:eastAsia="Calibri"/>
        </w:rPr>
        <w:t>Methodology</w:t>
      </w:r>
    </w:p>
    <w:p w:rsidR="00DD2779" w:rsidRPr="00DD2779" w:rsidRDefault="00DD2779" w:rsidP="00A43DA9">
      <w:pPr>
        <w:pStyle w:val="BodyText"/>
      </w:pPr>
      <w:r w:rsidRPr="00DD2779">
        <w:t xml:space="preserve">The financial impact of this proposal is based on ATO unit record debt deduction data for multinational companies.  The impact of this proposal was estimated by calculating the allowable debt deduction under the proposed rules (worldwide gearing test only) for each company and subtracting the current amount of allowable debt deductions (where companies can use the safe harbour, arm’s length or the worldwide gearing test).  </w:t>
      </w:r>
    </w:p>
    <w:p w:rsidR="00DD2779" w:rsidRPr="00DD2779" w:rsidRDefault="00DD2779" w:rsidP="00A43DA9">
      <w:pPr>
        <w:pStyle w:val="BodyText"/>
      </w:pPr>
      <w:r w:rsidRPr="00DD2779">
        <w:t>Estimates are rounded to the nearest $50 million.</w:t>
      </w:r>
    </w:p>
    <w:p w:rsidR="00DD2779" w:rsidRPr="00DD2779" w:rsidRDefault="00DD2779" w:rsidP="00905B06">
      <w:pPr>
        <w:pStyle w:val="CostingsH7"/>
        <w:rPr>
          <w:rFonts w:eastAsia="Calibri"/>
        </w:rPr>
      </w:pPr>
      <w:r w:rsidRPr="00DD2779">
        <w:rPr>
          <w:rFonts w:eastAsia="Calibri"/>
        </w:rPr>
        <w:t>Data sources</w:t>
      </w:r>
    </w:p>
    <w:p w:rsidR="00DD2779" w:rsidRPr="00DD2779" w:rsidRDefault="00DD2779" w:rsidP="00A43DA9">
      <w:pPr>
        <w:pStyle w:val="ListBullet"/>
        <w:rPr>
          <w:lang w:eastAsia="en-AU"/>
        </w:rPr>
      </w:pPr>
      <w:r w:rsidRPr="00DD2779">
        <w:rPr>
          <w:lang w:eastAsia="en-AU"/>
        </w:rPr>
        <w:t xml:space="preserve">ATO unit record data from the thin capitalisation schedule. </w:t>
      </w:r>
    </w:p>
    <w:p w:rsidR="00DD2779" w:rsidRPr="00DD2779" w:rsidRDefault="00DD2779" w:rsidP="00A43DA9">
      <w:pPr>
        <w:pStyle w:val="ListBullet"/>
        <w:rPr>
          <w:lang w:eastAsia="en-AU"/>
        </w:rPr>
      </w:pPr>
      <w:r w:rsidRPr="00DD2779">
        <w:rPr>
          <w:lang w:eastAsia="en-AU"/>
        </w:rPr>
        <w:t>ATO international dealings schedule data.</w:t>
      </w:r>
    </w:p>
    <w:p w:rsidR="00DD2779" w:rsidRDefault="00DD2779" w:rsidP="00A43DA9">
      <w:pPr>
        <w:pStyle w:val="ListBullet"/>
        <w:rPr>
          <w:lang w:eastAsia="en-AU"/>
        </w:rPr>
      </w:pPr>
      <w:r w:rsidRPr="00DD2779">
        <w:rPr>
          <w:lang w:eastAsia="en-AU"/>
        </w:rPr>
        <w:t>Budget 2016-17 parameters.</w:t>
      </w:r>
    </w:p>
    <w:p w:rsidR="00A43DA9" w:rsidRDefault="00A43DA9" w:rsidP="00A43DA9">
      <w:pPr>
        <w:pStyle w:val="BodyText"/>
        <w:rPr>
          <w:lang w:eastAsia="en-AU"/>
        </w:rPr>
        <w:sectPr w:rsidR="00A43DA9" w:rsidSect="007E3C99">
          <w:headerReference w:type="even" r:id="rId96"/>
          <w:headerReference w:type="default" r:id="rId97"/>
          <w:footerReference w:type="even" r:id="rId98"/>
          <w:footerReference w:type="default" r:id="rId99"/>
          <w:pgSz w:w="11906" w:h="16838"/>
          <w:pgMar w:top="1361" w:right="1797" w:bottom="1474" w:left="1797" w:header="283" w:footer="454" w:gutter="0"/>
          <w:cols w:space="708"/>
          <w:docGrid w:linePitch="360"/>
        </w:sectPr>
      </w:pPr>
    </w:p>
    <w:p w:rsidR="00720648" w:rsidRDefault="00720648" w:rsidP="007A4BF9">
      <w:pPr>
        <w:pStyle w:val="Heading5"/>
      </w:pPr>
      <w:bookmarkStart w:id="27" w:name="_Toc455655061"/>
      <w:bookmarkStart w:id="28" w:name="_Toc456766792"/>
      <w:bookmarkStart w:id="29" w:name="_Toc457819886"/>
      <w:bookmarkStart w:id="30" w:name="_Toc458015776"/>
      <w:bookmarkStart w:id="31" w:name="_Toc458090615"/>
      <w:r>
        <w:lastRenderedPageBreak/>
        <w:t>GRN009: Phasing Out Private Health Insurance</w:t>
      </w:r>
      <w:bookmarkEnd w:id="27"/>
      <w:bookmarkEnd w:id="28"/>
      <w:bookmarkEnd w:id="29"/>
      <w:bookmarkEnd w:id="30"/>
      <w:bookmarkEnd w:id="31"/>
    </w:p>
    <w:p w:rsidR="003A33DB" w:rsidRDefault="00720648" w:rsidP="007A4BF9">
      <w:pPr>
        <w:pStyle w:val="BodyText"/>
      </w:pPr>
      <w:r>
        <w:rPr>
          <w:noProof/>
          <w:lang w:eastAsia="en-AU"/>
        </w:rPr>
        <w:drawing>
          <wp:inline distT="0" distB="0" distL="0" distR="0" wp14:anchorId="28CCE9C1" wp14:editId="58306568">
            <wp:extent cx="2696845" cy="572135"/>
            <wp:effectExtent l="0" t="0" r="8255" b="0"/>
            <wp:docPr id="5" name="Picture 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720648" w:rsidRPr="00720648" w:rsidRDefault="00720648" w:rsidP="007A4BF9">
      <w:pPr>
        <w:pStyle w:val="Heading6"/>
        <w:rPr>
          <w:rFonts w:eastAsia="Calibri"/>
        </w:rPr>
      </w:pPr>
      <w:r w:rsidRPr="00720648">
        <w:rPr>
          <w:rFonts w:eastAsia="Calibri"/>
        </w:rPr>
        <w:t>Policy costing—during the caretaker period for the 2016 general election</w:t>
      </w:r>
    </w:p>
    <w:tbl>
      <w:tblPr>
        <w:tblStyle w:val="TableGrid13"/>
        <w:tblW w:w="8340" w:type="dxa"/>
        <w:tblLook w:val="04A0" w:firstRow="1" w:lastRow="0" w:firstColumn="1" w:lastColumn="0" w:noHBand="0" w:noVBand="1"/>
      </w:tblPr>
      <w:tblGrid>
        <w:gridCol w:w="3005"/>
        <w:gridCol w:w="5335"/>
      </w:tblGrid>
      <w:tr w:rsidR="00720648" w:rsidRPr="00AF49FE" w:rsidTr="00567E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720648" w:rsidRPr="00DE3D76" w:rsidRDefault="00720648" w:rsidP="00AF49FE">
            <w:pPr>
              <w:pStyle w:val="PullOutBoxHeading"/>
              <w:rPr>
                <w:sz w:val="22"/>
              </w:rPr>
            </w:pPr>
            <w:r w:rsidRPr="00DE3D76">
              <w:rPr>
                <w:sz w:val="22"/>
              </w:rPr>
              <w:t>Name of proposal:</w:t>
            </w:r>
          </w:p>
        </w:tc>
        <w:tc>
          <w:tcPr>
            <w:tcW w:w="5335" w:type="dxa"/>
          </w:tcPr>
          <w:p w:rsidR="00720648" w:rsidRPr="00AF49FE" w:rsidRDefault="00720648" w:rsidP="0096185B">
            <w:pPr>
              <w:pStyle w:val="PullOutBoxHeading"/>
              <w:ind w:left="55"/>
              <w:jc w:val="left"/>
              <w:cnfStyle w:val="100000000000" w:firstRow="1" w:lastRow="0" w:firstColumn="0" w:lastColumn="0" w:oddVBand="0" w:evenVBand="0" w:oddHBand="0" w:evenHBand="0" w:firstRowFirstColumn="0" w:firstRowLastColumn="0" w:lastRowFirstColumn="0" w:lastRowLastColumn="0"/>
              <w:rPr>
                <w:sz w:val="22"/>
              </w:rPr>
            </w:pPr>
            <w:r w:rsidRPr="00AF49FE">
              <w:rPr>
                <w:sz w:val="22"/>
              </w:rPr>
              <w:t>Phasing Out Private Health Insurance</w:t>
            </w:r>
          </w:p>
        </w:tc>
      </w:tr>
      <w:tr w:rsidR="00720648" w:rsidRPr="00720648" w:rsidTr="00720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top"/>
          </w:tcPr>
          <w:p w:rsidR="00720648" w:rsidRPr="00DE3D76" w:rsidRDefault="00720648" w:rsidP="00E1733B">
            <w:pPr>
              <w:pStyle w:val="PullOutBoxBodyText"/>
              <w:rPr>
                <w:sz w:val="22"/>
              </w:rPr>
            </w:pPr>
            <w:r w:rsidRPr="00DE3D76">
              <w:rPr>
                <w:sz w:val="22"/>
              </w:rPr>
              <w:t>Summary of proposal:</w:t>
            </w:r>
          </w:p>
        </w:tc>
        <w:tc>
          <w:tcPr>
            <w:tcW w:w="5335" w:type="dxa"/>
          </w:tcPr>
          <w:p w:rsidR="00720648" w:rsidRPr="00DE3D76" w:rsidRDefault="00720648" w:rsidP="00E1733B">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DE3D76">
              <w:rPr>
                <w:sz w:val="22"/>
              </w:rPr>
              <w:t>The proposal would phase out the Private Health Insurance (PHI) rebate over the next three years while retaining the additional rebate for over 65s.</w:t>
            </w:r>
          </w:p>
          <w:p w:rsidR="00720648" w:rsidRPr="00DE3D76" w:rsidRDefault="00720648" w:rsidP="00E1733B">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DE3D76">
              <w:rPr>
                <w:sz w:val="22"/>
              </w:rPr>
              <w:t>The phase out would occur as follows:</w:t>
            </w:r>
          </w:p>
          <w:tbl>
            <w:tblPr>
              <w:tblStyle w:val="TableGrid13"/>
              <w:tblW w:w="504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3"/>
              <w:gridCol w:w="749"/>
              <w:gridCol w:w="731"/>
              <w:gridCol w:w="665"/>
              <w:gridCol w:w="670"/>
              <w:gridCol w:w="704"/>
              <w:gridCol w:w="704"/>
            </w:tblGrid>
            <w:tr w:rsidR="00720648" w:rsidRPr="00720648" w:rsidTr="00567E6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30" w:type="dxa"/>
                </w:tcPr>
                <w:p w:rsidR="00720648" w:rsidRPr="00720648" w:rsidRDefault="00720648" w:rsidP="00720648">
                  <w:pPr>
                    <w:spacing w:before="60" w:after="60" w:line="240" w:lineRule="auto"/>
                    <w:ind w:left="57" w:right="57"/>
                    <w:rPr>
                      <w:sz w:val="16"/>
                      <w:szCs w:val="18"/>
                    </w:rPr>
                  </w:pPr>
                  <w:r w:rsidRPr="00720648">
                    <w:rPr>
                      <w:sz w:val="16"/>
                      <w:szCs w:val="18"/>
                    </w:rPr>
                    <w:t>Income Tier</w:t>
                  </w:r>
                </w:p>
              </w:tc>
              <w:tc>
                <w:tcPr>
                  <w:tcW w:w="754" w:type="dxa"/>
                </w:tcPr>
                <w:p w:rsidR="00720648" w:rsidRPr="00720648" w:rsidRDefault="00720648" w:rsidP="00E1733B">
                  <w:pPr>
                    <w:spacing w:before="60" w:after="60" w:line="240" w:lineRule="auto"/>
                    <w:ind w:left="57" w:right="57"/>
                    <w:jc w:val="center"/>
                    <w:cnfStyle w:val="100000000000" w:firstRow="1" w:lastRow="0" w:firstColumn="0" w:lastColumn="0" w:oddVBand="0" w:evenVBand="0" w:oddHBand="0" w:evenHBand="0" w:firstRowFirstColumn="0" w:firstRowLastColumn="0" w:lastRowFirstColumn="0" w:lastRowLastColumn="0"/>
                    <w:rPr>
                      <w:sz w:val="16"/>
                      <w:szCs w:val="18"/>
                    </w:rPr>
                  </w:pPr>
                  <w:r w:rsidRPr="00720648">
                    <w:rPr>
                      <w:sz w:val="16"/>
                      <w:szCs w:val="18"/>
                    </w:rPr>
                    <w:t>Single</w:t>
                  </w:r>
                  <w:r w:rsidR="00E1733B">
                    <w:rPr>
                      <w:sz w:val="16"/>
                      <w:szCs w:val="18"/>
                    </w:rPr>
                    <w:t xml:space="preserve"> </w:t>
                  </w:r>
                  <w:r w:rsidR="00E1733B">
                    <w:rPr>
                      <w:sz w:val="16"/>
                      <w:szCs w:val="18"/>
                    </w:rPr>
                    <w:br/>
                  </w:r>
                  <w:r w:rsidRPr="00720648">
                    <w:rPr>
                      <w:sz w:val="16"/>
                      <w:szCs w:val="18"/>
                    </w:rPr>
                    <w:t>($)</w:t>
                  </w:r>
                </w:p>
              </w:tc>
              <w:tc>
                <w:tcPr>
                  <w:tcW w:w="713" w:type="dxa"/>
                </w:tcPr>
                <w:p w:rsidR="00720648" w:rsidRPr="00720648" w:rsidRDefault="00720648" w:rsidP="00E1733B">
                  <w:pPr>
                    <w:spacing w:before="60" w:after="60" w:line="240" w:lineRule="auto"/>
                    <w:ind w:left="57" w:right="57"/>
                    <w:jc w:val="center"/>
                    <w:cnfStyle w:val="100000000000" w:firstRow="1" w:lastRow="0" w:firstColumn="0" w:lastColumn="0" w:oddVBand="0" w:evenVBand="0" w:oddHBand="0" w:evenHBand="0" w:firstRowFirstColumn="0" w:firstRowLastColumn="0" w:lastRowFirstColumn="0" w:lastRowLastColumn="0"/>
                    <w:rPr>
                      <w:sz w:val="16"/>
                      <w:szCs w:val="18"/>
                    </w:rPr>
                  </w:pPr>
                  <w:r w:rsidRPr="00720648">
                    <w:rPr>
                      <w:sz w:val="16"/>
                      <w:szCs w:val="18"/>
                    </w:rPr>
                    <w:t>Family</w:t>
                  </w:r>
                  <w:r w:rsidR="00E1733B">
                    <w:rPr>
                      <w:sz w:val="16"/>
                      <w:szCs w:val="18"/>
                    </w:rPr>
                    <w:t xml:space="preserve"> </w:t>
                  </w:r>
                  <w:r w:rsidRPr="00720648">
                    <w:rPr>
                      <w:sz w:val="16"/>
                      <w:szCs w:val="18"/>
                    </w:rPr>
                    <w:t>($)</w:t>
                  </w:r>
                </w:p>
              </w:tc>
              <w:tc>
                <w:tcPr>
                  <w:tcW w:w="667" w:type="dxa"/>
                </w:tcPr>
                <w:p w:rsidR="00720648" w:rsidRPr="00720648" w:rsidRDefault="00720648" w:rsidP="00E1733B">
                  <w:pPr>
                    <w:spacing w:before="60" w:after="60" w:line="240" w:lineRule="auto"/>
                    <w:ind w:left="57" w:right="57"/>
                    <w:jc w:val="center"/>
                    <w:cnfStyle w:val="100000000000" w:firstRow="1" w:lastRow="0" w:firstColumn="0" w:lastColumn="0" w:oddVBand="0" w:evenVBand="0" w:oddHBand="0" w:evenHBand="0" w:firstRowFirstColumn="0" w:firstRowLastColumn="0" w:lastRowFirstColumn="0" w:lastRowLastColumn="0"/>
                    <w:rPr>
                      <w:sz w:val="16"/>
                      <w:szCs w:val="18"/>
                    </w:rPr>
                  </w:pPr>
                  <w:r w:rsidRPr="00720648">
                    <w:rPr>
                      <w:sz w:val="16"/>
                      <w:szCs w:val="18"/>
                    </w:rPr>
                    <w:t>Current rebate</w:t>
                  </w:r>
                  <w:r w:rsidR="00E1733B">
                    <w:rPr>
                      <w:sz w:val="16"/>
                      <w:szCs w:val="18"/>
                    </w:rPr>
                    <w:t xml:space="preserve"> </w:t>
                  </w:r>
                  <w:r w:rsidRPr="00720648">
                    <w:rPr>
                      <w:sz w:val="16"/>
                      <w:szCs w:val="18"/>
                    </w:rPr>
                    <w:t>(%)</w:t>
                  </w:r>
                </w:p>
              </w:tc>
              <w:tc>
                <w:tcPr>
                  <w:tcW w:w="670" w:type="dxa"/>
                </w:tcPr>
                <w:p w:rsidR="00720648" w:rsidRPr="00720648" w:rsidRDefault="00720648" w:rsidP="00E1733B">
                  <w:pPr>
                    <w:spacing w:before="60" w:after="60" w:line="240" w:lineRule="auto"/>
                    <w:ind w:left="57" w:right="57"/>
                    <w:jc w:val="center"/>
                    <w:cnfStyle w:val="100000000000" w:firstRow="1" w:lastRow="0" w:firstColumn="0" w:lastColumn="0" w:oddVBand="0" w:evenVBand="0" w:oddHBand="0" w:evenHBand="0" w:firstRowFirstColumn="0" w:firstRowLastColumn="0" w:lastRowFirstColumn="0" w:lastRowLastColumn="0"/>
                    <w:rPr>
                      <w:sz w:val="16"/>
                      <w:szCs w:val="18"/>
                    </w:rPr>
                  </w:pPr>
                  <w:r w:rsidRPr="00720648">
                    <w:rPr>
                      <w:sz w:val="16"/>
                      <w:szCs w:val="18"/>
                    </w:rPr>
                    <w:t>2016</w:t>
                  </w:r>
                  <w:r w:rsidRPr="00720648">
                    <w:rPr>
                      <w:sz w:val="16"/>
                      <w:szCs w:val="18"/>
                    </w:rPr>
                    <w:noBreakHyphen/>
                    <w:t>17</w:t>
                  </w:r>
                  <w:r w:rsidR="00E1733B">
                    <w:rPr>
                      <w:sz w:val="16"/>
                      <w:szCs w:val="18"/>
                    </w:rPr>
                    <w:t xml:space="preserve"> </w:t>
                  </w:r>
                  <w:r w:rsidRPr="00720648">
                    <w:rPr>
                      <w:sz w:val="16"/>
                      <w:szCs w:val="18"/>
                    </w:rPr>
                    <w:t>(%)</w:t>
                  </w:r>
                </w:p>
              </w:tc>
              <w:tc>
                <w:tcPr>
                  <w:tcW w:w="706" w:type="dxa"/>
                </w:tcPr>
                <w:p w:rsidR="00720648" w:rsidRPr="00720648" w:rsidRDefault="00720648" w:rsidP="00E1733B">
                  <w:pPr>
                    <w:spacing w:before="60" w:after="60" w:line="240" w:lineRule="auto"/>
                    <w:ind w:left="57" w:right="57"/>
                    <w:jc w:val="center"/>
                    <w:cnfStyle w:val="100000000000" w:firstRow="1" w:lastRow="0" w:firstColumn="0" w:lastColumn="0" w:oddVBand="0" w:evenVBand="0" w:oddHBand="0" w:evenHBand="0" w:firstRowFirstColumn="0" w:firstRowLastColumn="0" w:lastRowFirstColumn="0" w:lastRowLastColumn="0"/>
                    <w:rPr>
                      <w:sz w:val="16"/>
                      <w:szCs w:val="18"/>
                    </w:rPr>
                  </w:pPr>
                  <w:r w:rsidRPr="00720648">
                    <w:rPr>
                      <w:sz w:val="16"/>
                      <w:szCs w:val="18"/>
                    </w:rPr>
                    <w:t>2017</w:t>
                  </w:r>
                  <w:r w:rsidRPr="00720648">
                    <w:rPr>
                      <w:sz w:val="16"/>
                      <w:szCs w:val="18"/>
                    </w:rPr>
                    <w:noBreakHyphen/>
                    <w:t>18</w:t>
                  </w:r>
                  <w:r w:rsidR="00E1733B">
                    <w:rPr>
                      <w:sz w:val="16"/>
                      <w:szCs w:val="18"/>
                    </w:rPr>
                    <w:t xml:space="preserve"> </w:t>
                  </w:r>
                  <w:r w:rsidRPr="00720648">
                    <w:rPr>
                      <w:sz w:val="16"/>
                      <w:szCs w:val="18"/>
                    </w:rPr>
                    <w:t>(%)</w:t>
                  </w:r>
                </w:p>
              </w:tc>
              <w:tc>
                <w:tcPr>
                  <w:tcW w:w="706" w:type="dxa"/>
                </w:tcPr>
                <w:p w:rsidR="00720648" w:rsidRPr="00720648" w:rsidRDefault="00720648" w:rsidP="00E1733B">
                  <w:pPr>
                    <w:spacing w:before="60" w:after="60" w:line="240" w:lineRule="auto"/>
                    <w:ind w:left="57" w:right="57"/>
                    <w:jc w:val="center"/>
                    <w:cnfStyle w:val="100000000000" w:firstRow="1" w:lastRow="0" w:firstColumn="0" w:lastColumn="0" w:oddVBand="0" w:evenVBand="0" w:oddHBand="0" w:evenHBand="0" w:firstRowFirstColumn="0" w:firstRowLastColumn="0" w:lastRowFirstColumn="0" w:lastRowLastColumn="0"/>
                    <w:rPr>
                      <w:sz w:val="16"/>
                      <w:szCs w:val="18"/>
                    </w:rPr>
                  </w:pPr>
                  <w:r w:rsidRPr="00720648">
                    <w:rPr>
                      <w:sz w:val="16"/>
                      <w:szCs w:val="18"/>
                    </w:rPr>
                    <w:t>2018</w:t>
                  </w:r>
                  <w:r w:rsidRPr="00720648">
                    <w:rPr>
                      <w:sz w:val="16"/>
                      <w:szCs w:val="18"/>
                    </w:rPr>
                    <w:noBreakHyphen/>
                    <w:t>19</w:t>
                  </w:r>
                  <w:r w:rsidR="00E1733B">
                    <w:rPr>
                      <w:sz w:val="16"/>
                      <w:szCs w:val="18"/>
                    </w:rPr>
                    <w:t xml:space="preserve"> </w:t>
                  </w:r>
                  <w:r w:rsidRPr="00720648">
                    <w:rPr>
                      <w:sz w:val="16"/>
                      <w:szCs w:val="18"/>
                    </w:rPr>
                    <w:t>(%)</w:t>
                  </w:r>
                </w:p>
              </w:tc>
            </w:tr>
            <w:tr w:rsidR="00720648" w:rsidRPr="00720648" w:rsidTr="00567E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Pr>
                <w:p w:rsidR="00720648" w:rsidRPr="00720648" w:rsidRDefault="00720648" w:rsidP="00720648">
                  <w:pPr>
                    <w:spacing w:before="60" w:after="60"/>
                    <w:ind w:left="57" w:right="57"/>
                    <w:rPr>
                      <w:sz w:val="16"/>
                      <w:szCs w:val="18"/>
                    </w:rPr>
                  </w:pPr>
                  <w:r w:rsidRPr="00720648">
                    <w:rPr>
                      <w:sz w:val="16"/>
                      <w:szCs w:val="18"/>
                    </w:rPr>
                    <w:t>Standard</w:t>
                  </w:r>
                </w:p>
              </w:tc>
              <w:tc>
                <w:tcPr>
                  <w:tcW w:w="754" w:type="dxa"/>
                </w:tcPr>
                <w:p w:rsidR="00720648" w:rsidRPr="00720648" w:rsidRDefault="00720648" w:rsidP="00720648">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≤90,000</w:t>
                  </w:r>
                </w:p>
              </w:tc>
              <w:tc>
                <w:tcPr>
                  <w:tcW w:w="713" w:type="dxa"/>
                </w:tcPr>
                <w:p w:rsidR="00720648" w:rsidRPr="00720648" w:rsidRDefault="00720648" w:rsidP="00720648">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≤180,000</w:t>
                  </w:r>
                </w:p>
              </w:tc>
              <w:tc>
                <w:tcPr>
                  <w:tcW w:w="667" w:type="dxa"/>
                </w:tcPr>
                <w:p w:rsidR="00720648" w:rsidRPr="00720648" w:rsidRDefault="00720648" w:rsidP="00720648">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26.79</w:t>
                  </w:r>
                </w:p>
              </w:tc>
              <w:tc>
                <w:tcPr>
                  <w:tcW w:w="670" w:type="dxa"/>
                </w:tcPr>
                <w:p w:rsidR="00720648" w:rsidRPr="00720648" w:rsidRDefault="00720648" w:rsidP="00720648">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20</w:t>
                  </w:r>
                </w:p>
              </w:tc>
              <w:tc>
                <w:tcPr>
                  <w:tcW w:w="706" w:type="dxa"/>
                </w:tcPr>
                <w:p w:rsidR="00720648" w:rsidRPr="00720648" w:rsidRDefault="00720648" w:rsidP="00720648">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10</w:t>
                  </w:r>
                </w:p>
              </w:tc>
              <w:tc>
                <w:tcPr>
                  <w:tcW w:w="706" w:type="dxa"/>
                </w:tcPr>
                <w:p w:rsidR="00720648" w:rsidRPr="00720648" w:rsidRDefault="00720648" w:rsidP="00720648">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w:t>
                  </w:r>
                </w:p>
              </w:tc>
            </w:tr>
            <w:tr w:rsidR="00720648" w:rsidRPr="00720648" w:rsidTr="00567E62">
              <w:trPr>
                <w:jc w:val="center"/>
              </w:trPr>
              <w:tc>
                <w:tcPr>
                  <w:cnfStyle w:val="001000000000" w:firstRow="0" w:lastRow="0" w:firstColumn="1" w:lastColumn="0" w:oddVBand="0" w:evenVBand="0" w:oddHBand="0" w:evenHBand="0" w:firstRowFirstColumn="0" w:firstRowLastColumn="0" w:lastRowFirstColumn="0" w:lastRowLastColumn="0"/>
                  <w:tcW w:w="830" w:type="dxa"/>
                </w:tcPr>
                <w:p w:rsidR="00720648" w:rsidRPr="00720648" w:rsidRDefault="00720648" w:rsidP="00720648">
                  <w:pPr>
                    <w:spacing w:before="60" w:after="60"/>
                    <w:ind w:left="57" w:right="57"/>
                    <w:rPr>
                      <w:sz w:val="16"/>
                      <w:szCs w:val="18"/>
                    </w:rPr>
                  </w:pPr>
                  <w:r w:rsidRPr="00720648">
                    <w:rPr>
                      <w:sz w:val="16"/>
                      <w:szCs w:val="18"/>
                    </w:rPr>
                    <w:t>1</w:t>
                  </w:r>
                </w:p>
              </w:tc>
              <w:tc>
                <w:tcPr>
                  <w:tcW w:w="754" w:type="dxa"/>
                </w:tcPr>
                <w:p w:rsidR="00720648" w:rsidRPr="00720648" w:rsidRDefault="00720648" w:rsidP="00720648">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8"/>
                    </w:rPr>
                  </w:pPr>
                  <w:r w:rsidRPr="00720648">
                    <w:rPr>
                      <w:rFonts w:ascii="Calibri" w:hAnsi="Calibri"/>
                      <w:sz w:val="16"/>
                      <w:szCs w:val="18"/>
                    </w:rPr>
                    <w:t>90,001 to 105,000</w:t>
                  </w:r>
                </w:p>
              </w:tc>
              <w:tc>
                <w:tcPr>
                  <w:tcW w:w="713" w:type="dxa"/>
                </w:tcPr>
                <w:p w:rsidR="00720648" w:rsidRPr="00720648" w:rsidRDefault="00720648" w:rsidP="00720648">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8"/>
                    </w:rPr>
                  </w:pPr>
                  <w:r w:rsidRPr="00720648">
                    <w:rPr>
                      <w:rFonts w:ascii="Calibri" w:hAnsi="Calibri"/>
                      <w:sz w:val="16"/>
                      <w:szCs w:val="18"/>
                    </w:rPr>
                    <w:t>180,001 to 210,000</w:t>
                  </w:r>
                </w:p>
              </w:tc>
              <w:tc>
                <w:tcPr>
                  <w:tcW w:w="667" w:type="dxa"/>
                </w:tcPr>
                <w:p w:rsidR="00720648" w:rsidRPr="00720648" w:rsidRDefault="00720648" w:rsidP="00720648">
                  <w:pPr>
                    <w:spacing w:before="60" w:after="60"/>
                    <w:jc w:val="right"/>
                    <w:cnfStyle w:val="000000000000" w:firstRow="0" w:lastRow="0" w:firstColumn="0" w:lastColumn="0" w:oddVBand="0" w:evenVBand="0" w:oddHBand="0" w:evenHBand="0" w:firstRowFirstColumn="0" w:firstRowLastColumn="0" w:lastRowFirstColumn="0" w:lastRowLastColumn="0"/>
                    <w:rPr>
                      <w:rFonts w:ascii="Calibri" w:hAnsi="Calibri"/>
                      <w:sz w:val="16"/>
                      <w:szCs w:val="18"/>
                    </w:rPr>
                  </w:pPr>
                  <w:r w:rsidRPr="00720648">
                    <w:rPr>
                      <w:rFonts w:ascii="Calibri" w:hAnsi="Calibri"/>
                      <w:sz w:val="16"/>
                      <w:szCs w:val="18"/>
                    </w:rPr>
                    <w:t>17.86</w:t>
                  </w:r>
                </w:p>
              </w:tc>
              <w:tc>
                <w:tcPr>
                  <w:tcW w:w="670" w:type="dxa"/>
                </w:tcPr>
                <w:p w:rsidR="00720648" w:rsidRPr="00720648" w:rsidRDefault="00720648" w:rsidP="00720648">
                  <w:pPr>
                    <w:spacing w:before="60" w:after="60"/>
                    <w:jc w:val="right"/>
                    <w:cnfStyle w:val="000000000000" w:firstRow="0" w:lastRow="0" w:firstColumn="0" w:lastColumn="0" w:oddVBand="0" w:evenVBand="0" w:oddHBand="0" w:evenHBand="0" w:firstRowFirstColumn="0" w:firstRowLastColumn="0" w:lastRowFirstColumn="0" w:lastRowLastColumn="0"/>
                    <w:rPr>
                      <w:rFonts w:ascii="Calibri" w:hAnsi="Calibri"/>
                      <w:sz w:val="16"/>
                      <w:szCs w:val="18"/>
                    </w:rPr>
                  </w:pPr>
                  <w:r w:rsidRPr="00720648">
                    <w:rPr>
                      <w:rFonts w:ascii="Calibri" w:hAnsi="Calibri"/>
                      <w:sz w:val="16"/>
                      <w:szCs w:val="18"/>
                    </w:rPr>
                    <w:t>10</w:t>
                  </w:r>
                </w:p>
              </w:tc>
              <w:tc>
                <w:tcPr>
                  <w:tcW w:w="706" w:type="dxa"/>
                </w:tcPr>
                <w:p w:rsidR="00720648" w:rsidRPr="00720648" w:rsidRDefault="00720648" w:rsidP="00720648">
                  <w:pPr>
                    <w:spacing w:before="60" w:after="60"/>
                    <w:jc w:val="right"/>
                    <w:cnfStyle w:val="000000000000" w:firstRow="0" w:lastRow="0" w:firstColumn="0" w:lastColumn="0" w:oddVBand="0" w:evenVBand="0" w:oddHBand="0" w:evenHBand="0" w:firstRowFirstColumn="0" w:firstRowLastColumn="0" w:lastRowFirstColumn="0" w:lastRowLastColumn="0"/>
                    <w:rPr>
                      <w:rFonts w:ascii="Calibri" w:hAnsi="Calibri"/>
                      <w:sz w:val="16"/>
                      <w:szCs w:val="18"/>
                    </w:rPr>
                  </w:pPr>
                  <w:r w:rsidRPr="00720648">
                    <w:rPr>
                      <w:rFonts w:ascii="Calibri" w:hAnsi="Calibri"/>
                      <w:sz w:val="16"/>
                      <w:szCs w:val="18"/>
                    </w:rPr>
                    <w:t>-</w:t>
                  </w:r>
                </w:p>
              </w:tc>
              <w:tc>
                <w:tcPr>
                  <w:tcW w:w="706" w:type="dxa"/>
                </w:tcPr>
                <w:p w:rsidR="00720648" w:rsidRPr="00720648" w:rsidRDefault="00720648" w:rsidP="00720648">
                  <w:pPr>
                    <w:spacing w:before="60" w:after="60"/>
                    <w:jc w:val="right"/>
                    <w:cnfStyle w:val="000000000000" w:firstRow="0" w:lastRow="0" w:firstColumn="0" w:lastColumn="0" w:oddVBand="0" w:evenVBand="0" w:oddHBand="0" w:evenHBand="0" w:firstRowFirstColumn="0" w:firstRowLastColumn="0" w:lastRowFirstColumn="0" w:lastRowLastColumn="0"/>
                    <w:rPr>
                      <w:rFonts w:ascii="Calibri" w:hAnsi="Calibri"/>
                      <w:sz w:val="16"/>
                      <w:szCs w:val="18"/>
                    </w:rPr>
                  </w:pPr>
                  <w:r w:rsidRPr="00720648">
                    <w:rPr>
                      <w:rFonts w:ascii="Calibri" w:hAnsi="Calibri"/>
                      <w:sz w:val="16"/>
                      <w:szCs w:val="18"/>
                    </w:rPr>
                    <w:t>-</w:t>
                  </w:r>
                </w:p>
              </w:tc>
            </w:tr>
            <w:tr w:rsidR="00720648" w:rsidRPr="00720648" w:rsidTr="00567E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Pr>
                <w:p w:rsidR="00720648" w:rsidRPr="00720648" w:rsidRDefault="00720648" w:rsidP="00720648">
                  <w:pPr>
                    <w:spacing w:before="60" w:after="60"/>
                    <w:ind w:left="57" w:right="57"/>
                    <w:rPr>
                      <w:sz w:val="16"/>
                      <w:szCs w:val="18"/>
                    </w:rPr>
                  </w:pPr>
                  <w:r w:rsidRPr="00720648">
                    <w:rPr>
                      <w:sz w:val="16"/>
                      <w:szCs w:val="18"/>
                    </w:rPr>
                    <w:t>2</w:t>
                  </w:r>
                </w:p>
              </w:tc>
              <w:tc>
                <w:tcPr>
                  <w:tcW w:w="754" w:type="dxa"/>
                </w:tcPr>
                <w:p w:rsidR="00720648" w:rsidRPr="00720648" w:rsidRDefault="00720648" w:rsidP="00720648">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105,001 to 140,000</w:t>
                  </w:r>
                </w:p>
              </w:tc>
              <w:tc>
                <w:tcPr>
                  <w:tcW w:w="713" w:type="dxa"/>
                </w:tcPr>
                <w:p w:rsidR="00720648" w:rsidRPr="00720648" w:rsidRDefault="00720648" w:rsidP="00720648">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210,001 to 280,000</w:t>
                  </w:r>
                </w:p>
              </w:tc>
              <w:tc>
                <w:tcPr>
                  <w:tcW w:w="667" w:type="dxa"/>
                </w:tcPr>
                <w:p w:rsidR="00720648" w:rsidRPr="00720648" w:rsidRDefault="00720648" w:rsidP="00720648">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8.93</w:t>
                  </w:r>
                </w:p>
              </w:tc>
              <w:tc>
                <w:tcPr>
                  <w:tcW w:w="670" w:type="dxa"/>
                </w:tcPr>
                <w:p w:rsidR="00720648" w:rsidRPr="00720648" w:rsidRDefault="00720648" w:rsidP="00720648">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w:t>
                  </w:r>
                </w:p>
              </w:tc>
              <w:tc>
                <w:tcPr>
                  <w:tcW w:w="706" w:type="dxa"/>
                </w:tcPr>
                <w:p w:rsidR="00720648" w:rsidRPr="00720648" w:rsidRDefault="00720648" w:rsidP="00720648">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w:t>
                  </w:r>
                </w:p>
              </w:tc>
              <w:tc>
                <w:tcPr>
                  <w:tcW w:w="706" w:type="dxa"/>
                </w:tcPr>
                <w:p w:rsidR="00720648" w:rsidRPr="00720648" w:rsidRDefault="00720648" w:rsidP="00720648">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hAnsi="Calibri"/>
                      <w:sz w:val="16"/>
                      <w:szCs w:val="18"/>
                    </w:rPr>
                  </w:pPr>
                  <w:r w:rsidRPr="00720648">
                    <w:rPr>
                      <w:rFonts w:ascii="Calibri" w:hAnsi="Calibri"/>
                      <w:sz w:val="16"/>
                      <w:szCs w:val="18"/>
                    </w:rPr>
                    <w:t>-</w:t>
                  </w:r>
                </w:p>
              </w:tc>
            </w:tr>
          </w:tbl>
          <w:p w:rsidR="00720648" w:rsidRPr="00DE3D76" w:rsidRDefault="00720648" w:rsidP="00E1733B">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DE3D76">
              <w:rPr>
                <w:sz w:val="22"/>
              </w:rPr>
              <w:t>The proposal would have effect from 1 September 2016.</w:t>
            </w:r>
          </w:p>
        </w:tc>
      </w:tr>
      <w:tr w:rsidR="00720648" w:rsidRPr="00720648" w:rsidTr="00567E62">
        <w:tc>
          <w:tcPr>
            <w:cnfStyle w:val="001000000000" w:firstRow="0" w:lastRow="0" w:firstColumn="1" w:lastColumn="0" w:oddVBand="0" w:evenVBand="0" w:oddHBand="0" w:evenHBand="0" w:firstRowFirstColumn="0" w:firstRowLastColumn="0" w:lastRowFirstColumn="0" w:lastRowLastColumn="0"/>
            <w:tcW w:w="3005" w:type="dxa"/>
          </w:tcPr>
          <w:p w:rsidR="00720648" w:rsidRPr="00DE3D76" w:rsidRDefault="00720648" w:rsidP="00E1733B">
            <w:pPr>
              <w:pStyle w:val="PullOutBoxBodyText"/>
              <w:rPr>
                <w:sz w:val="22"/>
              </w:rPr>
            </w:pPr>
            <w:r w:rsidRPr="00DE3D76">
              <w:rPr>
                <w:sz w:val="22"/>
              </w:rPr>
              <w:t>Person/party requesting costing:</w:t>
            </w:r>
          </w:p>
        </w:tc>
        <w:tc>
          <w:tcPr>
            <w:tcW w:w="5335" w:type="dxa"/>
          </w:tcPr>
          <w:p w:rsidR="00720648" w:rsidRPr="00DE3D76" w:rsidRDefault="00720648" w:rsidP="00E1733B">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DE3D76">
              <w:rPr>
                <w:sz w:val="22"/>
              </w:rPr>
              <w:t>Senator Richard Di Natale, Australian Greens</w:t>
            </w:r>
          </w:p>
        </w:tc>
      </w:tr>
      <w:tr w:rsidR="00720648" w:rsidRPr="00720648" w:rsidTr="00567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720648" w:rsidRPr="00DE3D76" w:rsidRDefault="00720648" w:rsidP="00E1733B">
            <w:pPr>
              <w:pStyle w:val="PullOutBoxBodyText"/>
              <w:rPr>
                <w:sz w:val="22"/>
              </w:rPr>
            </w:pPr>
            <w:r w:rsidRPr="00DE3D76">
              <w:rPr>
                <w:sz w:val="22"/>
              </w:rPr>
              <w:t>Date of public release of policy:</w:t>
            </w:r>
          </w:p>
        </w:tc>
        <w:tc>
          <w:tcPr>
            <w:tcW w:w="5335" w:type="dxa"/>
          </w:tcPr>
          <w:p w:rsidR="00720648" w:rsidRPr="00DE3D76" w:rsidRDefault="00720648" w:rsidP="00E1733B">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DE3D76">
              <w:rPr>
                <w:sz w:val="22"/>
              </w:rPr>
              <w:t>30 March 2016</w:t>
            </w:r>
          </w:p>
        </w:tc>
      </w:tr>
      <w:tr w:rsidR="00720648" w:rsidRPr="00720648" w:rsidTr="00567E62">
        <w:tc>
          <w:tcPr>
            <w:cnfStyle w:val="001000000000" w:firstRow="0" w:lastRow="0" w:firstColumn="1" w:lastColumn="0" w:oddVBand="0" w:evenVBand="0" w:oddHBand="0" w:evenHBand="0" w:firstRowFirstColumn="0" w:firstRowLastColumn="0" w:lastRowFirstColumn="0" w:lastRowLastColumn="0"/>
            <w:tcW w:w="3005" w:type="dxa"/>
          </w:tcPr>
          <w:p w:rsidR="00720648" w:rsidRPr="00DE3D76" w:rsidRDefault="00720648" w:rsidP="00E1733B">
            <w:pPr>
              <w:pStyle w:val="PullOutBoxBodyText"/>
              <w:rPr>
                <w:sz w:val="22"/>
              </w:rPr>
            </w:pPr>
            <w:r w:rsidRPr="00DE3D76">
              <w:rPr>
                <w:sz w:val="22"/>
              </w:rPr>
              <w:t>Date costing request received:</w:t>
            </w:r>
          </w:p>
        </w:tc>
        <w:tc>
          <w:tcPr>
            <w:tcW w:w="5335" w:type="dxa"/>
          </w:tcPr>
          <w:p w:rsidR="00720648" w:rsidRPr="00DE3D76" w:rsidRDefault="00720648" w:rsidP="00E1733B">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DE3D76">
              <w:rPr>
                <w:sz w:val="22"/>
              </w:rPr>
              <w:t>23 June 2016</w:t>
            </w:r>
          </w:p>
        </w:tc>
      </w:tr>
      <w:tr w:rsidR="00720648" w:rsidRPr="00720648" w:rsidTr="00567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720648" w:rsidRPr="00DE3D76" w:rsidRDefault="00720648" w:rsidP="00E1733B">
            <w:pPr>
              <w:pStyle w:val="PullOutBoxBodyText"/>
              <w:rPr>
                <w:sz w:val="22"/>
              </w:rPr>
            </w:pPr>
            <w:r w:rsidRPr="00DE3D76">
              <w:rPr>
                <w:sz w:val="22"/>
              </w:rPr>
              <w:t>Date costing completed</w:t>
            </w:r>
          </w:p>
        </w:tc>
        <w:tc>
          <w:tcPr>
            <w:tcW w:w="5335" w:type="dxa"/>
          </w:tcPr>
          <w:p w:rsidR="00720648" w:rsidRPr="00DE3D76" w:rsidRDefault="00720648" w:rsidP="00E1733B">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DE3D76">
              <w:rPr>
                <w:sz w:val="22"/>
              </w:rPr>
              <w:t>24 June 2016</w:t>
            </w:r>
          </w:p>
        </w:tc>
      </w:tr>
      <w:tr w:rsidR="00720648" w:rsidRPr="00720648" w:rsidTr="00567E62">
        <w:tc>
          <w:tcPr>
            <w:cnfStyle w:val="001000000000" w:firstRow="0" w:lastRow="0" w:firstColumn="1" w:lastColumn="0" w:oddVBand="0" w:evenVBand="0" w:oddHBand="0" w:evenHBand="0" w:firstRowFirstColumn="0" w:firstRowLastColumn="0" w:lastRowFirstColumn="0" w:lastRowLastColumn="0"/>
            <w:tcW w:w="3005" w:type="dxa"/>
          </w:tcPr>
          <w:p w:rsidR="00720648" w:rsidRPr="00DE3D76" w:rsidRDefault="00720648" w:rsidP="00E1733B">
            <w:pPr>
              <w:pStyle w:val="PullOutBoxBodyText"/>
              <w:rPr>
                <w:sz w:val="22"/>
              </w:rPr>
            </w:pPr>
            <w:r w:rsidRPr="00DE3D76">
              <w:rPr>
                <w:sz w:val="22"/>
              </w:rPr>
              <w:t>Expiry date for the costing:</w:t>
            </w:r>
          </w:p>
        </w:tc>
        <w:tc>
          <w:tcPr>
            <w:tcW w:w="5335" w:type="dxa"/>
          </w:tcPr>
          <w:p w:rsidR="00720648" w:rsidRPr="00DE3D76" w:rsidRDefault="00720648" w:rsidP="00E1733B">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DE3D76">
              <w:rPr>
                <w:sz w:val="22"/>
              </w:rPr>
              <w:t>Release of the next economic and fiscal outlook report</w:t>
            </w:r>
          </w:p>
        </w:tc>
      </w:tr>
    </w:tbl>
    <w:p w:rsidR="00720648" w:rsidRPr="00720648" w:rsidRDefault="00720648" w:rsidP="00905B06">
      <w:pPr>
        <w:pStyle w:val="CostingsH7"/>
        <w:rPr>
          <w:rFonts w:eastAsia="Calibri"/>
        </w:rPr>
      </w:pPr>
      <w:r w:rsidRPr="00720648">
        <w:rPr>
          <w:rFonts w:eastAsia="Calibri"/>
        </w:rPr>
        <w:t>Costing overview</w:t>
      </w:r>
    </w:p>
    <w:p w:rsidR="00720648" w:rsidRPr="00720648" w:rsidRDefault="00720648" w:rsidP="00627965">
      <w:pPr>
        <w:pStyle w:val="BodyText"/>
      </w:pPr>
      <w:r w:rsidRPr="00720648">
        <w:t>The proposal would decrease expenses on the PHI rebate, reflecting the combined effect of lower rebate rates for recipients affected by the proposal and an assumed decrease in PHI coverage arising from the resultant higher out</w:t>
      </w:r>
      <w:r w:rsidRPr="00720648">
        <w:noBreakHyphen/>
        <w:t>of</w:t>
      </w:r>
      <w:r w:rsidRPr="00720648">
        <w:noBreakHyphen/>
        <w:t>pocket cost of PHI.  From 2017-18, there would also be an impact on revenue associated with the Medicare Levy Surcharge (MLS) due to some additional individuals becoming liable for the MLS as a result of ceasing their PHI coverage in response to the higher out</w:t>
      </w:r>
      <w:r w:rsidRPr="00720648">
        <w:noBreakHyphen/>
        <w:t>of</w:t>
      </w:r>
      <w:r w:rsidRPr="00720648">
        <w:noBreakHyphen/>
        <w:t xml:space="preserve">pocket premiums under the proposal.  </w:t>
      </w:r>
    </w:p>
    <w:p w:rsidR="00720648" w:rsidRPr="00720648" w:rsidRDefault="00720648" w:rsidP="00627965">
      <w:pPr>
        <w:pStyle w:val="BodyText"/>
      </w:pPr>
      <w:r w:rsidRPr="00720648">
        <w:t xml:space="preserve">The proposal would be expected to increase the fiscal balance by $13,308 million and increase the underlying cash balance by $12,858 million over the 2016-17 Budget forward </w:t>
      </w:r>
      <w:r w:rsidRPr="00720648">
        <w:lastRenderedPageBreak/>
        <w:t>estimates period.  This impact is primarily due to a decrease in expenditure on PHI rebates.  The proposal has an ongoing impact beyond the forward estimates with the annual impact in the years beyond 2019-20 being in line with the impact in 2019-20 growing at around 4 per cent per annum.</w:t>
      </w:r>
    </w:p>
    <w:p w:rsidR="00720648" w:rsidRPr="00720648" w:rsidRDefault="00720648" w:rsidP="00627965">
      <w:pPr>
        <w:pStyle w:val="BodyText"/>
      </w:pPr>
      <w:r w:rsidRPr="00720648">
        <w:t xml:space="preserve">The difference between the fiscal and underlying cash balances is due to the timing of the component of the PHI rebate paid through the Australian Taxation Office (ATO), which is paid in the next income year, as individuals file their tax returns.  </w:t>
      </w:r>
    </w:p>
    <w:p w:rsidR="00720648" w:rsidRPr="00720648" w:rsidRDefault="00720648" w:rsidP="00627965">
      <w:pPr>
        <w:pStyle w:val="BodyText"/>
      </w:pPr>
      <w:r w:rsidRPr="00720648">
        <w:t xml:space="preserve">The Parliamentary Budget Office has estimated departmental expenses based on recent measures with similar administrative complexity.  Departmental expenses of $2 million have been included for implementation of the new policy.  The proposal would not be expected to reduce departmental expenses as the administration costs associated with the rebate are primarily driven by the number of insurers and policies provided and the scope of services covered by the policies, rather than the number of eligible persons for the PHI rebate. </w:t>
      </w:r>
    </w:p>
    <w:p w:rsidR="00720648" w:rsidRPr="00720648" w:rsidRDefault="00720648" w:rsidP="00627965">
      <w:pPr>
        <w:pStyle w:val="BodyText"/>
      </w:pPr>
      <w:r w:rsidRPr="00720648">
        <w:rPr>
          <w:iCs/>
          <w:lang w:eastAsia="en-AU"/>
        </w:rPr>
        <w:t xml:space="preserve">This costing is considered to be of medium reliability.  The estimates are sensitive to changes in health insurance premiums, the consumer price index, income distributions of individuals and couples with and without PHI cover, behavioural responses to changes in the effective costs and benefits of PHI, and the response of individuals to policy changes since 2012-13 (the year of the data for the costing).  </w:t>
      </w:r>
    </w:p>
    <w:p w:rsidR="00720648" w:rsidRPr="00720648" w:rsidRDefault="00720648" w:rsidP="00627965">
      <w:pPr>
        <w:pStyle w:val="BodyText"/>
      </w:pPr>
      <w:r w:rsidRPr="00720648">
        <w:t xml:space="preserve">A detailed breakdown of the components is included at </w:t>
      </w:r>
      <w:r w:rsidRPr="00720648">
        <w:rPr>
          <w:u w:val="single"/>
        </w:rPr>
        <w:t>Attachment A</w:t>
      </w:r>
      <w:r w:rsidRPr="00720648">
        <w:t>.</w:t>
      </w:r>
    </w:p>
    <w:p w:rsidR="00720648" w:rsidRPr="00720648" w:rsidRDefault="00720648" w:rsidP="00905B06">
      <w:pPr>
        <w:pStyle w:val="Caption"/>
      </w:pPr>
      <w:r w:rsidRPr="00720648">
        <w:t>Table 1: Financial implications (outturn prices)</w:t>
      </w:r>
      <w:r w:rsidRPr="00720648">
        <w:rPr>
          <w:vertAlign w:val="superscript"/>
        </w:rPr>
        <w:t>(a)(b)</w:t>
      </w:r>
    </w:p>
    <w:tbl>
      <w:tblPr>
        <w:tblStyle w:val="TableGrid13"/>
        <w:tblW w:w="4993" w:type="pct"/>
        <w:tblLook w:val="04A0" w:firstRow="1" w:lastRow="0" w:firstColumn="1" w:lastColumn="0" w:noHBand="0" w:noVBand="1"/>
      </w:tblPr>
      <w:tblGrid>
        <w:gridCol w:w="2645"/>
        <w:gridCol w:w="1134"/>
        <w:gridCol w:w="1133"/>
        <w:gridCol w:w="1133"/>
        <w:gridCol w:w="1133"/>
        <w:gridCol w:w="1132"/>
      </w:tblGrid>
      <w:tr w:rsidR="00720648" w:rsidRPr="00720648" w:rsidTr="00567E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720648" w:rsidRPr="00720648" w:rsidRDefault="00720648" w:rsidP="00720648">
            <w:pPr>
              <w:keepNext/>
              <w:keepLines/>
              <w:spacing w:line="240" w:lineRule="auto"/>
              <w:ind w:left="57" w:right="57"/>
              <w:rPr>
                <w:szCs w:val="20"/>
              </w:rPr>
            </w:pPr>
            <w:r w:rsidRPr="00720648">
              <w:rPr>
                <w:szCs w:val="20"/>
              </w:rPr>
              <w:t>Impact on ($m)</w:t>
            </w:r>
          </w:p>
        </w:tc>
        <w:tc>
          <w:tcPr>
            <w:tcW w:w="682" w:type="pct"/>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20648">
              <w:rPr>
                <w:szCs w:val="20"/>
              </w:rPr>
              <w:t>2016–17</w:t>
            </w:r>
          </w:p>
        </w:tc>
        <w:tc>
          <w:tcPr>
            <w:tcW w:w="682" w:type="pct"/>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20648">
              <w:rPr>
                <w:szCs w:val="20"/>
              </w:rPr>
              <w:t>2017–18</w:t>
            </w:r>
          </w:p>
        </w:tc>
        <w:tc>
          <w:tcPr>
            <w:tcW w:w="682" w:type="pct"/>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20648">
              <w:rPr>
                <w:szCs w:val="20"/>
              </w:rPr>
              <w:t>2018–19</w:t>
            </w:r>
          </w:p>
        </w:tc>
        <w:tc>
          <w:tcPr>
            <w:tcW w:w="682" w:type="pct"/>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648">
              <w:rPr>
                <w:szCs w:val="20"/>
              </w:rPr>
              <w:t>2019–20</w:t>
            </w:r>
          </w:p>
        </w:tc>
        <w:tc>
          <w:tcPr>
            <w:tcW w:w="681" w:type="pct"/>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648">
              <w:rPr>
                <w:b/>
                <w:szCs w:val="20"/>
              </w:rPr>
              <w:t>Total</w:t>
            </w:r>
          </w:p>
        </w:tc>
      </w:tr>
      <w:tr w:rsidR="00720648" w:rsidRPr="00720648" w:rsidTr="00567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720648" w:rsidRPr="00720648" w:rsidRDefault="00720648" w:rsidP="00720648">
            <w:pPr>
              <w:keepNext/>
              <w:keepLines/>
              <w:ind w:left="57" w:right="57"/>
              <w:rPr>
                <w:szCs w:val="20"/>
              </w:rPr>
            </w:pPr>
            <w:r w:rsidRPr="00720648">
              <w:rPr>
                <w:szCs w:val="20"/>
              </w:rPr>
              <w:t>Fiscal balance</w:t>
            </w:r>
          </w:p>
        </w:tc>
        <w:tc>
          <w:tcPr>
            <w:tcW w:w="682" w:type="pct"/>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1,308.0</w:t>
            </w:r>
          </w:p>
        </w:tc>
        <w:tc>
          <w:tcPr>
            <w:tcW w:w="682" w:type="pct"/>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2,960.0</w:t>
            </w:r>
          </w:p>
        </w:tc>
        <w:tc>
          <w:tcPr>
            <w:tcW w:w="682" w:type="pct"/>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4,540.0</w:t>
            </w:r>
          </w:p>
        </w:tc>
        <w:tc>
          <w:tcPr>
            <w:tcW w:w="682" w:type="pct"/>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4,500.0</w:t>
            </w:r>
          </w:p>
        </w:tc>
        <w:tc>
          <w:tcPr>
            <w:tcW w:w="681" w:type="pct"/>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720648">
              <w:rPr>
                <w:rFonts w:ascii="Calibri" w:hAnsi="Calibri"/>
                <w:b/>
              </w:rPr>
              <w:t>13,308.0</w:t>
            </w:r>
          </w:p>
        </w:tc>
      </w:tr>
      <w:tr w:rsidR="00720648" w:rsidRPr="00720648" w:rsidTr="00567E62">
        <w:tc>
          <w:tcPr>
            <w:cnfStyle w:val="001000000000" w:firstRow="0" w:lastRow="0" w:firstColumn="1" w:lastColumn="0" w:oddVBand="0" w:evenVBand="0" w:oddHBand="0" w:evenHBand="0" w:firstRowFirstColumn="0" w:firstRowLastColumn="0" w:lastRowFirstColumn="0" w:lastRowLastColumn="0"/>
            <w:tcW w:w="1591" w:type="pct"/>
          </w:tcPr>
          <w:p w:rsidR="00720648" w:rsidRPr="00720648" w:rsidRDefault="00720648" w:rsidP="00720648">
            <w:pPr>
              <w:keepNext/>
              <w:keepLines/>
              <w:ind w:left="57" w:right="57"/>
              <w:rPr>
                <w:szCs w:val="20"/>
              </w:rPr>
            </w:pPr>
            <w:r w:rsidRPr="00720648">
              <w:rPr>
                <w:szCs w:val="20"/>
              </w:rPr>
              <w:t>Underlying cash balance</w:t>
            </w:r>
          </w:p>
        </w:tc>
        <w:tc>
          <w:tcPr>
            <w:tcW w:w="682" w:type="pct"/>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1,178.0</w:t>
            </w:r>
          </w:p>
        </w:tc>
        <w:tc>
          <w:tcPr>
            <w:tcW w:w="682" w:type="pct"/>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2,800.0</w:t>
            </w:r>
          </w:p>
        </w:tc>
        <w:tc>
          <w:tcPr>
            <w:tcW w:w="682" w:type="pct"/>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4,380.0</w:t>
            </w:r>
          </w:p>
        </w:tc>
        <w:tc>
          <w:tcPr>
            <w:tcW w:w="682" w:type="pct"/>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4,500.0</w:t>
            </w:r>
          </w:p>
        </w:tc>
        <w:tc>
          <w:tcPr>
            <w:tcW w:w="681" w:type="pct"/>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12,858.0</w:t>
            </w:r>
          </w:p>
        </w:tc>
      </w:tr>
    </w:tbl>
    <w:p w:rsidR="00720648" w:rsidRPr="0009134B" w:rsidRDefault="00720648" w:rsidP="000B5C96">
      <w:pPr>
        <w:pStyle w:val="Footnotes"/>
        <w:numPr>
          <w:ilvl w:val="0"/>
          <w:numId w:val="45"/>
        </w:numPr>
        <w:ind w:left="284" w:hanging="284"/>
      </w:pPr>
      <w:r w:rsidRPr="0009134B">
        <w:t>A positive number represents an increase in the relevant budget balance, a negative number represents a decrease.</w:t>
      </w:r>
      <w:r w:rsidRPr="0058404D">
        <w:rPr>
          <w:color w:val="1F497D"/>
        </w:rPr>
        <w:t xml:space="preserve"> </w:t>
      </w:r>
    </w:p>
    <w:p w:rsidR="00720648" w:rsidRPr="00720648" w:rsidRDefault="00720648" w:rsidP="0058404D">
      <w:pPr>
        <w:pStyle w:val="Footnotes"/>
      </w:pPr>
      <w:r w:rsidRPr="00720648">
        <w:t>Figures may not sum to totals due to rounding.</w:t>
      </w:r>
    </w:p>
    <w:p w:rsidR="00720648" w:rsidRPr="00720648" w:rsidRDefault="00720648" w:rsidP="00905B06">
      <w:pPr>
        <w:pStyle w:val="CostingsH7"/>
        <w:rPr>
          <w:rFonts w:eastAsia="Calibri"/>
        </w:rPr>
      </w:pPr>
      <w:r w:rsidRPr="00720648">
        <w:rPr>
          <w:rFonts w:eastAsia="Calibri"/>
        </w:rPr>
        <w:t>Key assumptions</w:t>
      </w:r>
    </w:p>
    <w:p w:rsidR="00720648" w:rsidRPr="00720648" w:rsidRDefault="00720648" w:rsidP="00627965">
      <w:pPr>
        <w:pStyle w:val="BodyText"/>
      </w:pPr>
      <w:r w:rsidRPr="00720648">
        <w:t>In costing the proposal, the following assumptions have been made:</w:t>
      </w:r>
    </w:p>
    <w:p w:rsidR="00720648" w:rsidRPr="00720648" w:rsidRDefault="00720648" w:rsidP="00627965">
      <w:pPr>
        <w:pStyle w:val="ListBullet"/>
        <w:rPr>
          <w:lang w:eastAsia="en-AU"/>
        </w:rPr>
      </w:pPr>
      <w:r w:rsidRPr="00720648">
        <w:rPr>
          <w:lang w:eastAsia="en-AU"/>
        </w:rPr>
        <w:t>As the proposal would increase the out</w:t>
      </w:r>
      <w:r w:rsidRPr="00720648">
        <w:rPr>
          <w:lang w:eastAsia="en-AU"/>
        </w:rPr>
        <w:noBreakHyphen/>
        <w:t>of</w:t>
      </w:r>
      <w:r w:rsidRPr="00720648">
        <w:rPr>
          <w:lang w:eastAsia="en-AU"/>
        </w:rPr>
        <w:noBreakHyphen/>
        <w:t>pocket cost of PHI, fewer people would take out PHI, with higher income policy holders assumed to be less price responsive (and therefore more likely to maintain their PHI cover) than those on low incomes.</w:t>
      </w:r>
    </w:p>
    <w:p w:rsidR="00720648" w:rsidRPr="00720648" w:rsidRDefault="00720648" w:rsidP="00627965">
      <w:pPr>
        <w:pStyle w:val="ListBullet"/>
        <w:rPr>
          <w:lang w:eastAsia="en-AU"/>
        </w:rPr>
      </w:pPr>
      <w:r w:rsidRPr="00720648">
        <w:rPr>
          <w:lang w:eastAsia="en-AU"/>
        </w:rPr>
        <w:t>There is no flow</w:t>
      </w:r>
      <w:r w:rsidRPr="00720648">
        <w:rPr>
          <w:lang w:eastAsia="en-AU"/>
        </w:rPr>
        <w:noBreakHyphen/>
        <w:t>on effect to public hospital expenses as a result of individuals ceasing their PHI policy.</w:t>
      </w:r>
    </w:p>
    <w:p w:rsidR="00720648" w:rsidRPr="00720648" w:rsidRDefault="00720648" w:rsidP="00627965">
      <w:pPr>
        <w:pStyle w:val="ListBullet"/>
        <w:rPr>
          <w:lang w:eastAsia="en-AU"/>
        </w:rPr>
      </w:pPr>
      <w:r w:rsidRPr="00720648">
        <w:rPr>
          <w:lang w:eastAsia="en-AU"/>
        </w:rPr>
        <w:t>The majority of PHI rebate expenses administered by the Department of Health are delivered in the same financial year in which they accrue, with a small proportion delivered in the following financial year.  Additionally, there is an amount paid through the ATO as individuals file their tax returns.</w:t>
      </w:r>
    </w:p>
    <w:p w:rsidR="00720648" w:rsidRPr="00720648" w:rsidRDefault="00720648" w:rsidP="00FC1265">
      <w:pPr>
        <w:pStyle w:val="ListBullet"/>
        <w:keepNext/>
        <w:rPr>
          <w:lang w:eastAsia="en-AU"/>
        </w:rPr>
      </w:pPr>
      <w:r w:rsidRPr="00720648">
        <w:rPr>
          <w:lang w:eastAsia="en-AU"/>
        </w:rPr>
        <w:lastRenderedPageBreak/>
        <w:t>MLS revenue is collected over the two years after the liability is incurred, at the time individuals lodge their tax returns.</w:t>
      </w:r>
    </w:p>
    <w:p w:rsidR="00720648" w:rsidRPr="00720648" w:rsidRDefault="00720648" w:rsidP="00627965">
      <w:pPr>
        <w:pStyle w:val="ListBullet"/>
        <w:rPr>
          <w:lang w:eastAsia="en-AU"/>
        </w:rPr>
      </w:pPr>
      <w:r w:rsidRPr="00720648">
        <w:rPr>
          <w:lang w:eastAsia="en-AU"/>
        </w:rPr>
        <w:t>The PHI Risk Equalisation program has not been factored into this proposal because it has no net financial implication as this program collects and then redistributes contributions from the industry.</w:t>
      </w:r>
    </w:p>
    <w:p w:rsidR="00720648" w:rsidRPr="00720648" w:rsidRDefault="00720648" w:rsidP="00905B06">
      <w:pPr>
        <w:pStyle w:val="CostingsH7"/>
        <w:rPr>
          <w:rFonts w:eastAsia="Calibri"/>
        </w:rPr>
      </w:pPr>
      <w:r w:rsidRPr="00720648">
        <w:rPr>
          <w:rFonts w:eastAsia="Calibri"/>
        </w:rPr>
        <w:t>Methodology</w:t>
      </w:r>
    </w:p>
    <w:p w:rsidR="00720648" w:rsidRPr="00720648" w:rsidRDefault="00720648" w:rsidP="00627965">
      <w:pPr>
        <w:pStyle w:val="BodyText"/>
        <w:rPr>
          <w:lang w:eastAsia="en-AU"/>
        </w:rPr>
      </w:pPr>
      <w:r w:rsidRPr="00720648">
        <w:rPr>
          <w:lang w:eastAsia="en-AU"/>
        </w:rPr>
        <w:t>Projected income distributions of individuals and families with and without PHI were generated based on de</w:t>
      </w:r>
      <w:r w:rsidRPr="00720648">
        <w:rPr>
          <w:lang w:eastAsia="en-AU"/>
        </w:rPr>
        <w:noBreakHyphen/>
        <w:t>identified 2012-13 personal income tax data.  Average PHI premiums were estimated using data from the Private Health Insurance Administration Council and projected over the medium term.</w:t>
      </w:r>
    </w:p>
    <w:p w:rsidR="00720648" w:rsidRPr="00720648" w:rsidRDefault="00720648" w:rsidP="00627965">
      <w:pPr>
        <w:pStyle w:val="BodyText"/>
        <w:rPr>
          <w:lang w:eastAsia="en-AU"/>
        </w:rPr>
      </w:pPr>
      <w:r w:rsidRPr="00720648">
        <w:rPr>
          <w:lang w:eastAsia="en-AU"/>
        </w:rPr>
        <w:t xml:space="preserve">The potential MLS liabilities and values of the PHI rebate were estimated under both current and proposed policy settings.  PHI demand elasticities were then applied to the percentage changes in both the net PHI premium costs and MLS liabilities to estimate the behavioural response resulting from the policy change.  The total PHI rebate expense and MLS revenue estimates under the proposal were then compared to the total under the base scenario to determine the cost of the proposal. </w:t>
      </w:r>
    </w:p>
    <w:p w:rsidR="00720648" w:rsidRPr="00720648" w:rsidRDefault="00720648" w:rsidP="00627965">
      <w:pPr>
        <w:pStyle w:val="BodyText"/>
      </w:pPr>
      <w:r w:rsidRPr="00720648">
        <w:t xml:space="preserve">Timing effects have been included in this costing to account for the timing of tax collections and the payment of the PHI rebate. </w:t>
      </w:r>
    </w:p>
    <w:p w:rsidR="00720648" w:rsidRPr="00720648" w:rsidRDefault="00720648" w:rsidP="00627965">
      <w:pPr>
        <w:pStyle w:val="BodyText"/>
        <w:rPr>
          <w:lang w:eastAsia="en-AU"/>
        </w:rPr>
      </w:pPr>
      <w:r w:rsidRPr="00720648">
        <w:rPr>
          <w:lang w:eastAsia="en-AU"/>
        </w:rPr>
        <w:t>Estimates for PHI rebate expenses and MLS revenue have been rounded to the nearest $10 million.  Estimates for departmental expenses have been rounded to the nearest $1 million.</w:t>
      </w:r>
    </w:p>
    <w:p w:rsidR="00720648" w:rsidRPr="00720648" w:rsidRDefault="00720648" w:rsidP="00905B06">
      <w:pPr>
        <w:pStyle w:val="CostingsH7"/>
        <w:rPr>
          <w:rFonts w:eastAsia="Calibri"/>
        </w:rPr>
      </w:pPr>
      <w:r w:rsidRPr="00720648">
        <w:rPr>
          <w:rFonts w:eastAsia="Calibri"/>
        </w:rPr>
        <w:t>Data sources</w:t>
      </w:r>
    </w:p>
    <w:p w:rsidR="00720648" w:rsidRPr="00720648" w:rsidRDefault="00720648" w:rsidP="00627965">
      <w:pPr>
        <w:pStyle w:val="ListBullet"/>
        <w:rPr>
          <w:lang w:eastAsia="en-AU"/>
        </w:rPr>
      </w:pPr>
      <w:r w:rsidRPr="00720648">
        <w:rPr>
          <w:lang w:eastAsia="en-AU"/>
        </w:rPr>
        <w:t>De-identified personal income tax and superannuation contribution unit record data for 2012-13.</w:t>
      </w:r>
    </w:p>
    <w:p w:rsidR="00720648" w:rsidRPr="00720648" w:rsidRDefault="00720648" w:rsidP="00627965">
      <w:pPr>
        <w:pStyle w:val="ListBullet"/>
        <w:rPr>
          <w:lang w:eastAsia="en-AU"/>
        </w:rPr>
      </w:pPr>
      <w:r w:rsidRPr="00720648">
        <w:rPr>
          <w:lang w:eastAsia="en-AU"/>
        </w:rPr>
        <w:t>Australian Prudential Regulation Authority – Private Health Insurance Quarterly Statistics, March 2016.</w:t>
      </w:r>
    </w:p>
    <w:p w:rsidR="00720648" w:rsidRPr="00720648" w:rsidRDefault="00720648" w:rsidP="00627965">
      <w:pPr>
        <w:pStyle w:val="ListBullet"/>
        <w:rPr>
          <w:lang w:eastAsia="en-AU"/>
        </w:rPr>
      </w:pPr>
      <w:r w:rsidRPr="00720648">
        <w:rPr>
          <w:lang w:eastAsia="en-AU"/>
        </w:rPr>
        <w:t>2016-17 Budget.</w:t>
      </w:r>
    </w:p>
    <w:p w:rsidR="00720648" w:rsidRPr="00720648" w:rsidRDefault="00720648" w:rsidP="00627965">
      <w:pPr>
        <w:pStyle w:val="ListBullet"/>
        <w:rPr>
          <w:lang w:eastAsia="en-AU"/>
        </w:rPr>
      </w:pPr>
      <w:r w:rsidRPr="00720648">
        <w:rPr>
          <w:lang w:eastAsia="en-AU"/>
        </w:rPr>
        <w:t>2015 Tax Expenditure Statement.</w:t>
      </w:r>
    </w:p>
    <w:p w:rsidR="00720648" w:rsidRPr="00720648" w:rsidRDefault="00720648" w:rsidP="0009134B">
      <w:pPr>
        <w:pStyle w:val="ListBullet"/>
        <w:rPr>
          <w:lang w:eastAsia="en-AU"/>
        </w:rPr>
      </w:pPr>
      <w:r w:rsidRPr="00720648">
        <w:rPr>
          <w:lang w:eastAsia="en-AU"/>
        </w:rPr>
        <w:t xml:space="preserve">Cheng, T. 2011. </w:t>
      </w:r>
      <w:r w:rsidRPr="00627965">
        <w:rPr>
          <w:i/>
        </w:rPr>
        <w:t>Measuring the effects of removing subsidies for private insurance on public expenditure for Health care</w:t>
      </w:r>
      <w:r w:rsidRPr="00720648">
        <w:rPr>
          <w:lang w:eastAsia="en-AU"/>
        </w:rPr>
        <w:t xml:space="preserve">. Melbourne Institute Working Paper 16/11. </w:t>
      </w:r>
    </w:p>
    <w:p w:rsidR="00720648" w:rsidRPr="00720648" w:rsidRDefault="00720648" w:rsidP="00627965">
      <w:pPr>
        <w:pStyle w:val="ListBullet"/>
        <w:rPr>
          <w:lang w:eastAsia="en-AU"/>
        </w:rPr>
      </w:pPr>
      <w:r w:rsidRPr="00720648">
        <w:rPr>
          <w:lang w:eastAsia="en-AU"/>
        </w:rPr>
        <w:t xml:space="preserve">Robson, A., Ergas, H. and Paolucci, F. 2011. The Analytics of the Australian Private Health Insurance Rebate and the Medicare Levy Surcharge. Agenda. Vol 18, no 2. </w:t>
      </w:r>
    </w:p>
    <w:p w:rsidR="00720648" w:rsidRPr="00AE28C5" w:rsidRDefault="00720648" w:rsidP="00AE28C5">
      <w:pPr>
        <w:pStyle w:val="ListBullet"/>
      </w:pPr>
      <w:r w:rsidRPr="00720648">
        <w:rPr>
          <w:lang w:eastAsia="en-AU"/>
        </w:rPr>
        <w:t>Ellis, R. and Savage, E. 2008. Run for cover now or later? The impact of premiums, threats and deadlines on private health insurance in Australia. International Journal of Health Care Finance and Economics. Vol 8 pages 257-277.</w:t>
      </w:r>
    </w:p>
    <w:p w:rsidR="00720648" w:rsidRPr="00AE28C5" w:rsidRDefault="00720648" w:rsidP="00AE28C5">
      <w:pPr>
        <w:pStyle w:val="BodyText"/>
        <w:sectPr w:rsidR="00720648" w:rsidRPr="00AE28C5" w:rsidSect="007E3C99">
          <w:headerReference w:type="even" r:id="rId100"/>
          <w:headerReference w:type="default" r:id="rId101"/>
          <w:footerReference w:type="even" r:id="rId102"/>
          <w:footerReference w:type="default" r:id="rId103"/>
          <w:pgSz w:w="11906" w:h="16838"/>
          <w:pgMar w:top="1361" w:right="1797" w:bottom="1474" w:left="1797" w:header="283" w:footer="454" w:gutter="0"/>
          <w:cols w:space="708"/>
          <w:docGrid w:linePitch="360"/>
        </w:sectPr>
      </w:pPr>
    </w:p>
    <w:p w:rsidR="00720648" w:rsidRPr="00905B06" w:rsidRDefault="00720648" w:rsidP="00905B06">
      <w:pPr>
        <w:pStyle w:val="Heading6"/>
        <w:rPr>
          <w:rStyle w:val="CaptionChar"/>
          <w:b w:val="0"/>
          <w:bCs w:val="0"/>
          <w:color w:val="2B3B5F" w:themeColor="text2"/>
          <w:szCs w:val="22"/>
        </w:rPr>
      </w:pPr>
      <w:r w:rsidRPr="00905B06">
        <w:lastRenderedPageBreak/>
        <w:t xml:space="preserve">Attachment A:  Phasing Out Private Health Insurance— </w:t>
      </w:r>
      <w:r w:rsidRPr="00905B06">
        <w:rPr>
          <w:rStyle w:val="CaptionChar"/>
          <w:b w:val="0"/>
          <w:bCs w:val="0"/>
          <w:color w:val="2B3B5F" w:themeColor="text2"/>
          <w:szCs w:val="22"/>
        </w:rPr>
        <w:t>financial implications</w:t>
      </w:r>
    </w:p>
    <w:p w:rsidR="00720648" w:rsidRPr="00720648" w:rsidRDefault="00720648" w:rsidP="00905B06">
      <w:pPr>
        <w:pStyle w:val="Caption"/>
        <w:rPr>
          <w:vertAlign w:val="superscript"/>
        </w:rPr>
      </w:pPr>
      <w:r w:rsidRPr="00720648">
        <w:t>Table A1: Fiscal balance</w:t>
      </w:r>
      <w:r w:rsidRPr="00720648">
        <w:rPr>
          <w:vertAlign w:val="superscript"/>
        </w:rPr>
        <w:t>(a)(b)</w:t>
      </w:r>
    </w:p>
    <w:tbl>
      <w:tblPr>
        <w:tblStyle w:val="TableGrid13"/>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720648" w:rsidRPr="00720648" w:rsidTr="00567E62">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rPr>
                <w:szCs w:val="20"/>
              </w:rPr>
            </w:pPr>
            <w:r w:rsidRPr="00720648">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20648">
              <w:t>2016–17</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20648">
              <w:t>2017–18</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20648">
              <w:t>2018–19</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20648">
              <w:t>2019–20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720648">
              <w:rPr>
                <w:b/>
              </w:rPr>
              <w:t>Total to 2019–20</w:t>
            </w:r>
          </w:p>
        </w:tc>
      </w:tr>
      <w:tr w:rsidR="00720648" w:rsidRPr="00720648"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ind w:left="57" w:right="57"/>
            </w:pPr>
            <w:r w:rsidRPr="00720648">
              <w:t>Private Health Insurance rebate expenses</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1,310.0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2,940.0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4,500.0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4,460.0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720648">
              <w:rPr>
                <w:rFonts w:ascii="Calibri" w:hAnsi="Calibri"/>
                <w:b/>
              </w:rPr>
              <w:t>13,210.0</w:t>
            </w:r>
          </w:p>
        </w:tc>
      </w:tr>
      <w:tr w:rsidR="00720648" w:rsidRPr="00720648"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ind w:left="57" w:right="57"/>
            </w:pPr>
            <w:r w:rsidRPr="00720648">
              <w:t>Departmental expenses</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-2.0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-2.0</w:t>
            </w:r>
          </w:p>
        </w:tc>
      </w:tr>
      <w:tr w:rsidR="00720648" w:rsidRPr="00720648"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ind w:left="57" w:right="57"/>
            </w:pPr>
            <w:r w:rsidRPr="00720648">
              <w:t>Medicare Levy Surcharge revenue</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20.0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40.0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40.0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720648">
              <w:rPr>
                <w:rFonts w:ascii="Calibri" w:hAnsi="Calibri"/>
                <w:b/>
              </w:rPr>
              <w:t>100.0</w:t>
            </w:r>
          </w:p>
        </w:tc>
      </w:tr>
      <w:tr w:rsidR="00720648" w:rsidRPr="00720648"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keepNext/>
              <w:keepLines/>
              <w:ind w:left="57" w:right="57"/>
              <w:rPr>
                <w:b/>
                <w:szCs w:val="20"/>
              </w:rPr>
            </w:pPr>
            <w:r w:rsidRPr="00720648">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1,308.0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2,960.0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4,540.0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4,500.0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13,308.0</w:t>
            </w:r>
          </w:p>
        </w:tc>
      </w:tr>
    </w:tbl>
    <w:p w:rsidR="00720648" w:rsidRPr="00FF4087" w:rsidRDefault="00720648" w:rsidP="000B5C96">
      <w:pPr>
        <w:pStyle w:val="Footnotes"/>
        <w:numPr>
          <w:ilvl w:val="0"/>
          <w:numId w:val="46"/>
        </w:numPr>
        <w:ind w:left="284" w:hanging="284"/>
      </w:pPr>
      <w:r w:rsidRPr="00FF4087">
        <w:t>A positive number for the fiscal balance indicates an increase in revenue or a decrease in expenses or net capital investment in accrual terms.  A negative number for the fiscal balance indicates a decrease in revenue or an increase in expenses or net capital</w:t>
      </w:r>
      <w:r w:rsidR="0058404D">
        <w:t xml:space="preserve"> investment in accrual terms.</w:t>
      </w:r>
    </w:p>
    <w:p w:rsidR="00720648" w:rsidRPr="00720648" w:rsidRDefault="00720648" w:rsidP="0058404D">
      <w:pPr>
        <w:pStyle w:val="Footnotes"/>
      </w:pPr>
      <w:r w:rsidRPr="00720648">
        <w:t>Figures may not sum to totals due to rounding.</w:t>
      </w:r>
    </w:p>
    <w:p w:rsidR="00720648" w:rsidRPr="00720648" w:rsidRDefault="00720648" w:rsidP="0058404D">
      <w:pPr>
        <w:pStyle w:val="Footnotes"/>
        <w:numPr>
          <w:ilvl w:val="0"/>
          <w:numId w:val="0"/>
        </w:numPr>
        <w:ind w:left="284" w:hanging="284"/>
      </w:pPr>
      <w:r w:rsidRPr="00720648">
        <w:t>..</w:t>
      </w:r>
      <w:r w:rsidR="0058404D">
        <w:tab/>
      </w:r>
      <w:r w:rsidR="0058404D">
        <w:tab/>
      </w:r>
      <w:r w:rsidR="0058404D">
        <w:tab/>
      </w:r>
      <w:r w:rsidRPr="00720648">
        <w:t>Not zero but rounded to zero.</w:t>
      </w:r>
    </w:p>
    <w:p w:rsidR="00720648" w:rsidRPr="00720648" w:rsidRDefault="00720648" w:rsidP="000B5C96">
      <w:pPr>
        <w:pStyle w:val="Footnotes"/>
        <w:numPr>
          <w:ilvl w:val="0"/>
          <w:numId w:val="33"/>
        </w:numPr>
        <w:ind w:left="284" w:hanging="284"/>
      </w:pPr>
      <w:r w:rsidRPr="00720648">
        <w:t>Indicates nil.</w:t>
      </w:r>
    </w:p>
    <w:p w:rsidR="00720648" w:rsidRPr="00720648" w:rsidRDefault="00720648" w:rsidP="00905B06">
      <w:pPr>
        <w:pStyle w:val="Caption"/>
        <w:rPr>
          <w:vertAlign w:val="superscript"/>
        </w:rPr>
      </w:pPr>
      <w:r w:rsidRPr="00720648">
        <w:t>Table A2: Underlying cash balance</w:t>
      </w:r>
      <w:r w:rsidRPr="00720648">
        <w:rPr>
          <w:vertAlign w:val="superscript"/>
        </w:rPr>
        <w:t>(a)(b)</w:t>
      </w:r>
    </w:p>
    <w:tbl>
      <w:tblPr>
        <w:tblStyle w:val="TableGrid13"/>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720648" w:rsidRPr="00720648" w:rsidTr="00567E62">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rPr>
                <w:szCs w:val="20"/>
              </w:rPr>
            </w:pPr>
            <w:r w:rsidRPr="00720648">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648">
              <w:t>2016–17</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648">
              <w:t>2017–18</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648">
              <w:t>2018–19</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648">
              <w:t>2019–20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720648">
              <w:rPr>
                <w:b/>
              </w:rPr>
              <w:t>Total</w:t>
            </w:r>
            <w:r w:rsidRPr="00720648">
              <w:rPr>
                <w:b/>
                <w:szCs w:val="20"/>
              </w:rPr>
              <w:t xml:space="preserve"> to 2019–20</w:t>
            </w:r>
          </w:p>
        </w:tc>
      </w:tr>
      <w:tr w:rsidR="00720648" w:rsidRPr="00720648"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ind w:left="57" w:right="57"/>
            </w:pPr>
            <w:r w:rsidRPr="00720648">
              <w:t>Private Health Insurance rebate outlays</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1,180.0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2,780.0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4,340.0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4,460.0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720648">
              <w:rPr>
                <w:rFonts w:ascii="Calibri" w:hAnsi="Calibri"/>
                <w:b/>
              </w:rPr>
              <w:t>12,760.0</w:t>
            </w:r>
          </w:p>
        </w:tc>
      </w:tr>
      <w:tr w:rsidR="00720648" w:rsidRPr="00720648"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ind w:left="57" w:right="57"/>
            </w:pPr>
            <w:r w:rsidRPr="00720648">
              <w:t>Departmental outlays</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-2.0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20648">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-2.0</w:t>
            </w:r>
          </w:p>
        </w:tc>
      </w:tr>
      <w:tr w:rsidR="00720648" w:rsidRPr="00720648"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ind w:left="57" w:right="57"/>
            </w:pPr>
            <w:r w:rsidRPr="00720648">
              <w:t>Medicare Levy Surcharge receipts</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20.0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40.0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20648">
              <w:rPr>
                <w:rFonts w:ascii="Calibri" w:hAnsi="Calibri"/>
              </w:rPr>
              <w:t>40.0</w:t>
            </w:r>
          </w:p>
        </w:tc>
        <w:tc>
          <w:tcPr>
            <w:tcW w:w="682" w:type="pct"/>
            <w:tcBorders>
              <w:top w:val="single" w:sz="4" w:space="0" w:color="788184"/>
              <w:left w:val="single" w:sz="4" w:space="0" w:color="788184"/>
              <w:bottom w:val="single" w:sz="4" w:space="0" w:color="788184"/>
              <w:right w:val="single" w:sz="4" w:space="0" w:color="788184"/>
            </w:tcBorders>
          </w:tcPr>
          <w:p w:rsidR="00720648" w:rsidRPr="00720648" w:rsidRDefault="00720648" w:rsidP="0072064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720648">
              <w:rPr>
                <w:rFonts w:ascii="Calibri" w:hAnsi="Calibri"/>
                <w:b/>
              </w:rPr>
              <w:t>100.0</w:t>
            </w:r>
          </w:p>
        </w:tc>
      </w:tr>
      <w:tr w:rsidR="00720648" w:rsidRPr="00720648"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keepNext/>
              <w:keepLines/>
              <w:ind w:left="57" w:right="57"/>
              <w:rPr>
                <w:b/>
                <w:szCs w:val="20"/>
              </w:rPr>
            </w:pPr>
            <w:r w:rsidRPr="00720648">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1,178.0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2,800.0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4,380.0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4,500.0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648" w:rsidRPr="00720648" w:rsidRDefault="00720648" w:rsidP="0072064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20648">
              <w:rPr>
                <w:rFonts w:ascii="Calibri" w:hAnsi="Calibri"/>
                <w:b/>
              </w:rPr>
              <w:t>12,858.0</w:t>
            </w:r>
          </w:p>
        </w:tc>
      </w:tr>
    </w:tbl>
    <w:p w:rsidR="00720648" w:rsidRPr="00FF4087" w:rsidRDefault="00720648" w:rsidP="000B5C96">
      <w:pPr>
        <w:pStyle w:val="Footnotes"/>
        <w:numPr>
          <w:ilvl w:val="0"/>
          <w:numId w:val="47"/>
        </w:numPr>
        <w:ind w:left="284" w:hanging="284"/>
      </w:pPr>
      <w:r w:rsidRPr="00FF4087" w:rsidDel="0066665A">
        <w:t xml:space="preserve">A positive number for the underlying cash balance indicates </w:t>
      </w:r>
      <w:r w:rsidRPr="00FF4087">
        <w:t>an increase in receipts or a decrease in outlays</w:t>
      </w:r>
      <w:r w:rsidRPr="00FF4087" w:rsidDel="0066665A">
        <w:t xml:space="preserve"> </w:t>
      </w:r>
      <w:r w:rsidRPr="00FF4087">
        <w:t xml:space="preserve">or net capital investment </w:t>
      </w:r>
      <w:r w:rsidRPr="00FF4087" w:rsidDel="0066665A">
        <w:t>in cash</w:t>
      </w:r>
      <w:r w:rsidRPr="00FF4087">
        <w:t xml:space="preserve"> </w:t>
      </w:r>
      <w:r w:rsidRPr="00FF4087" w:rsidDel="0066665A">
        <w:t>terms.</w:t>
      </w:r>
      <w:r w:rsidRPr="00FF4087">
        <w:t xml:space="preserve">  A negative number for the underlying cash balance indicates a decrease in receipts or an increase in outlays or net capital investment in cash terms.</w:t>
      </w:r>
    </w:p>
    <w:p w:rsidR="00720648" w:rsidRPr="00720648" w:rsidRDefault="00720648" w:rsidP="0058404D">
      <w:pPr>
        <w:pStyle w:val="Footnotes"/>
      </w:pPr>
      <w:r w:rsidRPr="00720648">
        <w:t>Figures may not sum to totals due to rounding.</w:t>
      </w:r>
    </w:p>
    <w:p w:rsidR="00720648" w:rsidRPr="00720648" w:rsidRDefault="00720648" w:rsidP="0058404D">
      <w:pPr>
        <w:pStyle w:val="Footnotes"/>
        <w:numPr>
          <w:ilvl w:val="0"/>
          <w:numId w:val="0"/>
        </w:numPr>
        <w:ind w:left="284" w:hanging="284"/>
      </w:pPr>
      <w:r w:rsidRPr="00720648">
        <w:t>..</w:t>
      </w:r>
      <w:r w:rsidR="0058404D">
        <w:tab/>
      </w:r>
      <w:r w:rsidRPr="00720648">
        <w:t>Not zero but rounded to zero.</w:t>
      </w:r>
    </w:p>
    <w:p w:rsidR="00720648" w:rsidRPr="00720648" w:rsidRDefault="00720648" w:rsidP="000B5C96">
      <w:pPr>
        <w:pStyle w:val="Footnotes"/>
        <w:numPr>
          <w:ilvl w:val="0"/>
          <w:numId w:val="33"/>
        </w:numPr>
        <w:ind w:left="284" w:hanging="284"/>
      </w:pPr>
      <w:r w:rsidRPr="00720648">
        <w:t>Indicates nil.</w:t>
      </w:r>
    </w:p>
    <w:p w:rsidR="00E8358C" w:rsidRDefault="00E8358C" w:rsidP="0058404D">
      <w:pPr>
        <w:pStyle w:val="Footnotes"/>
        <w:sectPr w:rsidR="00E8358C" w:rsidSect="00E8358C">
          <w:headerReference w:type="even" r:id="rId104"/>
          <w:headerReference w:type="default" r:id="rId105"/>
          <w:footerReference w:type="even" r:id="rId106"/>
          <w:footerReference w:type="default" r:id="rId107"/>
          <w:headerReference w:type="first" r:id="rId108"/>
          <w:footerReference w:type="first" r:id="rId109"/>
          <w:pgSz w:w="11906" w:h="16838"/>
          <w:pgMar w:top="1361" w:right="1797" w:bottom="1474" w:left="1797" w:header="283" w:footer="454" w:gutter="0"/>
          <w:cols w:space="708"/>
          <w:docGrid w:linePitch="360"/>
        </w:sectPr>
      </w:pPr>
    </w:p>
    <w:p w:rsidR="002D4F41" w:rsidRDefault="002D4F41" w:rsidP="007A4BF9">
      <w:pPr>
        <w:pStyle w:val="Heading5"/>
      </w:pPr>
      <w:bookmarkStart w:id="32" w:name="_Toc455655077"/>
      <w:bookmarkStart w:id="33" w:name="_Toc456766793"/>
      <w:bookmarkStart w:id="34" w:name="_Toc457819887"/>
      <w:bookmarkStart w:id="35" w:name="_Toc458015777"/>
      <w:bookmarkStart w:id="36" w:name="_Toc458090616"/>
      <w:r>
        <w:lastRenderedPageBreak/>
        <w:t>GRN010: Restoring cuts to Australian Tax Office Staff</w:t>
      </w:r>
      <w:bookmarkEnd w:id="32"/>
      <w:bookmarkEnd w:id="33"/>
      <w:bookmarkEnd w:id="34"/>
      <w:bookmarkEnd w:id="35"/>
      <w:bookmarkEnd w:id="36"/>
    </w:p>
    <w:p w:rsidR="00720648" w:rsidRDefault="002D4F41" w:rsidP="007A4BF9">
      <w:pPr>
        <w:pStyle w:val="BodyText"/>
      </w:pPr>
      <w:r>
        <w:rPr>
          <w:noProof/>
          <w:lang w:eastAsia="en-AU"/>
        </w:rPr>
        <w:drawing>
          <wp:inline distT="0" distB="0" distL="0" distR="0" wp14:anchorId="53AF2DE2" wp14:editId="02800E8C">
            <wp:extent cx="2696845" cy="572135"/>
            <wp:effectExtent l="0" t="0" r="8255" b="0"/>
            <wp:docPr id="9" name="Picture 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2D4F41" w:rsidRPr="002D4F41" w:rsidRDefault="002D4F41" w:rsidP="007A4BF9">
      <w:pPr>
        <w:pStyle w:val="Heading6"/>
        <w:rPr>
          <w:rFonts w:eastAsia="Calibri"/>
        </w:rPr>
      </w:pPr>
      <w:r w:rsidRPr="002D4F41">
        <w:rPr>
          <w:rFonts w:eastAsia="Calibri"/>
        </w:rPr>
        <w:t>Policy costing—during the caretaker period for the 2016 general election</w:t>
      </w:r>
    </w:p>
    <w:tbl>
      <w:tblPr>
        <w:tblStyle w:val="Style1"/>
        <w:tblW w:w="8528" w:type="dxa"/>
        <w:tblLayout w:type="fixed"/>
        <w:tblLook w:val="04A0" w:firstRow="1" w:lastRow="0" w:firstColumn="1" w:lastColumn="0" w:noHBand="0" w:noVBand="1"/>
      </w:tblPr>
      <w:tblGrid>
        <w:gridCol w:w="2943"/>
        <w:gridCol w:w="5585"/>
      </w:tblGrid>
      <w:tr w:rsidR="002D4F41" w:rsidRPr="00AF49FE" w:rsidTr="00567E62">
        <w:trPr>
          <w:cnfStyle w:val="100000000000" w:firstRow="1" w:lastRow="0" w:firstColumn="0" w:lastColumn="0" w:oddVBand="0" w:evenVBand="0" w:oddHBand="0" w:evenHBand="0" w:firstRowFirstColumn="0" w:firstRowLastColumn="0" w:lastRowFirstColumn="0" w:lastRowLastColumn="0"/>
        </w:trPr>
        <w:tc>
          <w:tcPr>
            <w:tcW w:w="2943" w:type="dxa"/>
          </w:tcPr>
          <w:p w:rsidR="002D4F41" w:rsidRPr="00AF49FE" w:rsidRDefault="002D4F41" w:rsidP="00AF49FE">
            <w:pPr>
              <w:pStyle w:val="PullOutBoxHeading"/>
              <w:rPr>
                <w:b/>
                <w:sz w:val="22"/>
              </w:rPr>
            </w:pPr>
            <w:r w:rsidRPr="00AF49FE">
              <w:rPr>
                <w:b/>
                <w:sz w:val="22"/>
              </w:rPr>
              <w:t>Name of proposal:</w:t>
            </w:r>
          </w:p>
        </w:tc>
        <w:tc>
          <w:tcPr>
            <w:tcW w:w="5585" w:type="dxa"/>
          </w:tcPr>
          <w:p w:rsidR="002D4F41" w:rsidRPr="00AF49FE" w:rsidRDefault="002D4F41" w:rsidP="00AF49FE">
            <w:pPr>
              <w:pStyle w:val="PullOutBoxHeading"/>
              <w:rPr>
                <w:b/>
                <w:sz w:val="22"/>
              </w:rPr>
            </w:pPr>
            <w:r w:rsidRPr="00AF49FE">
              <w:rPr>
                <w:b/>
                <w:sz w:val="22"/>
              </w:rPr>
              <w:t>Ending Tax Avoidance: Restoring Staff to the Tax Office</w:t>
            </w:r>
          </w:p>
        </w:tc>
      </w:tr>
      <w:tr w:rsidR="002D4F41" w:rsidRPr="002D4F41" w:rsidTr="00567E62">
        <w:tc>
          <w:tcPr>
            <w:tcW w:w="2943" w:type="dxa"/>
          </w:tcPr>
          <w:p w:rsidR="002D4F41" w:rsidRPr="002D4F41" w:rsidRDefault="002D4F41" w:rsidP="00E1733B">
            <w:pPr>
              <w:pStyle w:val="PullOutBoxBodyText"/>
            </w:pPr>
            <w:r w:rsidRPr="002D4F41">
              <w:t>Summary of proposal:</w:t>
            </w:r>
          </w:p>
        </w:tc>
        <w:tc>
          <w:tcPr>
            <w:tcW w:w="5585" w:type="dxa"/>
          </w:tcPr>
          <w:p w:rsidR="002D4F41" w:rsidRPr="002D4F41" w:rsidRDefault="002D4F41" w:rsidP="00E1733B">
            <w:pPr>
              <w:pStyle w:val="PullOutBoxBodyText"/>
            </w:pPr>
            <w:r w:rsidRPr="002D4F41">
              <w:t>The proposal has two components.</w:t>
            </w:r>
          </w:p>
          <w:p w:rsidR="002D4F41" w:rsidRPr="002D4F41" w:rsidRDefault="002D4F41" w:rsidP="00E1733B">
            <w:pPr>
              <w:pStyle w:val="PullOutBoxBodyText"/>
            </w:pPr>
            <w:r w:rsidRPr="002D4F41">
              <w:t>The first component would reverse the funding cuts within the Australian Taxation Office (ATO) that have occurred since the change of government on 12 September 2013.  The number of ATO employees would be returned to the level on 12 September 2013.</w:t>
            </w:r>
          </w:p>
          <w:p w:rsidR="002D4F41" w:rsidRPr="002D4F41" w:rsidRDefault="002D4F41" w:rsidP="00E1733B">
            <w:pPr>
              <w:pStyle w:val="PullOutBoxBodyText"/>
            </w:pPr>
            <w:r w:rsidRPr="002D4F41">
              <w:t xml:space="preserve">The second component would invest $400 million evenly across four years in global diplomacy to ensure Australia is taking a leadership role in ending global tax avoidance strategies.  </w:t>
            </w:r>
          </w:p>
          <w:p w:rsidR="002D4F41" w:rsidRPr="002D4F41" w:rsidRDefault="002D4F41" w:rsidP="00E1733B">
            <w:pPr>
              <w:pStyle w:val="PullOutBoxBodyText"/>
            </w:pPr>
            <w:r w:rsidRPr="002D4F41">
              <w:t>The proposal would have effect from 1 September 2016.</w:t>
            </w:r>
          </w:p>
        </w:tc>
      </w:tr>
      <w:tr w:rsidR="002D4F41" w:rsidRPr="002D4F41" w:rsidTr="00567E62">
        <w:tc>
          <w:tcPr>
            <w:tcW w:w="2943" w:type="dxa"/>
          </w:tcPr>
          <w:p w:rsidR="002D4F41" w:rsidRPr="002D4F41" w:rsidRDefault="002D4F41" w:rsidP="00E1733B">
            <w:pPr>
              <w:pStyle w:val="PullOutBoxBodyText"/>
            </w:pPr>
            <w:r w:rsidRPr="002D4F41">
              <w:t>Person/party requesting costing:</w:t>
            </w:r>
          </w:p>
        </w:tc>
        <w:tc>
          <w:tcPr>
            <w:tcW w:w="5585" w:type="dxa"/>
          </w:tcPr>
          <w:p w:rsidR="002D4F41" w:rsidRPr="002D4F41" w:rsidRDefault="002D4F41" w:rsidP="00E1733B">
            <w:pPr>
              <w:pStyle w:val="PullOutBoxBodyText"/>
            </w:pPr>
            <w:r w:rsidRPr="002D4F41">
              <w:t>Senator Richard Di Natale, Australian Greens</w:t>
            </w:r>
          </w:p>
        </w:tc>
      </w:tr>
      <w:tr w:rsidR="002D4F41" w:rsidRPr="002D4F41" w:rsidTr="00567E62">
        <w:tc>
          <w:tcPr>
            <w:tcW w:w="2943" w:type="dxa"/>
          </w:tcPr>
          <w:p w:rsidR="002D4F41" w:rsidRPr="002D4F41" w:rsidRDefault="002D4F41" w:rsidP="00E1733B">
            <w:pPr>
              <w:pStyle w:val="PullOutBoxBodyText"/>
            </w:pPr>
            <w:r w:rsidRPr="002D4F41">
              <w:t>Date of public release of policy:</w:t>
            </w:r>
          </w:p>
        </w:tc>
        <w:tc>
          <w:tcPr>
            <w:tcW w:w="5585" w:type="dxa"/>
          </w:tcPr>
          <w:p w:rsidR="002D4F41" w:rsidRPr="002D4F41" w:rsidRDefault="002D4F41" w:rsidP="00E1733B">
            <w:pPr>
              <w:pStyle w:val="PullOutBoxBodyText"/>
            </w:pPr>
            <w:r w:rsidRPr="002D4F41">
              <w:t>22 June 2016</w:t>
            </w:r>
          </w:p>
          <w:p w:rsidR="002D4F41" w:rsidRPr="002D4F41" w:rsidRDefault="00E46526" w:rsidP="00E1733B">
            <w:pPr>
              <w:pStyle w:val="PullOutBoxBodyText"/>
            </w:pPr>
            <w:hyperlink r:id="rId110" w:history="1">
              <w:r w:rsidR="002D4F41" w:rsidRPr="002D4F41">
                <w:rPr>
                  <w:color w:val="0000FF"/>
                  <w:u w:val="single"/>
                </w:rPr>
                <w:t>http://greens.org.au/sites/greens.org.au/files/Tax%20Avoidance%20Package_0.pdf</w:t>
              </w:r>
            </w:hyperlink>
          </w:p>
        </w:tc>
      </w:tr>
      <w:tr w:rsidR="002D4F41" w:rsidRPr="002D4F41" w:rsidTr="00567E62">
        <w:tc>
          <w:tcPr>
            <w:tcW w:w="2943" w:type="dxa"/>
          </w:tcPr>
          <w:p w:rsidR="002D4F41" w:rsidRPr="002D4F41" w:rsidRDefault="002D4F41" w:rsidP="00E1733B">
            <w:pPr>
              <w:pStyle w:val="PullOutBoxBodyText"/>
            </w:pPr>
            <w:r w:rsidRPr="002D4F41">
              <w:t>Date costing request received:</w:t>
            </w:r>
          </w:p>
        </w:tc>
        <w:tc>
          <w:tcPr>
            <w:tcW w:w="5585" w:type="dxa"/>
          </w:tcPr>
          <w:p w:rsidR="002D4F41" w:rsidRPr="002D4F41" w:rsidRDefault="002D4F41" w:rsidP="00E1733B">
            <w:pPr>
              <w:pStyle w:val="PullOutBoxBodyText"/>
            </w:pPr>
            <w:r w:rsidRPr="002D4F41">
              <w:t>24 June 2016</w:t>
            </w:r>
          </w:p>
        </w:tc>
      </w:tr>
      <w:tr w:rsidR="002D4F41" w:rsidRPr="002D4F41" w:rsidTr="00567E62">
        <w:tc>
          <w:tcPr>
            <w:tcW w:w="2943" w:type="dxa"/>
          </w:tcPr>
          <w:p w:rsidR="002D4F41" w:rsidRPr="002D4F41" w:rsidRDefault="002D4F41" w:rsidP="00E1733B">
            <w:pPr>
              <w:pStyle w:val="PullOutBoxBodyText"/>
            </w:pPr>
            <w:r w:rsidRPr="002D4F41">
              <w:t>Date costing completed</w:t>
            </w:r>
          </w:p>
        </w:tc>
        <w:tc>
          <w:tcPr>
            <w:tcW w:w="5585" w:type="dxa"/>
          </w:tcPr>
          <w:p w:rsidR="002D4F41" w:rsidRPr="002D4F41" w:rsidRDefault="002D4F41" w:rsidP="00E1733B">
            <w:pPr>
              <w:pStyle w:val="PullOutBoxBodyText"/>
            </w:pPr>
            <w:r w:rsidRPr="002D4F41">
              <w:t>25 June 2016</w:t>
            </w:r>
          </w:p>
        </w:tc>
      </w:tr>
      <w:tr w:rsidR="002D4F41" w:rsidRPr="002D4F41" w:rsidTr="00567E62">
        <w:tc>
          <w:tcPr>
            <w:tcW w:w="2943" w:type="dxa"/>
          </w:tcPr>
          <w:p w:rsidR="002D4F41" w:rsidRPr="002D4F41" w:rsidRDefault="002D4F41" w:rsidP="00E1733B">
            <w:pPr>
              <w:pStyle w:val="PullOutBoxBodyText"/>
            </w:pPr>
            <w:r w:rsidRPr="002D4F41">
              <w:t>Expiry date for the costing:</w:t>
            </w:r>
          </w:p>
        </w:tc>
        <w:tc>
          <w:tcPr>
            <w:tcW w:w="5585" w:type="dxa"/>
          </w:tcPr>
          <w:p w:rsidR="002D4F41" w:rsidRPr="002D4F41" w:rsidRDefault="002D4F41" w:rsidP="00E1733B">
            <w:pPr>
              <w:pStyle w:val="PullOutBoxBodyText"/>
            </w:pPr>
            <w:r w:rsidRPr="002D4F41">
              <w:t>Release of the next economic and fiscal outlook report</w:t>
            </w:r>
          </w:p>
        </w:tc>
      </w:tr>
    </w:tbl>
    <w:p w:rsidR="002D4F41" w:rsidRPr="002D4F41" w:rsidRDefault="002D4F41" w:rsidP="00905B06">
      <w:pPr>
        <w:pStyle w:val="CostingsH7"/>
        <w:rPr>
          <w:rFonts w:eastAsia="Calibri"/>
        </w:rPr>
      </w:pPr>
      <w:r w:rsidRPr="002D4F41">
        <w:rPr>
          <w:rFonts w:eastAsia="Calibri"/>
        </w:rPr>
        <w:t>Costing overview</w:t>
      </w:r>
    </w:p>
    <w:p w:rsidR="002D4F41" w:rsidRPr="002D4F41" w:rsidRDefault="002D4F41" w:rsidP="00E672F0">
      <w:pPr>
        <w:pStyle w:val="BodyText"/>
        <w:rPr>
          <w:bCs/>
        </w:rPr>
      </w:pPr>
      <w:r w:rsidRPr="002D4F41">
        <w:t>The proposal would be expected to decrease</w:t>
      </w:r>
      <w:r w:rsidRPr="002D4F41">
        <w:rPr>
          <w:bCs/>
        </w:rPr>
        <w:t xml:space="preserve"> both </w:t>
      </w:r>
      <w:r w:rsidRPr="002D4F41">
        <w:t xml:space="preserve">the fiscal and </w:t>
      </w:r>
      <w:r w:rsidRPr="002D4F41">
        <w:rPr>
          <w:bCs/>
        </w:rPr>
        <w:t>underlying cash balances by $1,9</w:t>
      </w:r>
      <w:r w:rsidRPr="002D4F41">
        <w:t xml:space="preserve">60 million over the 2016-17 Budget forward estimates period.  </w:t>
      </w:r>
      <w:r w:rsidRPr="002D4F41">
        <w:rPr>
          <w:bCs/>
        </w:rPr>
        <w:t>This impact entirely reflects an in</w:t>
      </w:r>
      <w:r w:rsidRPr="002D4F41">
        <w:t xml:space="preserve">crease in </w:t>
      </w:r>
      <w:r w:rsidRPr="002D4F41">
        <w:rPr>
          <w:bCs/>
        </w:rPr>
        <w:t>departmental expenses</w:t>
      </w:r>
      <w:r w:rsidRPr="002D4F41">
        <w:t>.</w:t>
      </w:r>
    </w:p>
    <w:p w:rsidR="002D4F41" w:rsidRPr="002D4F41" w:rsidDel="00145EB8" w:rsidRDefault="002D4F41" w:rsidP="00E672F0">
      <w:pPr>
        <w:pStyle w:val="BodyText"/>
        <w:rPr>
          <w:bCs/>
        </w:rPr>
      </w:pPr>
      <w:r w:rsidRPr="002D4F41" w:rsidDel="00145EB8">
        <w:t xml:space="preserve">A detailed breakdown of the financial implications </w:t>
      </w:r>
      <w:r w:rsidRPr="002D4F41">
        <w:t xml:space="preserve">of the components of the proposal </w:t>
      </w:r>
      <w:r w:rsidRPr="002D4F41" w:rsidDel="00145EB8">
        <w:t xml:space="preserve">over the 2016-17 Budget forward estimates period is included at </w:t>
      </w:r>
      <w:r w:rsidRPr="002D4F41" w:rsidDel="00145EB8">
        <w:rPr>
          <w:u w:val="single"/>
        </w:rPr>
        <w:t>Attachment A</w:t>
      </w:r>
      <w:r w:rsidRPr="002D4F41" w:rsidDel="00145EB8">
        <w:t>.</w:t>
      </w:r>
    </w:p>
    <w:p w:rsidR="002D4F41" w:rsidRPr="002D4F41" w:rsidRDefault="002D4F41" w:rsidP="00761D0F">
      <w:pPr>
        <w:pStyle w:val="BodyText"/>
        <w:keepNext/>
        <w:keepLines/>
        <w:rPr>
          <w:bCs/>
        </w:rPr>
      </w:pPr>
      <w:r w:rsidRPr="002D4F41">
        <w:lastRenderedPageBreak/>
        <w:t>The proposed increase in ATO staffing levels in the first component of the proposal would be expected to have an impact on the level of revenue collections.  However, there is not a simple relationship between the level of ATO staff and the level of revenue collections as the nature of functions undertaken by ATO staff can vary substantially.  As the request does not indicate the roles of the additional ATO staff under the proposal, increased revenue attributable to additional ATO staffing levels would not be able to be reliably estimated.</w:t>
      </w:r>
    </w:p>
    <w:p w:rsidR="002D4F41" w:rsidRPr="002D4F41" w:rsidRDefault="002D4F41" w:rsidP="00E672F0">
      <w:pPr>
        <w:pStyle w:val="BodyText"/>
      </w:pPr>
      <w:r w:rsidRPr="002D4F41">
        <w:t>The first component of this costing (restoring ATO staffing levels) is considered to be of medium reliability.  Estimates of ATO staff numbers in the baseline and in the proposal are based on 2016-17 Budget estimates and several assumptions.  While additional ATO staff may result in increased revenue collections, under the current specification of the proposal, this amount is not able to be reliably estimated.</w:t>
      </w:r>
    </w:p>
    <w:p w:rsidR="002D4F41" w:rsidRPr="002D4F41" w:rsidRDefault="002D4F41" w:rsidP="00E672F0">
      <w:pPr>
        <w:pStyle w:val="BodyText"/>
      </w:pPr>
      <w:r w:rsidRPr="002D4F41">
        <w:t>The second component of this costing (global tax diplomacy) is considered to be of high reliability as the amount of funding is fixed.  However, no analysis has been undertaken to determine the adequacy of the prescribed funding amounts to achieve the objective of the proposal.</w:t>
      </w:r>
    </w:p>
    <w:p w:rsidR="002D4F41" w:rsidRPr="002D4F41" w:rsidRDefault="002D4F41" w:rsidP="00905B06">
      <w:pPr>
        <w:pStyle w:val="Caption"/>
      </w:pPr>
      <w:r w:rsidRPr="002D4F41">
        <w:t>Table 1: Financial implications (outturn prices)</w:t>
      </w:r>
      <w:r w:rsidRPr="002D4F41">
        <w:rPr>
          <w:vertAlign w:val="superscript"/>
        </w:rPr>
        <w:t>(a)(b)</w:t>
      </w:r>
    </w:p>
    <w:tbl>
      <w:tblPr>
        <w:tblStyle w:val="TableGrid14"/>
        <w:tblW w:w="4993" w:type="pct"/>
        <w:tblLook w:val="04A0" w:firstRow="1" w:lastRow="0" w:firstColumn="1" w:lastColumn="0" w:noHBand="0" w:noVBand="1"/>
      </w:tblPr>
      <w:tblGrid>
        <w:gridCol w:w="2645"/>
        <w:gridCol w:w="1134"/>
        <w:gridCol w:w="1133"/>
        <w:gridCol w:w="1133"/>
        <w:gridCol w:w="1133"/>
        <w:gridCol w:w="1132"/>
      </w:tblGrid>
      <w:tr w:rsidR="002D4F41" w:rsidRPr="002D4F41" w:rsidTr="00567E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2D4F41" w:rsidRPr="002D4F41" w:rsidRDefault="002D4F41" w:rsidP="002D4F41">
            <w:pPr>
              <w:keepNext/>
              <w:keepLines/>
              <w:spacing w:line="240" w:lineRule="auto"/>
              <w:ind w:left="57" w:right="57"/>
              <w:rPr>
                <w:szCs w:val="20"/>
              </w:rPr>
            </w:pPr>
            <w:r w:rsidRPr="002D4F41">
              <w:rPr>
                <w:szCs w:val="20"/>
              </w:rPr>
              <w:t>Impact on ($m)</w:t>
            </w:r>
          </w:p>
        </w:tc>
        <w:tc>
          <w:tcPr>
            <w:tcW w:w="682" w:type="pct"/>
          </w:tcPr>
          <w:p w:rsidR="002D4F41" w:rsidRPr="002D4F41" w:rsidRDefault="002D4F41" w:rsidP="002D4F4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D4F41">
              <w:rPr>
                <w:szCs w:val="20"/>
              </w:rPr>
              <w:t>2016–17</w:t>
            </w:r>
          </w:p>
        </w:tc>
        <w:tc>
          <w:tcPr>
            <w:tcW w:w="682" w:type="pct"/>
          </w:tcPr>
          <w:p w:rsidR="002D4F41" w:rsidRPr="002D4F41" w:rsidRDefault="002D4F41" w:rsidP="002D4F4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D4F41">
              <w:rPr>
                <w:szCs w:val="20"/>
              </w:rPr>
              <w:t>2017–18</w:t>
            </w:r>
          </w:p>
        </w:tc>
        <w:tc>
          <w:tcPr>
            <w:tcW w:w="682" w:type="pct"/>
          </w:tcPr>
          <w:p w:rsidR="002D4F41" w:rsidRPr="002D4F41" w:rsidRDefault="002D4F41" w:rsidP="002D4F4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D4F41">
              <w:rPr>
                <w:szCs w:val="20"/>
              </w:rPr>
              <w:t>2018–19</w:t>
            </w:r>
          </w:p>
        </w:tc>
        <w:tc>
          <w:tcPr>
            <w:tcW w:w="682" w:type="pct"/>
          </w:tcPr>
          <w:p w:rsidR="002D4F41" w:rsidRPr="002D4F41" w:rsidRDefault="002D4F41" w:rsidP="002D4F4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D4F41">
              <w:rPr>
                <w:szCs w:val="20"/>
              </w:rPr>
              <w:t>2019–20</w:t>
            </w:r>
          </w:p>
        </w:tc>
        <w:tc>
          <w:tcPr>
            <w:tcW w:w="681" w:type="pct"/>
          </w:tcPr>
          <w:p w:rsidR="002D4F41" w:rsidRPr="002D4F41" w:rsidRDefault="002D4F41" w:rsidP="002D4F4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D4F41">
              <w:rPr>
                <w:b/>
                <w:szCs w:val="20"/>
              </w:rPr>
              <w:t>Total</w:t>
            </w:r>
          </w:p>
        </w:tc>
      </w:tr>
      <w:tr w:rsidR="002D4F41" w:rsidRPr="002D4F41" w:rsidTr="00567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2D4F41" w:rsidRPr="002D4F41" w:rsidRDefault="002D4F41" w:rsidP="002D4F41">
            <w:pPr>
              <w:keepNext/>
              <w:keepLines/>
              <w:ind w:left="57" w:right="57"/>
              <w:rPr>
                <w:szCs w:val="20"/>
              </w:rPr>
            </w:pPr>
            <w:r w:rsidRPr="002D4F41">
              <w:rPr>
                <w:szCs w:val="20"/>
              </w:rPr>
              <w:t>Fiscal balance</w:t>
            </w:r>
          </w:p>
        </w:tc>
        <w:tc>
          <w:tcPr>
            <w:tcW w:w="682" w:type="pct"/>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2D4F41">
              <w:rPr>
                <w:rFonts w:ascii="Calibri" w:hAnsi="Calibri"/>
                <w:szCs w:val="20"/>
              </w:rPr>
              <w:t>-390.0</w:t>
            </w:r>
          </w:p>
        </w:tc>
        <w:tc>
          <w:tcPr>
            <w:tcW w:w="682" w:type="pct"/>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2D4F41">
              <w:rPr>
                <w:rFonts w:ascii="Calibri" w:hAnsi="Calibri"/>
                <w:szCs w:val="20"/>
              </w:rPr>
              <w:t>-500.0</w:t>
            </w:r>
          </w:p>
        </w:tc>
        <w:tc>
          <w:tcPr>
            <w:tcW w:w="682" w:type="pct"/>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2D4F41">
              <w:rPr>
                <w:rFonts w:ascii="Calibri" w:hAnsi="Calibri"/>
                <w:szCs w:val="20"/>
              </w:rPr>
              <w:t>-510.0</w:t>
            </w:r>
          </w:p>
        </w:tc>
        <w:tc>
          <w:tcPr>
            <w:tcW w:w="682" w:type="pct"/>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2D4F41">
              <w:rPr>
                <w:rFonts w:ascii="Calibri" w:hAnsi="Calibri"/>
                <w:szCs w:val="20"/>
              </w:rPr>
              <w:t>-560.0</w:t>
            </w:r>
          </w:p>
        </w:tc>
        <w:tc>
          <w:tcPr>
            <w:tcW w:w="681" w:type="pct"/>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2D4F41">
              <w:rPr>
                <w:rFonts w:ascii="Calibri" w:hAnsi="Calibri"/>
                <w:b/>
                <w:szCs w:val="20"/>
              </w:rPr>
              <w:t>-1,960.0</w:t>
            </w:r>
          </w:p>
        </w:tc>
      </w:tr>
      <w:tr w:rsidR="002D4F41" w:rsidRPr="002D4F41" w:rsidTr="00567E62">
        <w:tc>
          <w:tcPr>
            <w:cnfStyle w:val="001000000000" w:firstRow="0" w:lastRow="0" w:firstColumn="1" w:lastColumn="0" w:oddVBand="0" w:evenVBand="0" w:oddHBand="0" w:evenHBand="0" w:firstRowFirstColumn="0" w:firstRowLastColumn="0" w:lastRowFirstColumn="0" w:lastRowLastColumn="0"/>
            <w:tcW w:w="1591" w:type="pct"/>
          </w:tcPr>
          <w:p w:rsidR="002D4F41" w:rsidRPr="002D4F41" w:rsidRDefault="002D4F41" w:rsidP="002D4F41">
            <w:pPr>
              <w:keepNext/>
              <w:keepLines/>
              <w:ind w:left="57" w:right="57"/>
              <w:rPr>
                <w:szCs w:val="20"/>
              </w:rPr>
            </w:pPr>
            <w:r w:rsidRPr="002D4F41">
              <w:rPr>
                <w:szCs w:val="20"/>
              </w:rPr>
              <w:t>Underlying cash balance</w:t>
            </w:r>
          </w:p>
        </w:tc>
        <w:tc>
          <w:tcPr>
            <w:tcW w:w="682" w:type="pct"/>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2D4F41">
              <w:rPr>
                <w:rFonts w:ascii="Calibri" w:hAnsi="Calibri"/>
                <w:szCs w:val="20"/>
              </w:rPr>
              <w:t>-390.0</w:t>
            </w:r>
          </w:p>
        </w:tc>
        <w:tc>
          <w:tcPr>
            <w:tcW w:w="682" w:type="pct"/>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2D4F41">
              <w:rPr>
                <w:rFonts w:ascii="Calibri" w:hAnsi="Calibri"/>
                <w:szCs w:val="20"/>
              </w:rPr>
              <w:t>-500.0</w:t>
            </w:r>
          </w:p>
        </w:tc>
        <w:tc>
          <w:tcPr>
            <w:tcW w:w="682" w:type="pct"/>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2D4F41">
              <w:rPr>
                <w:rFonts w:ascii="Calibri" w:hAnsi="Calibri"/>
                <w:szCs w:val="20"/>
              </w:rPr>
              <w:t>-510.0</w:t>
            </w:r>
          </w:p>
        </w:tc>
        <w:tc>
          <w:tcPr>
            <w:tcW w:w="682" w:type="pct"/>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2D4F41">
              <w:rPr>
                <w:rFonts w:ascii="Calibri" w:hAnsi="Calibri"/>
                <w:szCs w:val="20"/>
              </w:rPr>
              <w:t>-560.0</w:t>
            </w:r>
          </w:p>
        </w:tc>
        <w:tc>
          <w:tcPr>
            <w:tcW w:w="681" w:type="pct"/>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2D4F41">
              <w:rPr>
                <w:rFonts w:ascii="Calibri" w:hAnsi="Calibri"/>
                <w:b/>
                <w:szCs w:val="20"/>
              </w:rPr>
              <w:t>-1,960.0</w:t>
            </w:r>
          </w:p>
        </w:tc>
      </w:tr>
    </w:tbl>
    <w:p w:rsidR="002D4F41" w:rsidRDefault="002D4F41" w:rsidP="000B5C96">
      <w:pPr>
        <w:pStyle w:val="Footnotes"/>
        <w:numPr>
          <w:ilvl w:val="0"/>
          <w:numId w:val="48"/>
        </w:numPr>
        <w:ind w:left="284" w:hanging="284"/>
      </w:pPr>
      <w:r w:rsidRPr="002D4F41">
        <w:t>A positive number indicates an increase in the relevant budget balance, a negative number a decrease.</w:t>
      </w:r>
    </w:p>
    <w:p w:rsidR="002D4F41" w:rsidRPr="002D4F41" w:rsidRDefault="002D4F41" w:rsidP="000B5C96">
      <w:pPr>
        <w:pStyle w:val="Footnotes"/>
        <w:numPr>
          <w:ilvl w:val="0"/>
          <w:numId w:val="48"/>
        </w:numPr>
        <w:ind w:left="284" w:hanging="284"/>
      </w:pPr>
      <w:r w:rsidRPr="002D4F41">
        <w:t>Figures may not sum to totals due to rounding.</w:t>
      </w:r>
    </w:p>
    <w:p w:rsidR="002D4F41" w:rsidRPr="002D4F41" w:rsidRDefault="002D4F41" w:rsidP="00905B06">
      <w:pPr>
        <w:pStyle w:val="CostingsH7"/>
        <w:rPr>
          <w:rFonts w:eastAsia="Calibri"/>
        </w:rPr>
      </w:pPr>
      <w:r w:rsidRPr="002D4F41">
        <w:rPr>
          <w:rFonts w:eastAsia="Calibri"/>
        </w:rPr>
        <w:t>Key assumptions</w:t>
      </w:r>
    </w:p>
    <w:p w:rsidR="002D4F41" w:rsidRPr="002D4F41" w:rsidRDefault="002D4F41" w:rsidP="00E672F0">
      <w:pPr>
        <w:pStyle w:val="ListBullet"/>
        <w:rPr>
          <w:lang w:eastAsia="en-AU"/>
        </w:rPr>
      </w:pPr>
      <w:r w:rsidRPr="002D4F41">
        <w:rPr>
          <w:lang w:eastAsia="en-AU"/>
        </w:rPr>
        <w:t>The number of ATO employees as of 12 September 2013 is assumed to be equal to the number of ATO employees reported by the Australian Public Service Commission (APSC) as of 30 June 2013.</w:t>
      </w:r>
    </w:p>
    <w:p w:rsidR="002D4F41" w:rsidRPr="002D4F41" w:rsidRDefault="002D4F41" w:rsidP="00905B06">
      <w:pPr>
        <w:pStyle w:val="CostingsH7"/>
        <w:rPr>
          <w:rFonts w:eastAsia="Calibri"/>
        </w:rPr>
      </w:pPr>
      <w:r w:rsidRPr="002D4F41">
        <w:rPr>
          <w:rFonts w:eastAsia="Calibri"/>
        </w:rPr>
        <w:t>Methodology</w:t>
      </w:r>
    </w:p>
    <w:p w:rsidR="002D4F41" w:rsidRPr="002D4F41" w:rsidRDefault="002D4F41" w:rsidP="00E672F0">
      <w:pPr>
        <w:pStyle w:val="BodyText"/>
        <w:rPr>
          <w:bCs/>
          <w:iCs/>
        </w:rPr>
      </w:pPr>
      <w:r w:rsidRPr="002D4F41">
        <w:t>To estimate the cost of the proposal, the estimated ATO staffing level under the proposal and the baseline were compared, and the difference in staff numbers was multiplied by the average ATO staffing cost from the 2016-17 Budget.</w:t>
      </w:r>
    </w:p>
    <w:p w:rsidR="002D4F41" w:rsidRPr="002D4F41" w:rsidRDefault="002D4F41" w:rsidP="00E672F0">
      <w:pPr>
        <w:pStyle w:val="BodyText"/>
      </w:pPr>
      <w:r w:rsidRPr="002D4F41">
        <w:rPr>
          <w:bCs/>
          <w:iCs/>
        </w:rPr>
        <w:t xml:space="preserve">The estimated cost of the global diplomacy portion of the proposal </w:t>
      </w:r>
      <w:r w:rsidRPr="002D4F41">
        <w:t xml:space="preserve">reflects the capped funding amounts specified in the request.  </w:t>
      </w:r>
    </w:p>
    <w:p w:rsidR="002D4F41" w:rsidRPr="002D4F41" w:rsidRDefault="002D4F41" w:rsidP="00E672F0">
      <w:pPr>
        <w:pStyle w:val="BodyText"/>
      </w:pPr>
      <w:r w:rsidRPr="002D4F41">
        <w:t>Estimates have been rounded to the nearest $10 million.</w:t>
      </w:r>
    </w:p>
    <w:p w:rsidR="002D4F41" w:rsidRPr="002D4F41" w:rsidRDefault="002D4F41" w:rsidP="00761D0F">
      <w:pPr>
        <w:pStyle w:val="CostingsH7"/>
        <w:rPr>
          <w:rFonts w:eastAsia="Calibri"/>
        </w:rPr>
      </w:pPr>
      <w:r w:rsidRPr="002D4F41">
        <w:rPr>
          <w:rFonts w:eastAsia="Calibri"/>
        </w:rPr>
        <w:lastRenderedPageBreak/>
        <w:t>Data sources</w:t>
      </w:r>
    </w:p>
    <w:p w:rsidR="002D4F41" w:rsidRPr="002D4F41" w:rsidRDefault="002D4F41" w:rsidP="00761D0F">
      <w:pPr>
        <w:pStyle w:val="ListBullet"/>
        <w:keepNext/>
        <w:rPr>
          <w:lang w:eastAsia="en-AU"/>
        </w:rPr>
      </w:pPr>
      <w:r w:rsidRPr="002D4F41">
        <w:rPr>
          <w:lang w:eastAsia="en-AU"/>
        </w:rPr>
        <w:t>Treasury Portfolio Budget Statements 2016-17 (ATO section)</w:t>
      </w:r>
    </w:p>
    <w:p w:rsidR="002D4F41" w:rsidRPr="002D4F41" w:rsidRDefault="002D4F41" w:rsidP="00E672F0">
      <w:pPr>
        <w:pStyle w:val="ListBullet"/>
        <w:rPr>
          <w:bCs/>
          <w:iCs/>
          <w:lang w:eastAsia="en-AU"/>
        </w:rPr>
      </w:pPr>
      <w:r w:rsidRPr="002D4F41">
        <w:rPr>
          <w:lang w:eastAsia="en-AU"/>
        </w:rPr>
        <w:t>APSC Statistical Bulletin 30 June 2013</w:t>
      </w:r>
    </w:p>
    <w:p w:rsidR="002D4F41" w:rsidRPr="002D4F41" w:rsidRDefault="002D4F41" w:rsidP="00E672F0">
      <w:pPr>
        <w:pStyle w:val="ListBullet"/>
        <w:rPr>
          <w:rFonts w:ascii="Calibri" w:eastAsia="Times New Roman" w:hAnsi="Calibri" w:cs="Times New Roman"/>
          <w:highlight w:val="yellow"/>
          <w:lang w:eastAsia="en-AU"/>
        </w:rPr>
        <w:sectPr w:rsidR="002D4F41" w:rsidRPr="002D4F41" w:rsidSect="00E8358C">
          <w:pgSz w:w="11906" w:h="16838"/>
          <w:pgMar w:top="1361" w:right="1797" w:bottom="1474" w:left="1797" w:header="283" w:footer="454" w:gutter="0"/>
          <w:cols w:space="708"/>
          <w:docGrid w:linePitch="360"/>
        </w:sectPr>
      </w:pPr>
    </w:p>
    <w:p w:rsidR="002D4F41" w:rsidRPr="002D4F41" w:rsidRDefault="002D4F41" w:rsidP="007A4BF9">
      <w:pPr>
        <w:pStyle w:val="Heading6"/>
        <w:rPr>
          <w:rFonts w:eastAsia="Calibri"/>
        </w:rPr>
      </w:pPr>
      <w:r w:rsidRPr="002D4F41">
        <w:rPr>
          <w:rFonts w:eastAsia="Calibri"/>
        </w:rPr>
        <w:lastRenderedPageBreak/>
        <w:t>Attachment A: Ending Tax Avoidance: Restoring Staff to the Tax Office—financial implications</w:t>
      </w:r>
    </w:p>
    <w:p w:rsidR="002D4F41" w:rsidRPr="002D4F41" w:rsidRDefault="002D4F41" w:rsidP="00905B06">
      <w:pPr>
        <w:pStyle w:val="Caption"/>
        <w:rPr>
          <w:vertAlign w:val="superscript"/>
        </w:rPr>
      </w:pPr>
      <w:r w:rsidRPr="002D4F41">
        <w:t>Table A: Ending Tax Avoidance: Restoring Staff to the Tax Office—Financial implications (outturn prices)</w:t>
      </w:r>
      <w:r w:rsidRPr="002D4F41">
        <w:rPr>
          <w:vertAlign w:val="superscript"/>
        </w:rPr>
        <w:t>(a)(b)</w:t>
      </w:r>
    </w:p>
    <w:tbl>
      <w:tblPr>
        <w:tblStyle w:val="TableGrid1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2D4F41" w:rsidRPr="002D4F41" w:rsidTr="00567E62">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2D4F41" w:rsidRPr="002D4F41" w:rsidRDefault="002D4F41" w:rsidP="002D4F41">
            <w:pPr>
              <w:keepNext/>
              <w:keepLines/>
              <w:spacing w:line="240" w:lineRule="auto"/>
              <w:ind w:left="57" w:right="57"/>
              <w:rPr>
                <w:b/>
                <w:szCs w:val="20"/>
              </w:rPr>
            </w:pPr>
            <w:r w:rsidRPr="002D4F41">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2D4F41" w:rsidRPr="002D4F41" w:rsidRDefault="002D4F41" w:rsidP="002D4F4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D4F41">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2D4F41" w:rsidRPr="002D4F41" w:rsidRDefault="002D4F41" w:rsidP="002D4F4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D4F41">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2D4F41" w:rsidRPr="002D4F41" w:rsidRDefault="002D4F41" w:rsidP="002D4F4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D4F41">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2D4F41" w:rsidRPr="002D4F41" w:rsidRDefault="002D4F41" w:rsidP="002D4F4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D4F41">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2D4F41" w:rsidRPr="002D4F41" w:rsidRDefault="002D4F41" w:rsidP="002D4F4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2D4F41">
              <w:rPr>
                <w:b/>
              </w:rPr>
              <w:t>Total</w:t>
            </w:r>
            <w:r w:rsidRPr="002D4F41">
              <w:rPr>
                <w:b/>
                <w:szCs w:val="20"/>
              </w:rPr>
              <w:t xml:space="preserve"> to 2019–20</w:t>
            </w:r>
          </w:p>
        </w:tc>
      </w:tr>
      <w:tr w:rsidR="002D4F41" w:rsidRPr="002D4F41"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2D4F41" w:rsidRPr="002D4F41" w:rsidRDefault="002D4F41" w:rsidP="002D4F41">
            <w:pPr>
              <w:keepNext/>
              <w:keepLines/>
              <w:ind w:left="57" w:right="57"/>
              <w:rPr>
                <w:b/>
              </w:rPr>
            </w:pPr>
            <w:r w:rsidRPr="002D4F41">
              <w:rPr>
                <w:b/>
              </w:rPr>
              <w:t>Impact on fiscal and underlying cash balances</w:t>
            </w:r>
          </w:p>
        </w:tc>
      </w:tr>
      <w:tr w:rsidR="002D4F41" w:rsidRPr="002D4F41"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ind w:left="57" w:right="57"/>
              <w:rPr>
                <w:b/>
                <w:noProof/>
                <w:szCs w:val="20"/>
              </w:rPr>
            </w:pPr>
            <w:r w:rsidRPr="002D4F41">
              <w:rPr>
                <w:b/>
                <w:noProof/>
                <w:szCs w:val="20"/>
              </w:rPr>
              <w:t>Restoring ATO staffing levels</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p>
        </w:tc>
      </w:tr>
      <w:tr w:rsidR="002D4F41" w:rsidRPr="002D4F41"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ind w:left="57" w:right="57"/>
              <w:rPr>
                <w:i/>
                <w:noProof/>
                <w:szCs w:val="20"/>
              </w:rPr>
            </w:pPr>
            <w:r w:rsidRPr="002D4F41">
              <w:rPr>
                <w:i/>
                <w:noProof/>
                <w:szCs w:val="20"/>
              </w:rPr>
              <w:t xml:space="preserve">Departmental expense </w:t>
            </w:r>
            <w:r w:rsidRPr="002D4F41">
              <w:rPr>
                <w:i/>
                <w:noProof/>
                <w:szCs w:val="20"/>
              </w:rPr>
              <w:noBreakHyphen/>
              <w:t xml:space="preserve"> ATO</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noProof/>
                <w:szCs w:val="20"/>
              </w:rPr>
            </w:pPr>
            <w:r w:rsidRPr="002D4F41">
              <w:rPr>
                <w:rFonts w:ascii="Calibri" w:hAnsi="Calibri"/>
                <w:i/>
                <w:noProof/>
                <w:szCs w:val="20"/>
              </w:rPr>
              <w:t>-290.0</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noProof/>
                <w:szCs w:val="20"/>
              </w:rPr>
            </w:pPr>
            <w:r w:rsidRPr="002D4F41">
              <w:rPr>
                <w:rFonts w:ascii="Calibri" w:hAnsi="Calibri"/>
                <w:i/>
                <w:noProof/>
                <w:szCs w:val="20"/>
              </w:rPr>
              <w:t>-400.0</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noProof/>
                <w:szCs w:val="20"/>
              </w:rPr>
            </w:pPr>
            <w:r w:rsidRPr="002D4F41">
              <w:rPr>
                <w:rFonts w:ascii="Calibri" w:hAnsi="Calibri"/>
                <w:i/>
                <w:noProof/>
                <w:szCs w:val="20"/>
              </w:rPr>
              <w:t>-410.0</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noProof/>
                <w:szCs w:val="20"/>
              </w:rPr>
            </w:pPr>
            <w:r w:rsidRPr="002D4F41">
              <w:rPr>
                <w:rFonts w:ascii="Calibri" w:hAnsi="Calibri"/>
                <w:i/>
                <w:noProof/>
                <w:szCs w:val="20"/>
              </w:rPr>
              <w:t>-460.0</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noProof/>
                <w:szCs w:val="20"/>
              </w:rPr>
            </w:pPr>
            <w:r w:rsidRPr="002D4F41">
              <w:rPr>
                <w:rFonts w:ascii="Calibri" w:hAnsi="Calibri"/>
                <w:b/>
                <w:i/>
                <w:noProof/>
                <w:szCs w:val="20"/>
              </w:rPr>
              <w:t>-1,560.0</w:t>
            </w:r>
          </w:p>
        </w:tc>
      </w:tr>
      <w:tr w:rsidR="002D4F41" w:rsidRPr="002D4F41"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ind w:left="57" w:right="57"/>
              <w:rPr>
                <w:b/>
                <w:noProof/>
                <w:szCs w:val="20"/>
              </w:rPr>
            </w:pPr>
            <w:r w:rsidRPr="002D4F41">
              <w:rPr>
                <w:b/>
                <w:noProof/>
                <w:szCs w:val="20"/>
              </w:rPr>
              <w:t>Global tax diplomacy</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p>
        </w:tc>
      </w:tr>
      <w:tr w:rsidR="002D4F41" w:rsidRPr="002D4F41"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ind w:left="57" w:right="57"/>
              <w:rPr>
                <w:i/>
                <w:noProof/>
                <w:szCs w:val="20"/>
              </w:rPr>
            </w:pPr>
            <w:r w:rsidRPr="002D4F41">
              <w:rPr>
                <w:i/>
                <w:noProof/>
                <w:szCs w:val="20"/>
              </w:rPr>
              <w:t>Departmental expense</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noProof/>
                <w:szCs w:val="20"/>
              </w:rPr>
            </w:pPr>
            <w:r w:rsidRPr="002D4F41">
              <w:rPr>
                <w:rFonts w:ascii="Calibri" w:hAnsi="Calibri"/>
                <w:i/>
                <w:noProof/>
                <w:szCs w:val="20"/>
              </w:rPr>
              <w:t>-100.0</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noProof/>
                <w:szCs w:val="20"/>
              </w:rPr>
            </w:pPr>
            <w:r w:rsidRPr="002D4F41">
              <w:rPr>
                <w:rFonts w:ascii="Calibri" w:hAnsi="Calibri"/>
                <w:i/>
                <w:noProof/>
                <w:szCs w:val="20"/>
              </w:rPr>
              <w:t>-100.0</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noProof/>
                <w:szCs w:val="20"/>
              </w:rPr>
            </w:pPr>
            <w:r w:rsidRPr="002D4F41">
              <w:rPr>
                <w:rFonts w:ascii="Calibri" w:hAnsi="Calibri"/>
                <w:i/>
                <w:noProof/>
                <w:szCs w:val="20"/>
              </w:rPr>
              <w:t>-100.0</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noProof/>
                <w:szCs w:val="20"/>
              </w:rPr>
            </w:pPr>
            <w:r w:rsidRPr="002D4F41">
              <w:rPr>
                <w:rFonts w:ascii="Calibri" w:hAnsi="Calibri"/>
                <w:i/>
                <w:noProof/>
                <w:szCs w:val="20"/>
              </w:rPr>
              <w:t>-100.0</w:t>
            </w:r>
          </w:p>
        </w:tc>
        <w:tc>
          <w:tcPr>
            <w:tcW w:w="682" w:type="pct"/>
            <w:tcBorders>
              <w:top w:val="single" w:sz="4" w:space="0" w:color="788184"/>
              <w:left w:val="single" w:sz="4" w:space="0" w:color="788184"/>
              <w:bottom w:val="single" w:sz="4" w:space="0" w:color="788184"/>
              <w:right w:val="single" w:sz="4" w:space="0" w:color="788184"/>
            </w:tcBorders>
          </w:tcPr>
          <w:p w:rsidR="002D4F41" w:rsidRPr="002D4F41" w:rsidRDefault="002D4F41" w:rsidP="002D4F41">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noProof/>
                <w:szCs w:val="20"/>
              </w:rPr>
            </w:pPr>
            <w:r w:rsidRPr="002D4F41">
              <w:rPr>
                <w:rFonts w:ascii="Calibri" w:hAnsi="Calibri"/>
                <w:b/>
                <w:i/>
                <w:noProof/>
                <w:szCs w:val="20"/>
              </w:rPr>
              <w:t>-400.0</w:t>
            </w:r>
          </w:p>
        </w:tc>
      </w:tr>
      <w:tr w:rsidR="002D4F41" w:rsidRPr="002D4F41"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2D4F41" w:rsidRPr="002D4F41" w:rsidRDefault="002D4F41" w:rsidP="002D4F41">
            <w:pPr>
              <w:keepNext/>
              <w:keepLines/>
              <w:ind w:left="57" w:right="57"/>
              <w:rPr>
                <w:b/>
                <w:noProof/>
                <w:szCs w:val="20"/>
              </w:rPr>
            </w:pPr>
            <w:r w:rsidRPr="002D4F41">
              <w:rPr>
                <w:b/>
                <w:noProof/>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r w:rsidRPr="002D4F41">
              <w:rPr>
                <w:rFonts w:ascii="Calibri" w:hAnsi="Calibri"/>
                <w:b/>
                <w:noProof/>
                <w:szCs w:val="20"/>
              </w:rPr>
              <w:t>-390.0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r w:rsidRPr="002D4F41">
              <w:rPr>
                <w:rFonts w:ascii="Calibri" w:hAnsi="Calibri"/>
                <w:b/>
                <w:noProof/>
                <w:szCs w:val="20"/>
              </w:rPr>
              <w:t>-500.0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r w:rsidRPr="002D4F41">
              <w:rPr>
                <w:rFonts w:ascii="Calibri" w:hAnsi="Calibri"/>
                <w:b/>
                <w:noProof/>
                <w:szCs w:val="20"/>
              </w:rPr>
              <w:t>-510.0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r w:rsidRPr="002D4F41">
              <w:rPr>
                <w:rFonts w:ascii="Calibri" w:hAnsi="Calibri"/>
                <w:b/>
                <w:noProof/>
                <w:szCs w:val="20"/>
              </w:rPr>
              <w:t>-560.0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D4F41" w:rsidRPr="002D4F41" w:rsidRDefault="002D4F41" w:rsidP="002D4F41">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r w:rsidRPr="002D4F41">
              <w:rPr>
                <w:rFonts w:ascii="Calibri" w:hAnsi="Calibri"/>
                <w:b/>
                <w:noProof/>
                <w:szCs w:val="20"/>
              </w:rPr>
              <w:t>-1,960.0</w:t>
            </w:r>
          </w:p>
        </w:tc>
      </w:tr>
    </w:tbl>
    <w:p w:rsidR="002D4F41" w:rsidRPr="002D4F41" w:rsidRDefault="002D4F41" w:rsidP="000B5C96">
      <w:pPr>
        <w:pStyle w:val="Footnotes"/>
        <w:numPr>
          <w:ilvl w:val="0"/>
          <w:numId w:val="49"/>
        </w:numPr>
        <w:ind w:left="284" w:hanging="284"/>
      </w:pPr>
      <w:r w:rsidRPr="002D4F41">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2D4F41" w:rsidRPr="002D4F41" w:rsidRDefault="002D4F41" w:rsidP="000B5C96">
      <w:pPr>
        <w:pStyle w:val="Footnotes"/>
        <w:numPr>
          <w:ilvl w:val="0"/>
          <w:numId w:val="49"/>
        </w:numPr>
        <w:ind w:left="284" w:hanging="284"/>
      </w:pPr>
      <w:r w:rsidRPr="002D4F41">
        <w:t>Figures may not sum to totals due to rounding.</w:t>
      </w:r>
    </w:p>
    <w:p w:rsidR="00E8358C" w:rsidRDefault="00E8358C" w:rsidP="000B5C96">
      <w:pPr>
        <w:pStyle w:val="Footnotes"/>
        <w:numPr>
          <w:ilvl w:val="0"/>
          <w:numId w:val="49"/>
        </w:numPr>
        <w:ind w:left="284" w:hanging="284"/>
        <w:sectPr w:rsidR="00E8358C" w:rsidSect="00E8358C">
          <w:headerReference w:type="even" r:id="rId111"/>
          <w:headerReference w:type="default" r:id="rId112"/>
          <w:footerReference w:type="even" r:id="rId113"/>
          <w:footerReference w:type="default" r:id="rId114"/>
          <w:headerReference w:type="first" r:id="rId115"/>
          <w:footerReference w:type="first" r:id="rId116"/>
          <w:pgSz w:w="11906" w:h="16838"/>
          <w:pgMar w:top="1361" w:right="1797" w:bottom="1474" w:left="1797" w:header="283" w:footer="454" w:gutter="0"/>
          <w:cols w:space="708"/>
          <w:docGrid w:linePitch="360"/>
        </w:sectPr>
      </w:pPr>
    </w:p>
    <w:p w:rsidR="00987F5F" w:rsidRDefault="00987F5F" w:rsidP="007A4BF9">
      <w:pPr>
        <w:pStyle w:val="Heading5"/>
      </w:pPr>
      <w:bookmarkStart w:id="37" w:name="_Toc456766794"/>
      <w:bookmarkStart w:id="38" w:name="_Toc457819888"/>
      <w:bookmarkStart w:id="39" w:name="_Toc458015778"/>
      <w:bookmarkStart w:id="40" w:name="_Toc458090617"/>
      <w:r>
        <w:lastRenderedPageBreak/>
        <w:t>GRN011: Renters Rights Initiative</w:t>
      </w:r>
      <w:bookmarkEnd w:id="37"/>
      <w:bookmarkEnd w:id="38"/>
      <w:bookmarkEnd w:id="39"/>
      <w:bookmarkEnd w:id="40"/>
    </w:p>
    <w:p w:rsidR="002D4F41" w:rsidRDefault="00987F5F" w:rsidP="007A4BF9">
      <w:pPr>
        <w:pStyle w:val="BodyText"/>
      </w:pPr>
      <w:r>
        <w:rPr>
          <w:noProof/>
          <w:lang w:eastAsia="en-AU"/>
        </w:rPr>
        <w:drawing>
          <wp:inline distT="0" distB="0" distL="0" distR="0" wp14:anchorId="05BAC35D" wp14:editId="68E58A98">
            <wp:extent cx="2696845" cy="572135"/>
            <wp:effectExtent l="0" t="0" r="8255" b="0"/>
            <wp:docPr id="15" name="Picture 1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987F5F" w:rsidRPr="00987F5F" w:rsidRDefault="00987F5F" w:rsidP="007A4BF9">
      <w:pPr>
        <w:pStyle w:val="Heading6"/>
        <w:rPr>
          <w:rFonts w:eastAsia="Calibri"/>
        </w:rPr>
      </w:pPr>
      <w:r w:rsidRPr="00987F5F">
        <w:rPr>
          <w:rFonts w:eastAsia="Calibri"/>
        </w:rPr>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987F5F" w:rsidRPr="00AF49FE" w:rsidTr="00567E62">
        <w:trPr>
          <w:cnfStyle w:val="100000000000" w:firstRow="1" w:lastRow="0" w:firstColumn="0" w:lastColumn="0" w:oddVBand="0" w:evenVBand="0" w:oddHBand="0" w:evenHBand="0" w:firstRowFirstColumn="0" w:firstRowLastColumn="0" w:lastRowFirstColumn="0" w:lastRowLastColumn="0"/>
        </w:trPr>
        <w:tc>
          <w:tcPr>
            <w:tcW w:w="3005" w:type="dxa"/>
          </w:tcPr>
          <w:p w:rsidR="00987F5F" w:rsidRPr="00AF49FE" w:rsidRDefault="00987F5F" w:rsidP="00AF49FE">
            <w:pPr>
              <w:pStyle w:val="PullOutBoxHeading"/>
              <w:rPr>
                <w:b/>
                <w:sz w:val="22"/>
              </w:rPr>
            </w:pPr>
            <w:r w:rsidRPr="00AF49FE">
              <w:rPr>
                <w:b/>
                <w:sz w:val="22"/>
              </w:rPr>
              <w:t>Name of proposal:</w:t>
            </w:r>
          </w:p>
        </w:tc>
        <w:tc>
          <w:tcPr>
            <w:tcW w:w="5335" w:type="dxa"/>
          </w:tcPr>
          <w:p w:rsidR="00987F5F" w:rsidRPr="00AF49FE" w:rsidRDefault="00987F5F" w:rsidP="00AF49FE">
            <w:pPr>
              <w:pStyle w:val="PullOutBoxHeading"/>
              <w:rPr>
                <w:b/>
                <w:sz w:val="22"/>
              </w:rPr>
            </w:pPr>
            <w:r w:rsidRPr="00AF49FE">
              <w:rPr>
                <w:b/>
                <w:sz w:val="22"/>
              </w:rPr>
              <w:t xml:space="preserve">Renter’s Rights </w:t>
            </w:r>
          </w:p>
        </w:tc>
      </w:tr>
      <w:tr w:rsidR="00987F5F" w:rsidRPr="00987F5F" w:rsidTr="00567E62">
        <w:tc>
          <w:tcPr>
            <w:tcW w:w="3005" w:type="dxa"/>
          </w:tcPr>
          <w:p w:rsidR="00987F5F" w:rsidRPr="00987F5F" w:rsidRDefault="00987F5F" w:rsidP="00987F5F">
            <w:pPr>
              <w:spacing w:after="120"/>
              <w:rPr>
                <w:rFonts w:ascii="Calibri" w:eastAsia="Calibri" w:hAnsi="Calibri" w:cs="Times New Roman"/>
              </w:rPr>
            </w:pPr>
            <w:r w:rsidRPr="00987F5F">
              <w:rPr>
                <w:rFonts w:ascii="Calibri" w:eastAsia="Calibri" w:hAnsi="Calibri" w:cs="Times New Roman"/>
              </w:rPr>
              <w:t>Summary of proposal:</w:t>
            </w:r>
          </w:p>
        </w:tc>
        <w:tc>
          <w:tcPr>
            <w:tcW w:w="5335" w:type="dxa"/>
          </w:tcPr>
          <w:p w:rsidR="00987F5F" w:rsidRPr="00987F5F" w:rsidRDefault="00987F5F" w:rsidP="008D51A3">
            <w:pPr>
              <w:pStyle w:val="PullOutBoxBodyText"/>
            </w:pPr>
            <w:r w:rsidRPr="00987F5F">
              <w:t>The proposal would introduce new national minimum standards for private residential tenancies.  A new national body would be established to develop and oversee the implementation of these standards.</w:t>
            </w:r>
          </w:p>
          <w:p w:rsidR="00987F5F" w:rsidRPr="00987F5F" w:rsidRDefault="00987F5F" w:rsidP="008D51A3">
            <w:pPr>
              <w:pStyle w:val="PullOutBoxBodyText"/>
            </w:pPr>
            <w:r w:rsidRPr="00987F5F">
              <w:t>In addition, the proposal would provide capped funding amounts of:</w:t>
            </w:r>
          </w:p>
          <w:p w:rsidR="00987F5F" w:rsidRPr="00987F5F" w:rsidRDefault="00987F5F" w:rsidP="008D51A3">
            <w:pPr>
              <w:pStyle w:val="PullOutBoxBullet"/>
              <w:rPr>
                <w:lang w:eastAsia="en-AU"/>
              </w:rPr>
            </w:pPr>
            <w:r w:rsidRPr="00987F5F">
              <w:rPr>
                <w:lang w:eastAsia="en-AU"/>
              </w:rPr>
              <w:t>$100 million per year to assist landlords to make upgrades to their properties in order to meet the new standards ($500 per property for up to 20</w:t>
            </w:r>
            <w:r w:rsidR="00895C1D">
              <w:rPr>
                <w:lang w:eastAsia="en-AU"/>
              </w:rPr>
              <w:t>0,000 </w:t>
            </w:r>
            <w:r w:rsidRPr="00987F5F">
              <w:rPr>
                <w:lang w:eastAsia="en-AU"/>
              </w:rPr>
              <w:t>properties per year)</w:t>
            </w:r>
          </w:p>
          <w:p w:rsidR="00987F5F" w:rsidRPr="00987F5F" w:rsidRDefault="00987F5F" w:rsidP="008D51A3">
            <w:pPr>
              <w:pStyle w:val="PullOutBoxBullet"/>
              <w:rPr>
                <w:lang w:eastAsia="en-AU"/>
              </w:rPr>
            </w:pPr>
            <w:r w:rsidRPr="00987F5F">
              <w:rPr>
                <w:lang w:eastAsia="en-AU"/>
              </w:rPr>
              <w:t>$10 million per year to review and increase funding to tenancy advice services in states and territories.</w:t>
            </w:r>
          </w:p>
          <w:p w:rsidR="00987F5F" w:rsidRPr="00987F5F" w:rsidRDefault="00987F5F" w:rsidP="008D51A3">
            <w:pPr>
              <w:pStyle w:val="PullOutBoxBodyText"/>
            </w:pPr>
            <w:r w:rsidRPr="00987F5F">
              <w:t>The proposal would have effect from 1 September 2016.</w:t>
            </w:r>
          </w:p>
        </w:tc>
      </w:tr>
      <w:tr w:rsidR="00987F5F" w:rsidRPr="00987F5F" w:rsidTr="00567E62">
        <w:tc>
          <w:tcPr>
            <w:tcW w:w="3005" w:type="dxa"/>
          </w:tcPr>
          <w:p w:rsidR="00987F5F" w:rsidRPr="00987F5F" w:rsidRDefault="00987F5F" w:rsidP="00E1733B">
            <w:pPr>
              <w:pStyle w:val="PullOutBoxBodyText"/>
            </w:pPr>
            <w:r w:rsidRPr="00987F5F">
              <w:t>Person/party requesting costing:</w:t>
            </w:r>
          </w:p>
        </w:tc>
        <w:tc>
          <w:tcPr>
            <w:tcW w:w="5335" w:type="dxa"/>
          </w:tcPr>
          <w:p w:rsidR="00987F5F" w:rsidRPr="00987F5F" w:rsidRDefault="00987F5F" w:rsidP="00E1733B">
            <w:pPr>
              <w:pStyle w:val="PullOutBoxBodyText"/>
            </w:pPr>
            <w:r w:rsidRPr="00987F5F">
              <w:t>Senator Richard Di Natale, Australian Greens</w:t>
            </w:r>
          </w:p>
        </w:tc>
      </w:tr>
      <w:tr w:rsidR="00987F5F" w:rsidRPr="00987F5F" w:rsidTr="00567E62">
        <w:tc>
          <w:tcPr>
            <w:tcW w:w="3005" w:type="dxa"/>
          </w:tcPr>
          <w:p w:rsidR="00987F5F" w:rsidRPr="00987F5F" w:rsidRDefault="00987F5F" w:rsidP="00E1733B">
            <w:pPr>
              <w:pStyle w:val="PullOutBoxBodyText"/>
            </w:pPr>
            <w:r w:rsidRPr="00987F5F">
              <w:t>Date of public release of policy:</w:t>
            </w:r>
          </w:p>
        </w:tc>
        <w:tc>
          <w:tcPr>
            <w:tcW w:w="5335" w:type="dxa"/>
          </w:tcPr>
          <w:p w:rsidR="00987F5F" w:rsidRPr="00987F5F" w:rsidRDefault="00987F5F" w:rsidP="00E1733B">
            <w:pPr>
              <w:pStyle w:val="PullOutBoxBodyText"/>
            </w:pPr>
            <w:r w:rsidRPr="00987F5F">
              <w:t>20 June 2016</w:t>
            </w:r>
          </w:p>
        </w:tc>
      </w:tr>
      <w:tr w:rsidR="00987F5F" w:rsidRPr="00987F5F" w:rsidTr="00567E62">
        <w:tc>
          <w:tcPr>
            <w:tcW w:w="3005" w:type="dxa"/>
          </w:tcPr>
          <w:p w:rsidR="00987F5F" w:rsidRPr="00987F5F" w:rsidRDefault="00987F5F" w:rsidP="00E1733B">
            <w:pPr>
              <w:pStyle w:val="PullOutBoxBodyText"/>
            </w:pPr>
            <w:r w:rsidRPr="00987F5F">
              <w:t>Date costing request received:</w:t>
            </w:r>
          </w:p>
        </w:tc>
        <w:tc>
          <w:tcPr>
            <w:tcW w:w="5335" w:type="dxa"/>
          </w:tcPr>
          <w:p w:rsidR="00987F5F" w:rsidRPr="00987F5F" w:rsidRDefault="00987F5F" w:rsidP="00E1733B">
            <w:pPr>
              <w:pStyle w:val="PullOutBoxBodyText"/>
            </w:pPr>
            <w:r w:rsidRPr="00987F5F">
              <w:t>24 June 2016</w:t>
            </w:r>
          </w:p>
        </w:tc>
      </w:tr>
      <w:tr w:rsidR="00987F5F" w:rsidRPr="00987F5F" w:rsidTr="00567E62">
        <w:tc>
          <w:tcPr>
            <w:tcW w:w="3005" w:type="dxa"/>
          </w:tcPr>
          <w:p w:rsidR="00987F5F" w:rsidRPr="00987F5F" w:rsidRDefault="00987F5F" w:rsidP="00E1733B">
            <w:pPr>
              <w:pStyle w:val="PullOutBoxBodyText"/>
            </w:pPr>
            <w:r w:rsidRPr="00987F5F">
              <w:t>Date costing completed</w:t>
            </w:r>
          </w:p>
        </w:tc>
        <w:tc>
          <w:tcPr>
            <w:tcW w:w="5335" w:type="dxa"/>
          </w:tcPr>
          <w:p w:rsidR="00987F5F" w:rsidRPr="00987F5F" w:rsidRDefault="00987F5F" w:rsidP="00E1733B">
            <w:pPr>
              <w:pStyle w:val="PullOutBoxBodyText"/>
            </w:pPr>
            <w:r w:rsidRPr="00987F5F">
              <w:t>24 June 2016</w:t>
            </w:r>
          </w:p>
        </w:tc>
      </w:tr>
      <w:tr w:rsidR="00987F5F" w:rsidRPr="00987F5F" w:rsidTr="00567E62">
        <w:tc>
          <w:tcPr>
            <w:tcW w:w="3005" w:type="dxa"/>
          </w:tcPr>
          <w:p w:rsidR="00987F5F" w:rsidRPr="00987F5F" w:rsidRDefault="00987F5F" w:rsidP="00E1733B">
            <w:pPr>
              <w:pStyle w:val="PullOutBoxBodyText"/>
            </w:pPr>
            <w:r w:rsidRPr="00987F5F">
              <w:t>Expiry date for the costing:</w:t>
            </w:r>
          </w:p>
        </w:tc>
        <w:tc>
          <w:tcPr>
            <w:tcW w:w="5335" w:type="dxa"/>
          </w:tcPr>
          <w:p w:rsidR="00987F5F" w:rsidRPr="00987F5F" w:rsidRDefault="00987F5F" w:rsidP="00E1733B">
            <w:pPr>
              <w:pStyle w:val="PullOutBoxBodyText"/>
            </w:pPr>
            <w:r w:rsidRPr="00987F5F">
              <w:t>Release of the next economic and fiscal outlook report</w:t>
            </w:r>
          </w:p>
        </w:tc>
      </w:tr>
    </w:tbl>
    <w:p w:rsidR="00987F5F" w:rsidRPr="00987F5F" w:rsidRDefault="00987F5F" w:rsidP="00905B06">
      <w:pPr>
        <w:pStyle w:val="CostingsH7"/>
        <w:rPr>
          <w:rFonts w:eastAsia="Calibri"/>
        </w:rPr>
      </w:pPr>
      <w:r w:rsidRPr="00987F5F">
        <w:rPr>
          <w:rFonts w:eastAsia="Calibri"/>
        </w:rPr>
        <w:t>Costing overview</w:t>
      </w:r>
    </w:p>
    <w:p w:rsidR="00987F5F" w:rsidRPr="00987F5F" w:rsidRDefault="00987F5F" w:rsidP="00E672F0">
      <w:pPr>
        <w:pStyle w:val="BodyText"/>
      </w:pPr>
      <w:r w:rsidRPr="00987F5F">
        <w:t xml:space="preserve">This proposal would be expected to decrease both the fiscal and underlying cash balances by $474 million over the 2016-17 Budget forward estimates period.  The financial implications reflect an increase in administered expenses of $421 million and an increase in departmental expenses of $53 million.  A breakdown of administered and departmental financial implications is at </w:t>
      </w:r>
      <w:r w:rsidRPr="00987F5F">
        <w:rPr>
          <w:u w:val="single"/>
        </w:rPr>
        <w:t>Attachment A</w:t>
      </w:r>
      <w:r w:rsidRPr="00987F5F">
        <w:t>.</w:t>
      </w:r>
    </w:p>
    <w:p w:rsidR="00987F5F" w:rsidRPr="00987F5F" w:rsidRDefault="00987F5F" w:rsidP="00E672F0">
      <w:pPr>
        <w:pStyle w:val="BodyText"/>
      </w:pPr>
      <w:r w:rsidRPr="00987F5F">
        <w:lastRenderedPageBreak/>
        <w:t>The proposal would have ongoing annual financial implications beyond the 2016-17 Budget forward estimates period similar to those in 2019-20.</w:t>
      </w:r>
    </w:p>
    <w:p w:rsidR="00987F5F" w:rsidRPr="00987F5F" w:rsidRDefault="00987F5F" w:rsidP="00E672F0">
      <w:pPr>
        <w:pStyle w:val="BodyText"/>
      </w:pPr>
      <w:r w:rsidRPr="00987F5F">
        <w:t xml:space="preserve">This costing is considered to be of medium reliability.  The elements of the proposal involving specified capped funding are of high reliability.  The estimated financial implications for establishing a national body to set up and implement the new minimum standards are of medium reliability.  These estimates are subject to uncertainty because the scope of the new national body is not finalised and would be subject to negotiation with states and territories. </w:t>
      </w:r>
    </w:p>
    <w:p w:rsidR="00987F5F" w:rsidRPr="00987F5F" w:rsidRDefault="00987F5F" w:rsidP="00905B06">
      <w:pPr>
        <w:pStyle w:val="Caption"/>
      </w:pPr>
      <w:r w:rsidRPr="00987F5F">
        <w:t>Table 1: Financial implications (outturn prices)</w:t>
      </w:r>
      <w:r w:rsidRPr="00987F5F">
        <w:rPr>
          <w:vertAlign w:val="superscript"/>
        </w:rPr>
        <w:t>(a)(b)</w:t>
      </w:r>
    </w:p>
    <w:tbl>
      <w:tblPr>
        <w:tblStyle w:val="TableGrid15"/>
        <w:tblW w:w="4993" w:type="pct"/>
        <w:tblLook w:val="04A0" w:firstRow="1" w:lastRow="0" w:firstColumn="1" w:lastColumn="0" w:noHBand="0" w:noVBand="1"/>
      </w:tblPr>
      <w:tblGrid>
        <w:gridCol w:w="2645"/>
        <w:gridCol w:w="1134"/>
        <w:gridCol w:w="1133"/>
        <w:gridCol w:w="1133"/>
        <w:gridCol w:w="1133"/>
        <w:gridCol w:w="1132"/>
      </w:tblGrid>
      <w:tr w:rsidR="00987F5F" w:rsidRPr="00987F5F" w:rsidTr="00567E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987F5F" w:rsidRPr="00987F5F" w:rsidRDefault="00987F5F" w:rsidP="00987F5F">
            <w:pPr>
              <w:keepNext/>
              <w:keepLines/>
              <w:spacing w:line="240" w:lineRule="auto"/>
              <w:ind w:left="57" w:right="57"/>
              <w:rPr>
                <w:szCs w:val="20"/>
              </w:rPr>
            </w:pPr>
            <w:r w:rsidRPr="00987F5F">
              <w:rPr>
                <w:szCs w:val="20"/>
              </w:rPr>
              <w:t>Impact on ($m)</w:t>
            </w:r>
          </w:p>
        </w:tc>
        <w:tc>
          <w:tcPr>
            <w:tcW w:w="682" w:type="pct"/>
          </w:tcPr>
          <w:p w:rsidR="00987F5F" w:rsidRPr="00987F5F" w:rsidRDefault="00987F5F" w:rsidP="00987F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87F5F">
              <w:rPr>
                <w:szCs w:val="20"/>
              </w:rPr>
              <w:t>2016–17</w:t>
            </w:r>
          </w:p>
        </w:tc>
        <w:tc>
          <w:tcPr>
            <w:tcW w:w="682" w:type="pct"/>
          </w:tcPr>
          <w:p w:rsidR="00987F5F" w:rsidRPr="00987F5F" w:rsidRDefault="00987F5F" w:rsidP="00987F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87F5F">
              <w:rPr>
                <w:szCs w:val="20"/>
              </w:rPr>
              <w:t>2017–18</w:t>
            </w:r>
          </w:p>
        </w:tc>
        <w:tc>
          <w:tcPr>
            <w:tcW w:w="682" w:type="pct"/>
          </w:tcPr>
          <w:p w:rsidR="00987F5F" w:rsidRPr="00987F5F" w:rsidRDefault="00987F5F" w:rsidP="00987F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87F5F">
              <w:rPr>
                <w:szCs w:val="20"/>
              </w:rPr>
              <w:t>2018–19</w:t>
            </w:r>
          </w:p>
        </w:tc>
        <w:tc>
          <w:tcPr>
            <w:tcW w:w="682" w:type="pct"/>
          </w:tcPr>
          <w:p w:rsidR="00987F5F" w:rsidRPr="00987F5F" w:rsidRDefault="00987F5F" w:rsidP="00987F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87F5F">
              <w:rPr>
                <w:szCs w:val="20"/>
              </w:rPr>
              <w:t>2019–20</w:t>
            </w:r>
          </w:p>
        </w:tc>
        <w:tc>
          <w:tcPr>
            <w:tcW w:w="681" w:type="pct"/>
          </w:tcPr>
          <w:p w:rsidR="00987F5F" w:rsidRPr="00987F5F" w:rsidRDefault="00987F5F" w:rsidP="00987F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87F5F">
              <w:rPr>
                <w:b/>
                <w:szCs w:val="20"/>
              </w:rPr>
              <w:t>Total</w:t>
            </w:r>
          </w:p>
        </w:tc>
      </w:tr>
      <w:tr w:rsidR="00987F5F" w:rsidRPr="00987F5F" w:rsidTr="00567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987F5F" w:rsidRPr="00987F5F" w:rsidRDefault="00987F5F" w:rsidP="00987F5F">
            <w:pPr>
              <w:keepNext/>
              <w:keepLines/>
              <w:ind w:left="57" w:right="57"/>
              <w:rPr>
                <w:szCs w:val="20"/>
              </w:rPr>
            </w:pPr>
            <w:r w:rsidRPr="00987F5F">
              <w:rPr>
                <w:szCs w:val="20"/>
              </w:rPr>
              <w:t>Fiscal balance</w:t>
            </w:r>
          </w:p>
        </w:tc>
        <w:tc>
          <w:tcPr>
            <w:tcW w:w="682" w:type="pct"/>
          </w:tcPr>
          <w:p w:rsidR="00987F5F" w:rsidRPr="00987F5F" w:rsidRDefault="00987F5F" w:rsidP="00987F5F">
            <w:pPr>
              <w:keepNext/>
              <w:keepLines/>
              <w:spacing w:line="260" w:lineRule="atLeast"/>
              <w:ind w:left="113" w:right="113"/>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87F5F">
              <w:rPr>
                <w:rFonts w:ascii="Calibri" w:hAnsi="Calibri"/>
                <w:szCs w:val="20"/>
              </w:rPr>
              <w:t>-102.0</w:t>
            </w:r>
          </w:p>
        </w:tc>
        <w:tc>
          <w:tcPr>
            <w:tcW w:w="682" w:type="pct"/>
          </w:tcPr>
          <w:p w:rsidR="00987F5F" w:rsidRPr="00987F5F" w:rsidRDefault="00987F5F" w:rsidP="00987F5F">
            <w:pPr>
              <w:keepNext/>
              <w:keepLines/>
              <w:spacing w:line="260" w:lineRule="atLeast"/>
              <w:ind w:left="113" w:right="113"/>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87F5F">
              <w:rPr>
                <w:rFonts w:ascii="Calibri" w:hAnsi="Calibri"/>
                <w:szCs w:val="20"/>
              </w:rPr>
              <w:t>-124.0</w:t>
            </w:r>
          </w:p>
        </w:tc>
        <w:tc>
          <w:tcPr>
            <w:tcW w:w="682" w:type="pct"/>
          </w:tcPr>
          <w:p w:rsidR="00987F5F" w:rsidRPr="00987F5F" w:rsidRDefault="00987F5F" w:rsidP="00987F5F">
            <w:pPr>
              <w:keepNext/>
              <w:keepLines/>
              <w:spacing w:line="260" w:lineRule="atLeast"/>
              <w:ind w:left="113" w:right="113"/>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87F5F">
              <w:rPr>
                <w:rFonts w:ascii="Calibri" w:hAnsi="Calibri"/>
                <w:szCs w:val="20"/>
              </w:rPr>
              <w:t>-124.0</w:t>
            </w:r>
          </w:p>
        </w:tc>
        <w:tc>
          <w:tcPr>
            <w:tcW w:w="682" w:type="pct"/>
          </w:tcPr>
          <w:p w:rsidR="00987F5F" w:rsidRPr="00987F5F" w:rsidRDefault="00987F5F" w:rsidP="00987F5F">
            <w:pPr>
              <w:keepNext/>
              <w:keepLines/>
              <w:spacing w:line="260" w:lineRule="atLeast"/>
              <w:ind w:left="113" w:right="113"/>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87F5F">
              <w:rPr>
                <w:rFonts w:ascii="Calibri" w:hAnsi="Calibri"/>
                <w:szCs w:val="20"/>
              </w:rPr>
              <w:t>-124.0</w:t>
            </w:r>
          </w:p>
        </w:tc>
        <w:tc>
          <w:tcPr>
            <w:tcW w:w="681" w:type="pct"/>
          </w:tcPr>
          <w:p w:rsidR="00987F5F" w:rsidRPr="00987F5F" w:rsidRDefault="00987F5F" w:rsidP="00987F5F">
            <w:pPr>
              <w:keepNext/>
              <w:keepLines/>
              <w:spacing w:line="260" w:lineRule="atLeast"/>
              <w:ind w:left="113" w:right="113"/>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87F5F">
              <w:rPr>
                <w:rFonts w:ascii="Calibri" w:hAnsi="Calibri"/>
                <w:b/>
                <w:szCs w:val="20"/>
              </w:rPr>
              <w:t>-474.0</w:t>
            </w:r>
          </w:p>
        </w:tc>
      </w:tr>
      <w:tr w:rsidR="00987F5F" w:rsidRPr="00987F5F" w:rsidTr="00567E62">
        <w:tc>
          <w:tcPr>
            <w:cnfStyle w:val="001000000000" w:firstRow="0" w:lastRow="0" w:firstColumn="1" w:lastColumn="0" w:oddVBand="0" w:evenVBand="0" w:oddHBand="0" w:evenHBand="0" w:firstRowFirstColumn="0" w:firstRowLastColumn="0" w:lastRowFirstColumn="0" w:lastRowLastColumn="0"/>
            <w:tcW w:w="1591" w:type="pct"/>
          </w:tcPr>
          <w:p w:rsidR="00987F5F" w:rsidRPr="00987F5F" w:rsidRDefault="00987F5F" w:rsidP="00987F5F">
            <w:pPr>
              <w:keepNext/>
              <w:keepLines/>
              <w:ind w:left="57" w:right="57"/>
              <w:rPr>
                <w:szCs w:val="20"/>
              </w:rPr>
            </w:pPr>
            <w:r w:rsidRPr="00987F5F">
              <w:rPr>
                <w:szCs w:val="20"/>
              </w:rPr>
              <w:t>Underlying cash balance</w:t>
            </w:r>
          </w:p>
        </w:tc>
        <w:tc>
          <w:tcPr>
            <w:tcW w:w="682" w:type="pct"/>
          </w:tcPr>
          <w:p w:rsidR="00987F5F" w:rsidRPr="00987F5F" w:rsidRDefault="00987F5F" w:rsidP="00987F5F">
            <w:pPr>
              <w:keepNext/>
              <w:keepLines/>
              <w:spacing w:line="260" w:lineRule="atLeast"/>
              <w:ind w:left="113" w:right="113"/>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87F5F">
              <w:rPr>
                <w:rFonts w:ascii="Calibri" w:hAnsi="Calibri"/>
                <w:szCs w:val="20"/>
              </w:rPr>
              <w:t>-102.0</w:t>
            </w:r>
          </w:p>
        </w:tc>
        <w:tc>
          <w:tcPr>
            <w:tcW w:w="682" w:type="pct"/>
          </w:tcPr>
          <w:p w:rsidR="00987F5F" w:rsidRPr="00987F5F" w:rsidRDefault="00987F5F" w:rsidP="00987F5F">
            <w:pPr>
              <w:keepNext/>
              <w:keepLines/>
              <w:spacing w:line="260" w:lineRule="atLeast"/>
              <w:ind w:left="113" w:right="113"/>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87F5F">
              <w:rPr>
                <w:rFonts w:ascii="Calibri" w:hAnsi="Calibri"/>
                <w:szCs w:val="20"/>
              </w:rPr>
              <w:t>-124.0</w:t>
            </w:r>
          </w:p>
        </w:tc>
        <w:tc>
          <w:tcPr>
            <w:tcW w:w="682" w:type="pct"/>
          </w:tcPr>
          <w:p w:rsidR="00987F5F" w:rsidRPr="00987F5F" w:rsidRDefault="00987F5F" w:rsidP="00987F5F">
            <w:pPr>
              <w:keepNext/>
              <w:keepLines/>
              <w:spacing w:line="260" w:lineRule="atLeast"/>
              <w:ind w:left="113" w:right="113"/>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87F5F">
              <w:rPr>
                <w:rFonts w:ascii="Calibri" w:hAnsi="Calibri"/>
                <w:szCs w:val="20"/>
              </w:rPr>
              <w:t>-124.0</w:t>
            </w:r>
          </w:p>
        </w:tc>
        <w:tc>
          <w:tcPr>
            <w:tcW w:w="682" w:type="pct"/>
          </w:tcPr>
          <w:p w:rsidR="00987F5F" w:rsidRPr="00987F5F" w:rsidRDefault="00987F5F" w:rsidP="00987F5F">
            <w:pPr>
              <w:keepNext/>
              <w:keepLines/>
              <w:spacing w:line="260" w:lineRule="atLeast"/>
              <w:ind w:left="113" w:right="113"/>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87F5F">
              <w:rPr>
                <w:rFonts w:ascii="Calibri" w:hAnsi="Calibri"/>
                <w:szCs w:val="20"/>
              </w:rPr>
              <w:t>-124.0</w:t>
            </w:r>
          </w:p>
        </w:tc>
        <w:tc>
          <w:tcPr>
            <w:tcW w:w="681" w:type="pct"/>
          </w:tcPr>
          <w:p w:rsidR="00987F5F" w:rsidRPr="00987F5F" w:rsidRDefault="00987F5F" w:rsidP="00987F5F">
            <w:pPr>
              <w:keepNext/>
              <w:keepLines/>
              <w:spacing w:line="260" w:lineRule="atLeast"/>
              <w:ind w:left="113" w:right="113"/>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87F5F">
              <w:rPr>
                <w:rFonts w:ascii="Calibri" w:hAnsi="Calibri"/>
                <w:b/>
                <w:szCs w:val="20"/>
              </w:rPr>
              <w:t>-474.0</w:t>
            </w:r>
          </w:p>
        </w:tc>
      </w:tr>
    </w:tbl>
    <w:p w:rsidR="00987F5F" w:rsidRPr="00987F5F" w:rsidRDefault="00987F5F" w:rsidP="000B5C96">
      <w:pPr>
        <w:pStyle w:val="Footnotes"/>
        <w:numPr>
          <w:ilvl w:val="0"/>
          <w:numId w:val="50"/>
        </w:numPr>
        <w:ind w:left="284" w:hanging="284"/>
      </w:pPr>
      <w:r w:rsidRPr="00987F5F">
        <w:t>A positive number indicates an increase in the relevant budget balance, a negative number a decrease.</w:t>
      </w:r>
    </w:p>
    <w:p w:rsidR="00987F5F" w:rsidRPr="00987F5F" w:rsidRDefault="00987F5F" w:rsidP="000B5C96">
      <w:pPr>
        <w:pStyle w:val="Footnotes"/>
        <w:numPr>
          <w:ilvl w:val="0"/>
          <w:numId w:val="50"/>
        </w:numPr>
        <w:ind w:left="284" w:hanging="284"/>
      </w:pPr>
      <w:r w:rsidRPr="00987F5F">
        <w:t>Figures may not sum to totals due to rounding.</w:t>
      </w:r>
    </w:p>
    <w:p w:rsidR="00987F5F" w:rsidRPr="00987F5F" w:rsidRDefault="00987F5F" w:rsidP="00905B06">
      <w:pPr>
        <w:pStyle w:val="CostingsH7"/>
        <w:rPr>
          <w:rFonts w:eastAsia="Calibri"/>
        </w:rPr>
      </w:pPr>
      <w:r w:rsidRPr="00987F5F">
        <w:rPr>
          <w:rFonts w:eastAsia="Calibri"/>
        </w:rPr>
        <w:t>Key assumptions</w:t>
      </w:r>
    </w:p>
    <w:p w:rsidR="00987F5F" w:rsidRPr="00987F5F" w:rsidRDefault="00987F5F" w:rsidP="00E672F0">
      <w:pPr>
        <w:pStyle w:val="BodyText"/>
      </w:pPr>
      <w:r w:rsidRPr="00987F5F">
        <w:t>The Parliamentary Budget Office (PBO) has assumed that the establishment of the new agency would require a phase-in period over the first ten months of the proposal.  During the phase-in period, additional departmental expenses for establishing and implementing the new minimum standards would be required.</w:t>
      </w:r>
    </w:p>
    <w:p w:rsidR="00987F5F" w:rsidRPr="00987F5F" w:rsidRDefault="00987F5F" w:rsidP="00905B06">
      <w:pPr>
        <w:pStyle w:val="CostingsH7"/>
        <w:rPr>
          <w:rFonts w:eastAsia="Calibri"/>
        </w:rPr>
      </w:pPr>
      <w:r w:rsidRPr="00987F5F">
        <w:rPr>
          <w:rFonts w:eastAsia="Calibri"/>
        </w:rPr>
        <w:t>Methodology</w:t>
      </w:r>
    </w:p>
    <w:p w:rsidR="00987F5F" w:rsidRPr="00987F5F" w:rsidRDefault="00987F5F" w:rsidP="00E672F0">
      <w:pPr>
        <w:pStyle w:val="BodyText"/>
      </w:pPr>
      <w:r w:rsidRPr="00987F5F">
        <w:t xml:space="preserve">The administered expenditure estimates are as specified in the capped grant amounts. </w:t>
      </w:r>
    </w:p>
    <w:p w:rsidR="00987F5F" w:rsidRPr="00987F5F" w:rsidRDefault="00987F5F" w:rsidP="00E672F0">
      <w:pPr>
        <w:pStyle w:val="BodyText"/>
      </w:pPr>
      <w:r w:rsidRPr="00987F5F">
        <w:t>Estimates of expenses for a national body to develop and implement new national standards are based on expenses for comparable agencies with responsibility for the development and implementation of national standards.</w:t>
      </w:r>
    </w:p>
    <w:p w:rsidR="00987F5F" w:rsidRPr="00987F5F" w:rsidRDefault="00987F5F" w:rsidP="00E672F0">
      <w:pPr>
        <w:pStyle w:val="BodyText"/>
      </w:pPr>
      <w:r w:rsidRPr="00987F5F">
        <w:t xml:space="preserve">Departmental expenses for administering the capped grants under the landlord assistance package are in addition to the capped amounts as specified in the request.  These estimates are based on similar programs and estimates account for the net effect of indexation parameters and the efficiency dividend, in accordance with the Department of Finance’s costing practices. </w:t>
      </w:r>
    </w:p>
    <w:p w:rsidR="00987F5F" w:rsidRPr="00987F5F" w:rsidRDefault="00987F5F" w:rsidP="00E672F0">
      <w:pPr>
        <w:pStyle w:val="BodyText"/>
      </w:pPr>
      <w:r w:rsidRPr="00987F5F">
        <w:t>Administered and departmental financial implications have been rounded to the nearest $1 million.</w:t>
      </w:r>
    </w:p>
    <w:p w:rsidR="00987F5F" w:rsidRPr="00987F5F" w:rsidRDefault="00987F5F" w:rsidP="008D51A3">
      <w:pPr>
        <w:pStyle w:val="Heading6"/>
        <w:rPr>
          <w:rFonts w:eastAsia="Calibri"/>
        </w:rPr>
      </w:pPr>
      <w:r w:rsidRPr="00987F5F">
        <w:rPr>
          <w:rFonts w:eastAsia="Calibri"/>
        </w:rPr>
        <w:t>Data sources</w:t>
      </w:r>
    </w:p>
    <w:p w:rsidR="00987F5F" w:rsidRPr="00987F5F" w:rsidRDefault="00987F5F" w:rsidP="00E672F0">
      <w:pPr>
        <w:pStyle w:val="BodyText"/>
        <w:sectPr w:rsidR="00987F5F" w:rsidRPr="00987F5F" w:rsidSect="00E8358C">
          <w:pgSz w:w="11906" w:h="16838"/>
          <w:pgMar w:top="1361" w:right="1797" w:bottom="1474" w:left="1797" w:header="283" w:footer="454" w:gutter="0"/>
          <w:cols w:space="708"/>
          <w:docGrid w:linePitch="360"/>
        </w:sectPr>
      </w:pPr>
      <w:r w:rsidRPr="00987F5F">
        <w:t>Department of Finance provided indexation and efficiency dividend parameters, and extracts from the Central Budget Management System for the 2016 Pre-election Economic and Fiscal Outlook.</w:t>
      </w:r>
    </w:p>
    <w:p w:rsidR="00987F5F" w:rsidRPr="00987F5F" w:rsidRDefault="00987F5F" w:rsidP="007A4BF9">
      <w:pPr>
        <w:pStyle w:val="Heading6"/>
        <w:rPr>
          <w:rFonts w:eastAsia="Calibri"/>
        </w:rPr>
      </w:pPr>
      <w:r w:rsidRPr="00987F5F">
        <w:rPr>
          <w:rFonts w:eastAsia="Calibri"/>
        </w:rPr>
        <w:lastRenderedPageBreak/>
        <w:t>Attachment A: Renter’s Rights—financial implications</w:t>
      </w:r>
    </w:p>
    <w:p w:rsidR="00987F5F" w:rsidRPr="00987F5F" w:rsidRDefault="00987F5F" w:rsidP="00905B06">
      <w:pPr>
        <w:pStyle w:val="Caption"/>
        <w:rPr>
          <w:vertAlign w:val="superscript"/>
        </w:rPr>
      </w:pPr>
      <w:r w:rsidRPr="00987F5F">
        <w:t>Table A1: Renter’s Rights—Financial implications (outturn prices)</w:t>
      </w:r>
      <w:r w:rsidRPr="00987F5F">
        <w:rPr>
          <w:vertAlign w:val="superscript"/>
        </w:rPr>
        <w:t>(a)(b)</w:t>
      </w:r>
    </w:p>
    <w:tbl>
      <w:tblPr>
        <w:tblStyle w:val="TableGrid15"/>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987F5F" w:rsidRPr="00987F5F" w:rsidTr="00567E62">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987F5F" w:rsidRPr="00987F5F" w:rsidRDefault="00987F5F" w:rsidP="00987F5F">
            <w:pPr>
              <w:keepNext/>
              <w:keepLines/>
              <w:spacing w:line="240" w:lineRule="auto"/>
              <w:ind w:left="57" w:right="57"/>
              <w:rPr>
                <w:b/>
                <w:szCs w:val="20"/>
              </w:rPr>
            </w:pPr>
            <w:r w:rsidRPr="00987F5F">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987F5F" w:rsidRPr="00987F5F" w:rsidRDefault="00987F5F" w:rsidP="00987F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87F5F">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987F5F" w:rsidRPr="00987F5F" w:rsidRDefault="00987F5F" w:rsidP="00987F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87F5F">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987F5F" w:rsidRPr="00987F5F" w:rsidRDefault="00987F5F" w:rsidP="00987F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87F5F">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987F5F" w:rsidRPr="00987F5F" w:rsidRDefault="00987F5F" w:rsidP="00987F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87F5F">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987F5F" w:rsidRPr="00987F5F" w:rsidRDefault="00987F5F" w:rsidP="00987F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987F5F">
              <w:rPr>
                <w:b/>
              </w:rPr>
              <w:t>Total</w:t>
            </w:r>
            <w:r w:rsidRPr="00987F5F">
              <w:rPr>
                <w:b/>
                <w:szCs w:val="20"/>
              </w:rPr>
              <w:t xml:space="preserve"> to 2019–20</w:t>
            </w:r>
          </w:p>
        </w:tc>
      </w:tr>
      <w:tr w:rsidR="00987F5F" w:rsidRPr="00987F5F"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keepNext/>
              <w:keepLines/>
              <w:ind w:left="57" w:right="57"/>
              <w:rPr>
                <w:b/>
              </w:rPr>
            </w:pPr>
            <w:r w:rsidRPr="00987F5F">
              <w:rPr>
                <w:b/>
              </w:rPr>
              <w:t>Fiscal and underlying cash balances – expenses/outlays</w:t>
            </w:r>
          </w:p>
        </w:tc>
      </w:tr>
      <w:tr w:rsidR="00987F5F" w:rsidRPr="00987F5F" w:rsidTr="00567E62">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ind w:left="57" w:right="57"/>
              <w:rPr>
                <w:b/>
                <w:i/>
              </w:rPr>
            </w:pPr>
            <w:r w:rsidRPr="00987F5F">
              <w:rPr>
                <w:b/>
                <w:szCs w:val="20"/>
              </w:rPr>
              <w:t>Administered</w:t>
            </w:r>
          </w:p>
        </w:tc>
      </w:tr>
      <w:tr w:rsidR="00987F5F" w:rsidRPr="00987F5F"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keepNext/>
              <w:keepLines/>
              <w:ind w:left="57" w:right="57"/>
              <w:rPr>
                <w:i/>
                <w:szCs w:val="20"/>
              </w:rPr>
            </w:pPr>
            <w:r w:rsidRPr="00987F5F">
              <w:rPr>
                <w:i/>
                <w:szCs w:val="20"/>
              </w:rPr>
              <w:t>Landlord assistance package</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-83.0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-100.0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-100.0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-100.0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987F5F">
              <w:rPr>
                <w:rFonts w:ascii="Calibri" w:hAnsi="Calibri"/>
                <w:b/>
                <w:i/>
              </w:rPr>
              <w:t>-383.0</w:t>
            </w:r>
          </w:p>
        </w:tc>
      </w:tr>
      <w:tr w:rsidR="00987F5F" w:rsidRPr="00987F5F"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keepNext/>
              <w:keepLines/>
              <w:ind w:left="57" w:right="57"/>
              <w:rPr>
                <w:i/>
                <w:szCs w:val="20"/>
              </w:rPr>
            </w:pPr>
            <w:r w:rsidRPr="00987F5F">
              <w:rPr>
                <w:i/>
                <w:szCs w:val="20"/>
              </w:rPr>
              <w:t>Tenancy advice services – additional funding</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87F5F">
              <w:rPr>
                <w:rFonts w:ascii="Calibri" w:hAnsi="Calibri"/>
                <w:i/>
              </w:rPr>
              <w:t>-8.0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87F5F">
              <w:rPr>
                <w:rFonts w:ascii="Calibri" w:hAnsi="Calibri"/>
                <w:i/>
              </w:rPr>
              <w:t>-10.0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87F5F">
              <w:rPr>
                <w:rFonts w:ascii="Calibri" w:hAnsi="Calibri"/>
                <w:i/>
              </w:rPr>
              <w:t>-10.0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87F5F">
              <w:rPr>
                <w:rFonts w:ascii="Calibri" w:hAnsi="Calibri"/>
                <w:i/>
              </w:rPr>
              <w:t>-10.0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987F5F">
              <w:rPr>
                <w:rFonts w:ascii="Calibri" w:hAnsi="Calibri"/>
                <w:b/>
                <w:i/>
              </w:rPr>
              <w:t>-38.0</w:t>
            </w:r>
          </w:p>
        </w:tc>
      </w:tr>
      <w:tr w:rsidR="00987F5F" w:rsidRPr="00987F5F"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keepNext/>
              <w:keepLines/>
              <w:ind w:left="57" w:right="57"/>
              <w:rPr>
                <w:szCs w:val="20"/>
              </w:rPr>
            </w:pPr>
            <w:r w:rsidRPr="00987F5F">
              <w:rPr>
                <w:szCs w:val="20"/>
              </w:rPr>
              <w:t>Total administered</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87F5F">
              <w:rPr>
                <w:rFonts w:ascii="Calibri" w:hAnsi="Calibri"/>
              </w:rPr>
              <w:t>-91.0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w:t>
            </w:r>
            <w:r w:rsidRPr="00987F5F">
              <w:rPr>
                <w:rFonts w:ascii="Calibri" w:hAnsi="Calibri"/>
              </w:rPr>
              <w:t>110.0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rPr>
              <w:t>-110.0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rPr>
              <w:t>-110.0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987F5F">
              <w:rPr>
                <w:rFonts w:ascii="Calibri" w:hAnsi="Calibri"/>
                <w:b/>
              </w:rPr>
              <w:t>-421.0</w:t>
            </w:r>
          </w:p>
        </w:tc>
      </w:tr>
      <w:tr w:rsidR="00987F5F" w:rsidRPr="00987F5F" w:rsidTr="00567E62">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ind w:left="57" w:right="57"/>
              <w:rPr>
                <w:b/>
                <w:i/>
              </w:rPr>
            </w:pPr>
            <w:r w:rsidRPr="00987F5F">
              <w:rPr>
                <w:b/>
                <w:szCs w:val="20"/>
              </w:rPr>
              <w:t>Departmental</w:t>
            </w:r>
          </w:p>
        </w:tc>
      </w:tr>
      <w:tr w:rsidR="00987F5F" w:rsidRPr="00987F5F"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keepNext/>
              <w:keepLines/>
              <w:ind w:left="57" w:right="57"/>
              <w:rPr>
                <w:b/>
                <w:i/>
                <w:szCs w:val="20"/>
              </w:rPr>
            </w:pPr>
            <w:r w:rsidRPr="00987F5F">
              <w:rPr>
                <w:i/>
                <w:szCs w:val="20"/>
              </w:rPr>
              <w:t>New body to set and oversee national minimum standards for residential tenancies</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-9.0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-12.0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-12.0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-12.0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987F5F">
              <w:rPr>
                <w:rFonts w:ascii="Calibri" w:hAnsi="Calibri"/>
                <w:b/>
                <w:i/>
              </w:rPr>
              <w:t>-45.0</w:t>
            </w:r>
          </w:p>
        </w:tc>
      </w:tr>
      <w:tr w:rsidR="00987F5F" w:rsidRPr="00987F5F"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keepNext/>
              <w:keepLines/>
              <w:ind w:left="57" w:right="57"/>
              <w:rPr>
                <w:i/>
                <w:szCs w:val="20"/>
              </w:rPr>
            </w:pPr>
            <w:r w:rsidRPr="00987F5F">
              <w:rPr>
                <w:i/>
                <w:szCs w:val="20"/>
              </w:rPr>
              <w:t>Department of Social Services</w:t>
            </w:r>
            <w:r w:rsidRPr="00987F5F">
              <w:rPr>
                <w:i/>
                <w:szCs w:val="20"/>
                <w:vertAlign w:val="superscript"/>
              </w:rPr>
              <w:t>(c)</w:t>
            </w:r>
            <w:r w:rsidRPr="00987F5F">
              <w:rPr>
                <w:i/>
                <w:szCs w:val="20"/>
              </w:rPr>
              <w:t xml:space="preserve"> </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87F5F">
              <w:rPr>
                <w:rFonts w:ascii="Calibri" w:hAnsi="Calibri"/>
                <w:i/>
              </w:rPr>
              <w:t>-2.0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87F5F">
              <w:rPr>
                <w:rFonts w:ascii="Calibri" w:hAnsi="Calibri"/>
                <w:i/>
              </w:rPr>
              <w:t>-2.0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87F5F">
              <w:rPr>
                <w:rFonts w:ascii="Calibri" w:hAnsi="Calibri"/>
                <w:i/>
              </w:rPr>
              <w:t>-2.0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87F5F">
              <w:rPr>
                <w:rFonts w:ascii="Calibri" w:hAnsi="Calibri"/>
                <w:i/>
              </w:rPr>
              <w:t>-2.0</w:t>
            </w:r>
          </w:p>
        </w:tc>
        <w:tc>
          <w:tcPr>
            <w:tcW w:w="682" w:type="pct"/>
            <w:tcBorders>
              <w:top w:val="single" w:sz="4" w:space="0" w:color="788184"/>
              <w:left w:val="single" w:sz="4" w:space="0" w:color="788184"/>
              <w:bottom w:val="single" w:sz="4" w:space="0" w:color="788184"/>
              <w:right w:val="single" w:sz="4" w:space="0" w:color="788184"/>
            </w:tcBorders>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987F5F">
              <w:rPr>
                <w:rFonts w:ascii="Calibri" w:hAnsi="Calibri"/>
                <w:b/>
                <w:i/>
              </w:rPr>
              <w:t>-8.0</w:t>
            </w:r>
          </w:p>
        </w:tc>
      </w:tr>
      <w:tr w:rsidR="00987F5F" w:rsidRPr="00987F5F" w:rsidTr="00567E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keepNext/>
              <w:keepLines/>
              <w:ind w:left="57" w:right="57"/>
              <w:rPr>
                <w:szCs w:val="20"/>
              </w:rPr>
            </w:pPr>
            <w:r w:rsidRPr="00987F5F">
              <w:rPr>
                <w:szCs w:val="20"/>
              </w:rPr>
              <w:t>Total departmental</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87F5F">
              <w:rPr>
                <w:rFonts w:ascii="Calibri" w:hAnsi="Calibri"/>
              </w:rPr>
              <w:t>-11.0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w:t>
            </w:r>
            <w:r w:rsidRPr="00987F5F">
              <w:rPr>
                <w:rFonts w:ascii="Calibri" w:hAnsi="Calibri"/>
              </w:rPr>
              <w:t>14.0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w:t>
            </w:r>
            <w:r w:rsidRPr="00987F5F">
              <w:rPr>
                <w:rFonts w:ascii="Calibri" w:hAnsi="Calibri"/>
              </w:rPr>
              <w:t>14.0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87F5F">
              <w:rPr>
                <w:rFonts w:ascii="Calibri" w:hAnsi="Calibri"/>
                <w:i/>
              </w:rPr>
              <w:t>-</w:t>
            </w:r>
            <w:r w:rsidRPr="00987F5F">
              <w:rPr>
                <w:rFonts w:ascii="Calibri" w:hAnsi="Calibri"/>
              </w:rPr>
              <w:t>14.0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987F5F" w:rsidRPr="00987F5F" w:rsidRDefault="00987F5F" w:rsidP="00987F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987F5F">
              <w:rPr>
                <w:rFonts w:ascii="Calibri" w:hAnsi="Calibri"/>
                <w:b/>
              </w:rPr>
              <w:t>-53.0</w:t>
            </w:r>
          </w:p>
        </w:tc>
      </w:tr>
      <w:tr w:rsidR="00987F5F" w:rsidRPr="00987F5F" w:rsidTr="00567E62">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987F5F" w:rsidRPr="00987F5F" w:rsidRDefault="00987F5F" w:rsidP="00987F5F">
            <w:pPr>
              <w:keepNext/>
              <w:keepLines/>
              <w:ind w:left="57" w:right="57"/>
              <w:rPr>
                <w:b/>
                <w:szCs w:val="20"/>
              </w:rPr>
            </w:pPr>
            <w:r w:rsidRPr="00987F5F">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87F5F">
              <w:rPr>
                <w:rFonts w:ascii="Calibri" w:hAnsi="Calibri"/>
                <w:b/>
              </w:rPr>
              <w:t>-102.0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87F5F">
              <w:rPr>
                <w:rFonts w:ascii="Calibri" w:hAnsi="Calibri"/>
                <w:b/>
              </w:rPr>
              <w:t>-124.0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87F5F">
              <w:rPr>
                <w:rFonts w:ascii="Calibri" w:hAnsi="Calibri"/>
                <w:b/>
              </w:rPr>
              <w:t>-124.0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87F5F">
              <w:rPr>
                <w:rFonts w:ascii="Calibri" w:hAnsi="Calibri"/>
                <w:b/>
              </w:rPr>
              <w:t>-124.0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987F5F" w:rsidRPr="00987F5F" w:rsidRDefault="00987F5F" w:rsidP="00987F5F">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87F5F">
              <w:rPr>
                <w:rFonts w:ascii="Calibri" w:hAnsi="Calibri"/>
                <w:b/>
              </w:rPr>
              <w:t>-474.0</w:t>
            </w:r>
          </w:p>
        </w:tc>
      </w:tr>
    </w:tbl>
    <w:p w:rsidR="00987F5F" w:rsidRPr="00987F5F" w:rsidRDefault="00987F5F" w:rsidP="000B5C96">
      <w:pPr>
        <w:pStyle w:val="Footnotes"/>
        <w:numPr>
          <w:ilvl w:val="0"/>
          <w:numId w:val="51"/>
        </w:numPr>
        <w:ind w:left="284" w:hanging="284"/>
      </w:pPr>
      <w:r w:rsidRPr="00987F5F">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987F5F" w:rsidRPr="00987F5F" w:rsidRDefault="00987F5F" w:rsidP="000B5C96">
      <w:pPr>
        <w:pStyle w:val="Footnotes"/>
        <w:numPr>
          <w:ilvl w:val="0"/>
          <w:numId w:val="51"/>
        </w:numPr>
        <w:ind w:left="284" w:hanging="284"/>
      </w:pPr>
      <w:r w:rsidRPr="00987F5F">
        <w:t>Figures may not sum to totals due to rounding.</w:t>
      </w:r>
    </w:p>
    <w:p w:rsidR="00987F5F" w:rsidRPr="00987F5F" w:rsidRDefault="00987F5F" w:rsidP="000B5C96">
      <w:pPr>
        <w:pStyle w:val="Footnotes"/>
        <w:numPr>
          <w:ilvl w:val="0"/>
          <w:numId w:val="51"/>
        </w:numPr>
        <w:ind w:left="284" w:hanging="284"/>
      </w:pPr>
      <w:r w:rsidRPr="00987F5F">
        <w:t>Departmental expenses for the Department of Social Services relate to the administering of the landlord assistance package only.  The additional funding to tenancy advice services would not be expected to have departmental financial implications.</w:t>
      </w:r>
    </w:p>
    <w:p w:rsidR="0085755E" w:rsidRDefault="0085755E" w:rsidP="003A33DB">
      <w:pPr>
        <w:pStyle w:val="BodyText"/>
        <w:sectPr w:rsidR="0085755E" w:rsidSect="00E8358C">
          <w:headerReference w:type="even" r:id="rId117"/>
          <w:headerReference w:type="default" r:id="rId118"/>
          <w:footerReference w:type="even" r:id="rId119"/>
          <w:footerReference w:type="default" r:id="rId120"/>
          <w:headerReference w:type="first" r:id="rId121"/>
          <w:footerReference w:type="first" r:id="rId122"/>
          <w:pgSz w:w="11906" w:h="16838"/>
          <w:pgMar w:top="1361" w:right="1797" w:bottom="1474" w:left="1797" w:header="283" w:footer="454" w:gutter="0"/>
          <w:cols w:space="708"/>
          <w:docGrid w:linePitch="360"/>
        </w:sectPr>
      </w:pPr>
    </w:p>
    <w:p w:rsidR="00567E62" w:rsidRDefault="00567E62" w:rsidP="00567E62">
      <w:pPr>
        <w:pStyle w:val="Heading5"/>
      </w:pPr>
      <w:bookmarkStart w:id="41" w:name="_Toc455655090"/>
      <w:bookmarkStart w:id="42" w:name="_Toc456766795"/>
      <w:bookmarkStart w:id="43" w:name="_Toc457819889"/>
      <w:bookmarkStart w:id="44" w:name="_Toc458015779"/>
      <w:bookmarkStart w:id="45" w:name="_Toc458090618"/>
      <w:r>
        <w:lastRenderedPageBreak/>
        <w:t>GRN012: Restore Arena's Funding</w:t>
      </w:r>
      <w:bookmarkEnd w:id="41"/>
      <w:bookmarkEnd w:id="42"/>
      <w:bookmarkEnd w:id="43"/>
      <w:bookmarkEnd w:id="44"/>
      <w:bookmarkEnd w:id="45"/>
    </w:p>
    <w:p w:rsidR="00987F5F" w:rsidRDefault="00567E62" w:rsidP="007A4BF9">
      <w:pPr>
        <w:pStyle w:val="BodyText"/>
      </w:pPr>
      <w:r>
        <w:rPr>
          <w:noProof/>
          <w:lang w:eastAsia="en-AU"/>
        </w:rPr>
        <w:drawing>
          <wp:inline distT="0" distB="0" distL="0" distR="0" wp14:anchorId="4902E8D1" wp14:editId="0FAA78F0">
            <wp:extent cx="2696845" cy="572135"/>
            <wp:effectExtent l="0" t="0" r="8255" b="0"/>
            <wp:docPr id="17" name="Picture 1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67E62" w:rsidRPr="00567E62" w:rsidRDefault="00567E62" w:rsidP="007A4BF9">
      <w:pPr>
        <w:pStyle w:val="Heading6"/>
        <w:rPr>
          <w:rFonts w:eastAsia="Calibri"/>
        </w:rPr>
      </w:pPr>
      <w:r w:rsidRPr="00567E62">
        <w:rPr>
          <w:rFonts w:eastAsia="Calibri"/>
        </w:rPr>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567E62" w:rsidRPr="00AF49FE" w:rsidTr="00567E62">
        <w:trPr>
          <w:cnfStyle w:val="100000000000" w:firstRow="1" w:lastRow="0" w:firstColumn="0" w:lastColumn="0" w:oddVBand="0" w:evenVBand="0" w:oddHBand="0" w:evenHBand="0" w:firstRowFirstColumn="0" w:firstRowLastColumn="0" w:lastRowFirstColumn="0" w:lastRowLastColumn="0"/>
        </w:trPr>
        <w:tc>
          <w:tcPr>
            <w:tcW w:w="3005" w:type="dxa"/>
          </w:tcPr>
          <w:p w:rsidR="00567E62" w:rsidRPr="00AF49FE" w:rsidRDefault="00567E62" w:rsidP="00AF49FE">
            <w:pPr>
              <w:pStyle w:val="PullOutBoxHeading"/>
              <w:rPr>
                <w:b/>
                <w:sz w:val="22"/>
              </w:rPr>
            </w:pPr>
            <w:r w:rsidRPr="00AF49FE">
              <w:rPr>
                <w:b/>
                <w:sz w:val="22"/>
              </w:rPr>
              <w:t>Name of proposal:</w:t>
            </w:r>
          </w:p>
        </w:tc>
        <w:tc>
          <w:tcPr>
            <w:tcW w:w="5335" w:type="dxa"/>
          </w:tcPr>
          <w:p w:rsidR="00567E62" w:rsidRPr="00AF49FE" w:rsidRDefault="00567E62" w:rsidP="00AF49FE">
            <w:pPr>
              <w:pStyle w:val="PullOutBoxHeading"/>
              <w:rPr>
                <w:b/>
                <w:sz w:val="22"/>
              </w:rPr>
            </w:pPr>
            <w:r w:rsidRPr="00AF49FE">
              <w:rPr>
                <w:b/>
                <w:sz w:val="22"/>
              </w:rPr>
              <w:t>Save ARENA from Labor and Liberal cuts</w:t>
            </w:r>
          </w:p>
        </w:tc>
      </w:tr>
      <w:tr w:rsidR="00567E62" w:rsidRPr="00567E62" w:rsidTr="00567E62">
        <w:tc>
          <w:tcPr>
            <w:tcW w:w="3005" w:type="dxa"/>
          </w:tcPr>
          <w:p w:rsidR="00567E62" w:rsidRPr="00567E62" w:rsidRDefault="00567E62" w:rsidP="008D51A3">
            <w:pPr>
              <w:pStyle w:val="PullOutBoxBodyText"/>
            </w:pPr>
            <w:r w:rsidRPr="00567E62">
              <w:t>Summary of proposal:</w:t>
            </w:r>
          </w:p>
        </w:tc>
        <w:tc>
          <w:tcPr>
            <w:tcW w:w="5335" w:type="dxa"/>
          </w:tcPr>
          <w:p w:rsidR="00567E62" w:rsidRPr="00567E62" w:rsidRDefault="00567E62" w:rsidP="008D51A3">
            <w:pPr>
              <w:pStyle w:val="PullOutBoxBodyText"/>
            </w:pPr>
            <w:r w:rsidRPr="00567E62">
              <w:t>The proposal would:</w:t>
            </w:r>
          </w:p>
          <w:p w:rsidR="00567E62" w:rsidRPr="00567E62" w:rsidRDefault="00567E62" w:rsidP="008D51A3">
            <w:pPr>
              <w:pStyle w:val="PullOutBoxBullet"/>
              <w:rPr>
                <w:lang w:eastAsia="en-AU"/>
              </w:rPr>
            </w:pPr>
            <w:r w:rsidRPr="00567E62">
              <w:rPr>
                <w:lang w:eastAsia="en-AU"/>
              </w:rPr>
              <w:t xml:space="preserve">restore the Australian Renewable Energy Agency’s (ARENA’s) appropriation provided in the 2016-17 financial year to the level it was at prior to changes from Schedule 5 of the </w:t>
            </w:r>
            <w:r w:rsidRPr="00567E62">
              <w:rPr>
                <w:i/>
                <w:lang w:eastAsia="en-AU"/>
              </w:rPr>
              <w:t>Clean Energy Legislation (Carbon Tax Repeal) Act 2014</w:t>
            </w:r>
            <w:r w:rsidRPr="00567E62">
              <w:rPr>
                <w:lang w:eastAsia="en-AU"/>
              </w:rPr>
              <w:t>, namely $299,550,000.  The existing appropriation schedule beyond 2016-17 would remain unchanged.</w:t>
            </w:r>
          </w:p>
          <w:p w:rsidR="00567E62" w:rsidRPr="00567E62" w:rsidRDefault="00567E62" w:rsidP="008D51A3">
            <w:pPr>
              <w:pStyle w:val="PullOutBoxBullet"/>
              <w:rPr>
                <w:lang w:eastAsia="en-AU"/>
              </w:rPr>
            </w:pPr>
            <w:r w:rsidRPr="00567E62">
              <w:rPr>
                <w:lang w:eastAsia="en-AU"/>
              </w:rPr>
              <w:t>allow ARENA to enter into new spending commitments.</w:t>
            </w:r>
          </w:p>
          <w:p w:rsidR="00567E62" w:rsidRPr="00567E62" w:rsidRDefault="00567E62" w:rsidP="008D51A3">
            <w:pPr>
              <w:pStyle w:val="PullOutBoxBodyText"/>
            </w:pPr>
            <w:r w:rsidRPr="00567E62">
              <w:t>This proposal would commence on 1 September 2016.</w:t>
            </w:r>
          </w:p>
        </w:tc>
      </w:tr>
      <w:tr w:rsidR="00567E62" w:rsidRPr="00567E62" w:rsidTr="00567E62">
        <w:tc>
          <w:tcPr>
            <w:tcW w:w="3005" w:type="dxa"/>
          </w:tcPr>
          <w:p w:rsidR="00567E62" w:rsidRPr="00567E62" w:rsidRDefault="00567E62" w:rsidP="008D51A3">
            <w:pPr>
              <w:pStyle w:val="PullOutBoxBodyText"/>
            </w:pPr>
            <w:r w:rsidRPr="00567E62">
              <w:t>Person/party requesting costing:</w:t>
            </w:r>
          </w:p>
        </w:tc>
        <w:tc>
          <w:tcPr>
            <w:tcW w:w="5335" w:type="dxa"/>
          </w:tcPr>
          <w:p w:rsidR="00567E62" w:rsidRPr="00567E62" w:rsidRDefault="00567E62" w:rsidP="008D51A3">
            <w:pPr>
              <w:pStyle w:val="PullOutBoxBodyText"/>
            </w:pPr>
            <w:r w:rsidRPr="00567E62">
              <w:t>Senator Richard Di Natale, Australian Greens</w:t>
            </w:r>
          </w:p>
        </w:tc>
      </w:tr>
      <w:tr w:rsidR="00567E62" w:rsidRPr="00567E62" w:rsidTr="00567E62">
        <w:tc>
          <w:tcPr>
            <w:tcW w:w="3005" w:type="dxa"/>
          </w:tcPr>
          <w:p w:rsidR="00567E62" w:rsidRPr="00567E62" w:rsidRDefault="00567E62" w:rsidP="008D51A3">
            <w:pPr>
              <w:pStyle w:val="PullOutBoxBodyText"/>
            </w:pPr>
            <w:r w:rsidRPr="00567E62">
              <w:t>Date of public release of policy:</w:t>
            </w:r>
          </w:p>
        </w:tc>
        <w:tc>
          <w:tcPr>
            <w:tcW w:w="5335" w:type="dxa"/>
          </w:tcPr>
          <w:p w:rsidR="00567E62" w:rsidRPr="00567E62" w:rsidRDefault="00567E62" w:rsidP="008D51A3">
            <w:pPr>
              <w:pStyle w:val="PullOutBoxBodyText"/>
            </w:pPr>
            <w:r w:rsidRPr="00567E62">
              <w:t>17 May 2016</w:t>
            </w:r>
          </w:p>
        </w:tc>
      </w:tr>
      <w:tr w:rsidR="00567E62" w:rsidRPr="00567E62" w:rsidTr="00567E62">
        <w:tc>
          <w:tcPr>
            <w:tcW w:w="3005" w:type="dxa"/>
          </w:tcPr>
          <w:p w:rsidR="00567E62" w:rsidRPr="00567E62" w:rsidRDefault="00567E62" w:rsidP="008D51A3">
            <w:pPr>
              <w:pStyle w:val="PullOutBoxBodyText"/>
            </w:pPr>
            <w:r w:rsidRPr="00567E62">
              <w:t>Date costing request received:</w:t>
            </w:r>
          </w:p>
        </w:tc>
        <w:tc>
          <w:tcPr>
            <w:tcW w:w="5335" w:type="dxa"/>
          </w:tcPr>
          <w:p w:rsidR="00567E62" w:rsidRPr="00567E62" w:rsidRDefault="00567E62" w:rsidP="008D51A3">
            <w:pPr>
              <w:pStyle w:val="PullOutBoxBodyText"/>
            </w:pPr>
            <w:r w:rsidRPr="00567E62">
              <w:t>24 June 2016</w:t>
            </w:r>
          </w:p>
        </w:tc>
      </w:tr>
      <w:tr w:rsidR="00567E62" w:rsidRPr="00567E62" w:rsidTr="00567E62">
        <w:tc>
          <w:tcPr>
            <w:tcW w:w="3005" w:type="dxa"/>
          </w:tcPr>
          <w:p w:rsidR="00567E62" w:rsidRPr="00567E62" w:rsidRDefault="00567E62" w:rsidP="008D51A3">
            <w:pPr>
              <w:pStyle w:val="PullOutBoxBodyText"/>
            </w:pPr>
            <w:r w:rsidRPr="00567E62">
              <w:t>Date costing completed</w:t>
            </w:r>
          </w:p>
        </w:tc>
        <w:tc>
          <w:tcPr>
            <w:tcW w:w="5335" w:type="dxa"/>
          </w:tcPr>
          <w:p w:rsidR="00567E62" w:rsidRPr="00567E62" w:rsidRDefault="00567E62" w:rsidP="008D51A3">
            <w:pPr>
              <w:pStyle w:val="PullOutBoxBodyText"/>
            </w:pPr>
            <w:r w:rsidRPr="00567E62">
              <w:t>25 June 2016</w:t>
            </w:r>
          </w:p>
        </w:tc>
      </w:tr>
      <w:tr w:rsidR="00567E62" w:rsidRPr="00567E62" w:rsidTr="00567E62">
        <w:tc>
          <w:tcPr>
            <w:tcW w:w="3005" w:type="dxa"/>
          </w:tcPr>
          <w:p w:rsidR="00567E62" w:rsidRPr="00567E62" w:rsidRDefault="00567E62" w:rsidP="008D51A3">
            <w:pPr>
              <w:pStyle w:val="PullOutBoxBodyText"/>
            </w:pPr>
            <w:r w:rsidRPr="00567E62">
              <w:t>Expiry date for the costing:</w:t>
            </w:r>
          </w:p>
        </w:tc>
        <w:tc>
          <w:tcPr>
            <w:tcW w:w="5335" w:type="dxa"/>
          </w:tcPr>
          <w:p w:rsidR="00567E62" w:rsidRPr="00567E62" w:rsidRDefault="00567E62" w:rsidP="008D51A3">
            <w:pPr>
              <w:pStyle w:val="PullOutBoxBodyText"/>
            </w:pPr>
            <w:r w:rsidRPr="00567E62">
              <w:t>Release of the next economic and fiscal outlook report</w:t>
            </w:r>
          </w:p>
        </w:tc>
      </w:tr>
    </w:tbl>
    <w:p w:rsidR="00567E62" w:rsidRPr="00567E62" w:rsidRDefault="00567E62" w:rsidP="00905B06">
      <w:pPr>
        <w:pStyle w:val="CostingsH7"/>
        <w:rPr>
          <w:rFonts w:eastAsia="Calibri"/>
        </w:rPr>
      </w:pPr>
      <w:r w:rsidRPr="00567E62">
        <w:rPr>
          <w:rFonts w:eastAsia="Calibri"/>
        </w:rPr>
        <w:t>Costing overview</w:t>
      </w:r>
    </w:p>
    <w:p w:rsidR="00567E62" w:rsidRPr="00567E62" w:rsidRDefault="00567E62" w:rsidP="00E672F0">
      <w:pPr>
        <w:pStyle w:val="BodyText"/>
      </w:pPr>
      <w:r w:rsidRPr="00567E62">
        <w:t>This proposal has two components: an increase in the 2016-17 appropriation for ARENA; and a removal of the current restriction on ARENA entering into new contractual commitments.</w:t>
      </w:r>
    </w:p>
    <w:p w:rsidR="00567E62" w:rsidRPr="00567E62" w:rsidRDefault="00567E62" w:rsidP="00567E62">
      <w:pPr>
        <w:spacing w:before="114" w:after="114"/>
        <w:rPr>
          <w:rFonts w:ascii="Calibri" w:eastAsia="Calibri" w:hAnsi="Calibri" w:cs="Times New Roman"/>
        </w:rPr>
      </w:pPr>
      <w:r w:rsidRPr="00567E62">
        <w:rPr>
          <w:rFonts w:ascii="Calibri" w:eastAsia="Calibri" w:hAnsi="Calibri" w:cs="Times New Roman"/>
        </w:rPr>
        <w:t xml:space="preserve">The 2016-17 Budget measure, </w:t>
      </w:r>
      <w:r w:rsidRPr="00E672F0">
        <w:rPr>
          <w:rFonts w:cs="Times New Roman"/>
          <w:i/>
          <w:spacing w:val="-1"/>
        </w:rPr>
        <w:t>Clean and Renewable Energy Innovation – Clean Energy Finance Corporation and the Australian Renewable Energy Agency reversed the Australian Renewable Energy Agency (Repeal) Bill 2014</w:t>
      </w:r>
      <w:r w:rsidRPr="00567E62">
        <w:rPr>
          <w:rFonts w:ascii="Calibri" w:eastAsia="Calibri" w:hAnsi="Calibri" w:cs="Times New Roman"/>
        </w:rPr>
        <w:t>.  It did not, however, enable ARENA to undertake new spending commitments.</w:t>
      </w:r>
    </w:p>
    <w:p w:rsidR="00567E62" w:rsidRPr="00567E62" w:rsidRDefault="00567E62" w:rsidP="00761D0F">
      <w:pPr>
        <w:pStyle w:val="BodyText"/>
        <w:keepNext/>
        <w:keepLines/>
      </w:pPr>
      <w:r w:rsidRPr="00E672F0">
        <w:lastRenderedPageBreak/>
        <w:t>Increasing the 2016-17 appropriation does not of itself have a financial impact.  The budgetary impact only occurs when ARENA undertakes expenditure resulting in the</w:t>
      </w:r>
      <w:r w:rsidRPr="00567E62">
        <w:t xml:space="preserve"> appropriated funds leaving the general government sector.  A comparison of the current and proposed ARENA appropriation and expenditure profiles is provided at </w:t>
      </w:r>
      <w:r w:rsidRPr="00567E62">
        <w:rPr>
          <w:u w:val="single"/>
        </w:rPr>
        <w:t>Attachment A</w:t>
      </w:r>
      <w:r w:rsidRPr="00567E62">
        <w:t>.</w:t>
      </w:r>
    </w:p>
    <w:p w:rsidR="00567E62" w:rsidRPr="00567E62" w:rsidRDefault="00567E62" w:rsidP="00E672F0">
      <w:pPr>
        <w:pStyle w:val="BodyText"/>
      </w:pPr>
      <w:r w:rsidRPr="00567E62">
        <w:t>This proposal would be expected to decrease the fiscal and underlying cash balances by $1,029.3 million over the 2016-17 Budget forward estimates period.  This reflects an increase in administered expenditure of $1,012.7 and in departmental expenditure of $16.6 million.</w:t>
      </w:r>
    </w:p>
    <w:p w:rsidR="00567E62" w:rsidRPr="00567E62" w:rsidRDefault="00567E62" w:rsidP="00E672F0">
      <w:pPr>
        <w:pStyle w:val="BodyText"/>
      </w:pPr>
      <w:r w:rsidRPr="00567E62">
        <w:t xml:space="preserve">This proposal would have financial implications beyond the 2016-17 Budget forward estimates period.  The financial implications to 2022-23, the time at which the Parliamentary Budget Office (PBO) estimates ARENA would exhaust its legislated appropriation under this proposal, is provided at </w:t>
      </w:r>
      <w:r w:rsidRPr="00567E62">
        <w:rPr>
          <w:u w:val="single"/>
        </w:rPr>
        <w:t>Attachment B</w:t>
      </w:r>
      <w:r w:rsidRPr="00567E62">
        <w:t>.</w:t>
      </w:r>
    </w:p>
    <w:p w:rsidR="00567E62" w:rsidRPr="00567E62" w:rsidRDefault="00567E62" w:rsidP="00E672F0">
      <w:pPr>
        <w:pStyle w:val="BodyText"/>
      </w:pPr>
      <w:r w:rsidRPr="00567E62">
        <w:t xml:space="preserve">This costing is considered to be of medium reliability.  While information regarding prescribed changes in ARENA’s appropriation is known, estimates of future expenditure are less certain. </w:t>
      </w:r>
    </w:p>
    <w:p w:rsidR="00567E62" w:rsidRPr="00567E62" w:rsidRDefault="00567E62" w:rsidP="00905B06">
      <w:pPr>
        <w:pStyle w:val="Caption"/>
      </w:pPr>
      <w:r w:rsidRPr="00567E62">
        <w:t>Table 1: Financial implications (outturn prices)</w:t>
      </w:r>
      <w:r w:rsidRPr="00567E62">
        <w:rPr>
          <w:vertAlign w:val="superscript"/>
        </w:rPr>
        <w:t>(a)</w:t>
      </w:r>
    </w:p>
    <w:tbl>
      <w:tblPr>
        <w:tblStyle w:val="TableGrid16"/>
        <w:tblW w:w="4993" w:type="pct"/>
        <w:tblLook w:val="04A0" w:firstRow="1" w:lastRow="0" w:firstColumn="1" w:lastColumn="0" w:noHBand="0" w:noVBand="1"/>
      </w:tblPr>
      <w:tblGrid>
        <w:gridCol w:w="2645"/>
        <w:gridCol w:w="1134"/>
        <w:gridCol w:w="1133"/>
        <w:gridCol w:w="1133"/>
        <w:gridCol w:w="1133"/>
        <w:gridCol w:w="1132"/>
      </w:tblGrid>
      <w:tr w:rsidR="00567E62" w:rsidRPr="00567E62" w:rsidTr="00567E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567E62" w:rsidRPr="00567E62" w:rsidRDefault="00567E62" w:rsidP="00567E62">
            <w:pPr>
              <w:keepNext/>
              <w:keepLines/>
              <w:spacing w:line="240" w:lineRule="auto"/>
              <w:ind w:left="57" w:right="57"/>
              <w:rPr>
                <w:szCs w:val="20"/>
              </w:rPr>
            </w:pPr>
            <w:r w:rsidRPr="00567E62">
              <w:rPr>
                <w:szCs w:val="20"/>
              </w:rPr>
              <w:t>Impact on ($m)</w:t>
            </w:r>
          </w:p>
        </w:tc>
        <w:tc>
          <w:tcPr>
            <w:tcW w:w="682" w:type="pct"/>
          </w:tcPr>
          <w:p w:rsidR="00567E62" w:rsidRPr="00567E62" w:rsidRDefault="00567E62" w:rsidP="00567E62">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67E62">
              <w:rPr>
                <w:szCs w:val="20"/>
              </w:rPr>
              <w:t>2016–17</w:t>
            </w:r>
          </w:p>
        </w:tc>
        <w:tc>
          <w:tcPr>
            <w:tcW w:w="682" w:type="pct"/>
          </w:tcPr>
          <w:p w:rsidR="00567E62" w:rsidRPr="00567E62" w:rsidRDefault="00567E62" w:rsidP="00567E62">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67E62">
              <w:rPr>
                <w:szCs w:val="20"/>
              </w:rPr>
              <w:t>2017–18</w:t>
            </w:r>
          </w:p>
        </w:tc>
        <w:tc>
          <w:tcPr>
            <w:tcW w:w="682" w:type="pct"/>
          </w:tcPr>
          <w:p w:rsidR="00567E62" w:rsidRPr="00567E62" w:rsidRDefault="00567E62" w:rsidP="00567E62">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67E62">
              <w:rPr>
                <w:szCs w:val="20"/>
              </w:rPr>
              <w:t>2018–19</w:t>
            </w:r>
          </w:p>
        </w:tc>
        <w:tc>
          <w:tcPr>
            <w:tcW w:w="682" w:type="pct"/>
          </w:tcPr>
          <w:p w:rsidR="00567E62" w:rsidRPr="00567E62" w:rsidRDefault="00567E62" w:rsidP="00567E62">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67E62">
              <w:rPr>
                <w:szCs w:val="20"/>
              </w:rPr>
              <w:t>2019–20</w:t>
            </w:r>
          </w:p>
        </w:tc>
        <w:tc>
          <w:tcPr>
            <w:tcW w:w="681" w:type="pct"/>
          </w:tcPr>
          <w:p w:rsidR="00567E62" w:rsidRPr="00567E62" w:rsidRDefault="00567E62" w:rsidP="00567E62">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67E62">
              <w:rPr>
                <w:b/>
                <w:szCs w:val="20"/>
              </w:rPr>
              <w:t>Total</w:t>
            </w:r>
          </w:p>
        </w:tc>
      </w:tr>
      <w:tr w:rsidR="00567E62" w:rsidRPr="00567E62" w:rsidTr="00567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567E62" w:rsidRPr="00567E62" w:rsidRDefault="00567E62" w:rsidP="00567E62">
            <w:pPr>
              <w:keepNext/>
              <w:keepLines/>
              <w:ind w:left="57" w:right="57"/>
              <w:rPr>
                <w:szCs w:val="20"/>
              </w:rPr>
            </w:pPr>
            <w:r w:rsidRPr="00567E62">
              <w:rPr>
                <w:szCs w:val="20"/>
              </w:rPr>
              <w:t>Fiscal balance</w:t>
            </w:r>
          </w:p>
        </w:tc>
        <w:tc>
          <w:tcPr>
            <w:tcW w:w="682" w:type="pct"/>
          </w:tcPr>
          <w:p w:rsidR="00567E62" w:rsidRPr="00567E62" w:rsidRDefault="00567E62" w:rsidP="00567E62">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67E62">
              <w:rPr>
                <w:rFonts w:ascii="Calibri" w:hAnsi="Calibri"/>
              </w:rPr>
              <w:t>-</w:t>
            </w:r>
          </w:p>
        </w:tc>
        <w:tc>
          <w:tcPr>
            <w:tcW w:w="682" w:type="pct"/>
          </w:tcPr>
          <w:p w:rsidR="00567E62" w:rsidRPr="00567E62" w:rsidRDefault="00567E62" w:rsidP="00567E62">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67E62">
              <w:rPr>
                <w:rFonts w:ascii="Calibri" w:hAnsi="Calibri"/>
              </w:rPr>
              <w:t>-379.5</w:t>
            </w:r>
          </w:p>
        </w:tc>
        <w:tc>
          <w:tcPr>
            <w:tcW w:w="682" w:type="pct"/>
          </w:tcPr>
          <w:p w:rsidR="00567E62" w:rsidRPr="00567E62" w:rsidRDefault="00567E62" w:rsidP="00567E62">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67E62">
              <w:rPr>
                <w:rFonts w:ascii="Calibri" w:hAnsi="Calibri"/>
              </w:rPr>
              <w:t>-258.5</w:t>
            </w:r>
          </w:p>
        </w:tc>
        <w:tc>
          <w:tcPr>
            <w:tcW w:w="682" w:type="pct"/>
          </w:tcPr>
          <w:p w:rsidR="00567E62" w:rsidRPr="00567E62" w:rsidRDefault="00567E62" w:rsidP="00567E62">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67E62">
              <w:rPr>
                <w:rFonts w:ascii="Calibri" w:hAnsi="Calibri"/>
              </w:rPr>
              <w:t>-391.2</w:t>
            </w:r>
          </w:p>
        </w:tc>
        <w:tc>
          <w:tcPr>
            <w:tcW w:w="681" w:type="pct"/>
          </w:tcPr>
          <w:p w:rsidR="00567E62" w:rsidRPr="00567E62" w:rsidRDefault="00567E62" w:rsidP="00567E62">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67E62">
              <w:rPr>
                <w:rFonts w:ascii="Calibri" w:hAnsi="Calibri"/>
              </w:rPr>
              <w:t>-1,029.3</w:t>
            </w:r>
          </w:p>
        </w:tc>
      </w:tr>
      <w:tr w:rsidR="00567E62" w:rsidRPr="00567E62" w:rsidTr="00567E62">
        <w:tc>
          <w:tcPr>
            <w:cnfStyle w:val="001000000000" w:firstRow="0" w:lastRow="0" w:firstColumn="1" w:lastColumn="0" w:oddVBand="0" w:evenVBand="0" w:oddHBand="0" w:evenHBand="0" w:firstRowFirstColumn="0" w:firstRowLastColumn="0" w:lastRowFirstColumn="0" w:lastRowLastColumn="0"/>
            <w:tcW w:w="1591" w:type="pct"/>
          </w:tcPr>
          <w:p w:rsidR="00567E62" w:rsidRPr="00567E62" w:rsidRDefault="00567E62" w:rsidP="00567E62">
            <w:pPr>
              <w:keepNext/>
              <w:keepLines/>
              <w:ind w:left="57" w:right="57"/>
              <w:rPr>
                <w:szCs w:val="20"/>
              </w:rPr>
            </w:pPr>
            <w:r w:rsidRPr="00567E62">
              <w:rPr>
                <w:szCs w:val="20"/>
              </w:rPr>
              <w:t>Underlying cash balance</w:t>
            </w:r>
          </w:p>
        </w:tc>
        <w:tc>
          <w:tcPr>
            <w:tcW w:w="68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w:t>
            </w:r>
          </w:p>
        </w:tc>
        <w:tc>
          <w:tcPr>
            <w:tcW w:w="68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-379.5</w:t>
            </w:r>
          </w:p>
        </w:tc>
        <w:tc>
          <w:tcPr>
            <w:tcW w:w="68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-258.5</w:t>
            </w:r>
          </w:p>
        </w:tc>
        <w:tc>
          <w:tcPr>
            <w:tcW w:w="68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-391.2</w:t>
            </w:r>
          </w:p>
        </w:tc>
        <w:tc>
          <w:tcPr>
            <w:tcW w:w="681"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-1,029.3</w:t>
            </w:r>
          </w:p>
        </w:tc>
      </w:tr>
    </w:tbl>
    <w:p w:rsidR="00567E62" w:rsidRPr="002B657C" w:rsidRDefault="00567E62" w:rsidP="000B5C96">
      <w:pPr>
        <w:pStyle w:val="Footnotes"/>
        <w:numPr>
          <w:ilvl w:val="0"/>
          <w:numId w:val="52"/>
        </w:numPr>
        <w:ind w:left="284" w:hanging="284"/>
      </w:pPr>
      <w:r w:rsidRPr="002B657C">
        <w:t>A positive number indicates an increase in the relevant budget balance, a negative number a decrease.</w:t>
      </w:r>
    </w:p>
    <w:p w:rsidR="00567E62" w:rsidRPr="00567E62" w:rsidRDefault="00567E62" w:rsidP="000B5C96">
      <w:pPr>
        <w:pStyle w:val="Footnotes"/>
        <w:numPr>
          <w:ilvl w:val="0"/>
          <w:numId w:val="33"/>
        </w:numPr>
        <w:ind w:left="284" w:hanging="284"/>
      </w:pPr>
      <w:r w:rsidRPr="00567E62">
        <w:tab/>
        <w:t>Indicates nil.</w:t>
      </w:r>
    </w:p>
    <w:p w:rsidR="00567E62" w:rsidRPr="00567E62" w:rsidRDefault="00567E62" w:rsidP="00905B06">
      <w:pPr>
        <w:pStyle w:val="CostingsH7"/>
        <w:rPr>
          <w:rFonts w:eastAsia="Calibri"/>
        </w:rPr>
      </w:pPr>
      <w:r w:rsidRPr="00567E62">
        <w:rPr>
          <w:rFonts w:eastAsia="Calibri"/>
        </w:rPr>
        <w:t>Key assumptions</w:t>
      </w:r>
    </w:p>
    <w:p w:rsidR="00567E62" w:rsidRPr="00567E62" w:rsidRDefault="00567E62" w:rsidP="00E672F0">
      <w:pPr>
        <w:pStyle w:val="BodyText"/>
        <w:rPr>
          <w:b/>
        </w:rPr>
      </w:pPr>
      <w:r w:rsidRPr="00567E62">
        <w:t xml:space="preserve">In costing this proposal it has been assumed that: </w:t>
      </w:r>
    </w:p>
    <w:p w:rsidR="00567E62" w:rsidRPr="00567E62" w:rsidRDefault="00567E62" w:rsidP="00E672F0">
      <w:pPr>
        <w:pStyle w:val="ListBullet"/>
        <w:rPr>
          <w:lang w:eastAsia="en-AU"/>
        </w:rPr>
      </w:pPr>
      <w:r w:rsidRPr="00567E62">
        <w:rPr>
          <w:lang w:eastAsia="en-AU"/>
        </w:rPr>
        <w:t xml:space="preserve">increases in appropriation available in 2016-17 would have no impact on commitments in that year.  This reflects advice from the Department of the Environment regarding the considerable timeframes associated with developing and committing to particular projects. </w:t>
      </w:r>
    </w:p>
    <w:p w:rsidR="00567E62" w:rsidRPr="00567E62" w:rsidRDefault="00567E62" w:rsidP="00E23A5E">
      <w:pPr>
        <w:pStyle w:val="ListBullet"/>
        <w:rPr>
          <w:lang w:eastAsia="en-AU"/>
        </w:rPr>
      </w:pPr>
      <w:r w:rsidRPr="00567E62">
        <w:rPr>
          <w:lang w:eastAsia="en-AU"/>
        </w:rPr>
        <w:t xml:space="preserve">ARENA would also undertake its role to jointly manage the Clean Energy Innovation Fund (as outlined in 2016-17 Budget measure, </w:t>
      </w:r>
      <w:r w:rsidRPr="00E672F0">
        <w:rPr>
          <w:i/>
        </w:rPr>
        <w:t>Clean and Renewable Energy Innovation – Clean Energy Finance Corporation and the Australian Renewable Energy Agency)</w:t>
      </w:r>
      <w:r w:rsidRPr="00567E62">
        <w:rPr>
          <w:lang w:eastAsia="en-AU"/>
        </w:rPr>
        <w:t>.</w:t>
      </w:r>
    </w:p>
    <w:p w:rsidR="00567E62" w:rsidRPr="00567E62" w:rsidRDefault="00567E62" w:rsidP="00905B06">
      <w:pPr>
        <w:pStyle w:val="CostingsH7"/>
        <w:rPr>
          <w:rFonts w:eastAsia="Calibri"/>
        </w:rPr>
      </w:pPr>
      <w:r w:rsidRPr="00567E62">
        <w:rPr>
          <w:rFonts w:eastAsia="Calibri"/>
        </w:rPr>
        <w:t>Methodology</w:t>
      </w:r>
    </w:p>
    <w:p w:rsidR="00567E62" w:rsidRPr="00567E62" w:rsidRDefault="00567E62" w:rsidP="00567E62">
      <w:pPr>
        <w:spacing w:before="114" w:after="114"/>
        <w:rPr>
          <w:rFonts w:ascii="Calibri" w:eastAsia="Calibri" w:hAnsi="Calibri" w:cs="Times New Roman"/>
        </w:rPr>
      </w:pPr>
      <w:r w:rsidRPr="00567E62">
        <w:rPr>
          <w:rFonts w:ascii="Calibri" w:eastAsia="Calibri" w:hAnsi="Calibri" w:cs="Times New Roman"/>
        </w:rPr>
        <w:t xml:space="preserve">Consistent with the policy specification, the 2016-17 appropriation for ARENA was increased from the level outlined in Schedule 5 of the </w:t>
      </w:r>
      <w:r w:rsidRPr="00E672F0">
        <w:rPr>
          <w:rFonts w:cs="Times New Roman"/>
          <w:i/>
          <w:spacing w:val="-1"/>
        </w:rPr>
        <w:t>Clean Energy Legislation (Carbon Tax Repeal) Act 2014</w:t>
      </w:r>
      <w:r w:rsidRPr="00567E62">
        <w:rPr>
          <w:rFonts w:ascii="Calibri" w:eastAsia="Calibri" w:hAnsi="Calibri" w:cs="Times New Roman"/>
        </w:rPr>
        <w:t xml:space="preserve"> to the level outlined in the </w:t>
      </w:r>
      <w:r w:rsidRPr="00E672F0">
        <w:rPr>
          <w:rFonts w:cs="Times New Roman"/>
          <w:i/>
          <w:spacing w:val="-1"/>
        </w:rPr>
        <w:t>Australian Renewable Energy Agency Act 2011</w:t>
      </w:r>
      <w:r w:rsidR="00E672F0">
        <w:rPr>
          <w:rFonts w:ascii="Calibri" w:eastAsia="Calibri" w:hAnsi="Calibri" w:cs="Times New Roman"/>
        </w:rPr>
        <w:t>.</w:t>
      </w:r>
    </w:p>
    <w:p w:rsidR="00567E62" w:rsidRPr="00567E62" w:rsidRDefault="00567E62" w:rsidP="00E672F0">
      <w:pPr>
        <w:pStyle w:val="BodyText"/>
      </w:pPr>
      <w:r w:rsidRPr="00567E62">
        <w:t>Departmental expenditure was increased in line with the increase in administered expenditure.</w:t>
      </w:r>
    </w:p>
    <w:p w:rsidR="00567E62" w:rsidRPr="00567E62" w:rsidRDefault="00567E62" w:rsidP="00905B06">
      <w:pPr>
        <w:pStyle w:val="CostingsH7"/>
        <w:rPr>
          <w:rFonts w:eastAsia="Calibri"/>
        </w:rPr>
      </w:pPr>
      <w:r w:rsidRPr="00567E62">
        <w:rPr>
          <w:rFonts w:eastAsia="Calibri"/>
        </w:rPr>
        <w:lastRenderedPageBreak/>
        <w:t>Data sources</w:t>
      </w:r>
    </w:p>
    <w:p w:rsidR="00567E62" w:rsidRPr="00567E62" w:rsidRDefault="00567E62" w:rsidP="00E672F0">
      <w:pPr>
        <w:pStyle w:val="ListBullet"/>
        <w:rPr>
          <w:lang w:eastAsia="en-AU"/>
        </w:rPr>
      </w:pPr>
      <w:r w:rsidRPr="00567E62">
        <w:rPr>
          <w:lang w:eastAsia="en-AU"/>
        </w:rPr>
        <w:t>The Department of the Environment provided data on projected ARENA investments and on the available balance from rolled over unused appropriation for the 2016-17 Budget forward estimates period.</w:t>
      </w:r>
    </w:p>
    <w:p w:rsidR="00567E62" w:rsidRPr="00567E62" w:rsidRDefault="00567E62" w:rsidP="00E672F0">
      <w:pPr>
        <w:pStyle w:val="ListBullet"/>
        <w:rPr>
          <w:lang w:eastAsia="en-AU"/>
        </w:rPr>
      </w:pPr>
      <w:r w:rsidRPr="00567E62">
        <w:rPr>
          <w:lang w:eastAsia="en-AU"/>
        </w:rPr>
        <w:t xml:space="preserve">The Department of Finance provided indexation and efficiency dividend parameters. </w:t>
      </w:r>
    </w:p>
    <w:p w:rsidR="00567E62" w:rsidRPr="00567E62" w:rsidRDefault="00567E62" w:rsidP="00E672F0">
      <w:pPr>
        <w:pStyle w:val="ListBullet"/>
        <w:rPr>
          <w:lang w:eastAsia="en-AU"/>
        </w:rPr>
      </w:pPr>
      <w:r w:rsidRPr="00567E62">
        <w:rPr>
          <w:lang w:eastAsia="en-AU"/>
        </w:rPr>
        <w:t xml:space="preserve">The </w:t>
      </w:r>
      <w:r w:rsidRPr="00E672F0">
        <w:rPr>
          <w:i/>
        </w:rPr>
        <w:t>Australian Renewable Energy Act 2011</w:t>
      </w:r>
      <w:r w:rsidRPr="00567E62">
        <w:rPr>
          <w:lang w:eastAsia="en-AU"/>
        </w:rPr>
        <w:t xml:space="preserve">, </w:t>
      </w:r>
      <w:hyperlink r:id="rId123" w:history="1">
        <w:r w:rsidRPr="00567E62">
          <w:rPr>
            <w:color w:val="0000FF"/>
            <w:u w:val="single"/>
            <w:lang w:eastAsia="en-AU"/>
          </w:rPr>
          <w:t>https://www.comlaw.gov.au/Details/C2012C00629</w:t>
        </w:r>
        <w:r w:rsidRPr="00567E62">
          <w:rPr>
            <w:lang w:eastAsia="en-AU"/>
          </w:rPr>
          <w:t>.</w:t>
        </w:r>
      </w:hyperlink>
    </w:p>
    <w:p w:rsidR="00567E62" w:rsidRPr="00567E62" w:rsidRDefault="00567E62" w:rsidP="00E23A5E">
      <w:pPr>
        <w:pStyle w:val="ListBullet"/>
        <w:rPr>
          <w:color w:val="0000FF"/>
          <w:u w:val="single"/>
          <w:lang w:eastAsia="en-AU"/>
        </w:rPr>
      </w:pPr>
      <w:r w:rsidRPr="00567E62">
        <w:rPr>
          <w:lang w:eastAsia="en-AU"/>
        </w:rPr>
        <w:t xml:space="preserve">The </w:t>
      </w:r>
      <w:r w:rsidRPr="00E672F0">
        <w:rPr>
          <w:i/>
        </w:rPr>
        <w:t>Clean Energy Legislation (Carbon Tax Repeal) Act 2014</w:t>
      </w:r>
      <w:r w:rsidRPr="00567E62">
        <w:rPr>
          <w:lang w:eastAsia="en-AU"/>
        </w:rPr>
        <w:t xml:space="preserve">, </w:t>
      </w:r>
      <w:hyperlink r:id="rId124" w:history="1">
        <w:r w:rsidRPr="00567E62">
          <w:rPr>
            <w:color w:val="0000FF"/>
            <w:u w:val="single"/>
            <w:lang w:eastAsia="en-AU"/>
          </w:rPr>
          <w:t>https://www.comlaw.gov.au/Details/C2014A00083</w:t>
        </w:r>
      </w:hyperlink>
      <w:r w:rsidRPr="00567E62">
        <w:rPr>
          <w:lang w:eastAsia="en-AU"/>
        </w:rPr>
        <w:t>.</w:t>
      </w:r>
    </w:p>
    <w:p w:rsidR="00567E62" w:rsidRDefault="00567E62" w:rsidP="00E672F0">
      <w:pPr>
        <w:pStyle w:val="BodyText"/>
        <w:rPr>
          <w:highlight w:val="yellow"/>
          <w:lang w:eastAsia="en-AU"/>
        </w:rPr>
      </w:pPr>
    </w:p>
    <w:p w:rsidR="00CB3767" w:rsidRPr="00567E62" w:rsidRDefault="00CB3767" w:rsidP="00E672F0">
      <w:pPr>
        <w:pStyle w:val="BodyText"/>
        <w:rPr>
          <w:highlight w:val="yellow"/>
          <w:lang w:eastAsia="en-AU"/>
        </w:rPr>
        <w:sectPr w:rsidR="00CB3767" w:rsidRPr="00567E62" w:rsidSect="00E8358C">
          <w:pgSz w:w="11906" w:h="16838"/>
          <w:pgMar w:top="1361" w:right="1797" w:bottom="1474" w:left="1797" w:header="283" w:footer="454" w:gutter="0"/>
          <w:cols w:space="708"/>
          <w:docGrid w:linePitch="360"/>
        </w:sectPr>
      </w:pPr>
    </w:p>
    <w:p w:rsidR="00567E62" w:rsidRPr="00567E62" w:rsidRDefault="00567E62" w:rsidP="008D51A3">
      <w:pPr>
        <w:pStyle w:val="Heading6"/>
        <w:rPr>
          <w:rFonts w:eastAsia="Calibri"/>
        </w:rPr>
      </w:pPr>
      <w:r w:rsidRPr="00567E62">
        <w:rPr>
          <w:rFonts w:eastAsia="Calibri"/>
        </w:rPr>
        <w:lastRenderedPageBreak/>
        <w:t>Attachment A: ARENA appropriation and expenditure profiles</w:t>
      </w:r>
    </w:p>
    <w:p w:rsidR="00567E62" w:rsidRPr="00567E62" w:rsidRDefault="00567E62" w:rsidP="00905B06">
      <w:pPr>
        <w:pStyle w:val="Caption"/>
      </w:pPr>
      <w:r w:rsidRPr="00567E62">
        <w:t>Table A1: ARENA appropriation and expenditure profiles – baseline, proposed policy and deviation</w:t>
      </w:r>
      <w:r w:rsidRPr="00567E62">
        <w:rPr>
          <w:vertAlign w:val="superscript"/>
        </w:rPr>
        <w:t>(a)</w:t>
      </w:r>
    </w:p>
    <w:tbl>
      <w:tblPr>
        <w:tblStyle w:val="TableGrid16"/>
        <w:tblW w:w="5000" w:type="pct"/>
        <w:tblLayout w:type="fixed"/>
        <w:tblLook w:val="0680" w:firstRow="0" w:lastRow="0" w:firstColumn="1" w:lastColumn="0" w:noHBand="1" w:noVBand="1"/>
      </w:tblPr>
      <w:tblGrid>
        <w:gridCol w:w="3089"/>
        <w:gridCol w:w="1008"/>
        <w:gridCol w:w="1145"/>
        <w:gridCol w:w="1145"/>
        <w:gridCol w:w="1145"/>
        <w:gridCol w:w="1145"/>
        <w:gridCol w:w="1145"/>
        <w:gridCol w:w="1145"/>
        <w:gridCol w:w="1145"/>
        <w:gridCol w:w="1142"/>
      </w:tblGrid>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65" w:type="pct"/>
            <w:shd w:val="clear" w:color="auto" w:fill="D7DDE9"/>
          </w:tcPr>
          <w:p w:rsidR="00567E62" w:rsidRPr="00567E62" w:rsidRDefault="00567E62" w:rsidP="00567E62">
            <w:pPr>
              <w:keepNext/>
              <w:keepLines/>
              <w:ind w:left="57" w:right="57"/>
            </w:pPr>
            <w:r w:rsidRPr="00567E62">
              <w:t>($m)</w:t>
            </w:r>
          </w:p>
        </w:tc>
        <w:tc>
          <w:tcPr>
            <w:tcW w:w="380" w:type="pct"/>
            <w:shd w:val="clear" w:color="auto" w:fill="D7DDE9"/>
          </w:tcPr>
          <w:p w:rsidR="00567E62" w:rsidRPr="00567E62" w:rsidRDefault="00567E62" w:rsidP="00567E62">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2016–17</w:t>
            </w:r>
          </w:p>
        </w:tc>
        <w:tc>
          <w:tcPr>
            <w:tcW w:w="432" w:type="pct"/>
            <w:shd w:val="clear" w:color="auto" w:fill="D7DDE9"/>
          </w:tcPr>
          <w:p w:rsidR="00567E62" w:rsidRPr="00567E62" w:rsidRDefault="00567E62" w:rsidP="00567E62">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2017–18</w:t>
            </w:r>
          </w:p>
        </w:tc>
        <w:tc>
          <w:tcPr>
            <w:tcW w:w="432" w:type="pct"/>
            <w:shd w:val="clear" w:color="auto" w:fill="D7DDE9"/>
          </w:tcPr>
          <w:p w:rsidR="00567E62" w:rsidRPr="00567E62" w:rsidRDefault="00567E62" w:rsidP="00567E62">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2018–19</w:t>
            </w:r>
          </w:p>
        </w:tc>
        <w:tc>
          <w:tcPr>
            <w:tcW w:w="432" w:type="pct"/>
            <w:shd w:val="clear" w:color="auto" w:fill="D7DDE9"/>
          </w:tcPr>
          <w:p w:rsidR="00567E62" w:rsidRPr="00567E62" w:rsidRDefault="00567E62" w:rsidP="00567E62">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2019–20</w:t>
            </w:r>
          </w:p>
        </w:tc>
        <w:tc>
          <w:tcPr>
            <w:tcW w:w="432" w:type="pct"/>
            <w:shd w:val="clear" w:color="auto" w:fill="D7DDE9"/>
          </w:tcPr>
          <w:p w:rsidR="00567E62" w:rsidRPr="00567E62" w:rsidRDefault="00567E62" w:rsidP="00567E62">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67E62">
              <w:rPr>
                <w:rFonts w:ascii="Calibri" w:hAnsi="Calibri"/>
                <w:b/>
              </w:rPr>
              <w:t>Total to 2019–20</w:t>
            </w:r>
          </w:p>
        </w:tc>
        <w:tc>
          <w:tcPr>
            <w:tcW w:w="432" w:type="pct"/>
            <w:shd w:val="clear" w:color="auto" w:fill="D7DDE9"/>
          </w:tcPr>
          <w:p w:rsidR="00567E62" w:rsidRPr="00567E62" w:rsidRDefault="00567E62" w:rsidP="00567E62">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2020–21</w:t>
            </w:r>
          </w:p>
        </w:tc>
        <w:tc>
          <w:tcPr>
            <w:tcW w:w="432" w:type="pct"/>
            <w:shd w:val="clear" w:color="auto" w:fill="D7DDE9"/>
          </w:tcPr>
          <w:p w:rsidR="00567E62" w:rsidRPr="00567E62" w:rsidRDefault="00567E62" w:rsidP="00567E62">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2021–22</w:t>
            </w:r>
          </w:p>
        </w:tc>
        <w:tc>
          <w:tcPr>
            <w:tcW w:w="432" w:type="pct"/>
            <w:shd w:val="clear" w:color="auto" w:fill="D7DDE9"/>
          </w:tcPr>
          <w:p w:rsidR="00567E62" w:rsidRPr="00567E62" w:rsidRDefault="00567E62" w:rsidP="00567E62">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2022–23</w:t>
            </w:r>
          </w:p>
        </w:tc>
        <w:tc>
          <w:tcPr>
            <w:tcW w:w="430" w:type="pct"/>
            <w:shd w:val="clear" w:color="auto" w:fill="D7DDE9"/>
          </w:tcPr>
          <w:p w:rsidR="00567E62" w:rsidRPr="00567E62" w:rsidRDefault="00567E62" w:rsidP="00567E62">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67E62">
              <w:rPr>
                <w:rFonts w:ascii="Calibri" w:hAnsi="Calibri"/>
                <w:b/>
              </w:rPr>
              <w:t>Total to 2022–23</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EEF1F6"/>
          </w:tcPr>
          <w:p w:rsidR="00567E62" w:rsidRPr="00567E62" w:rsidRDefault="00567E62" w:rsidP="00567E62">
            <w:pPr>
              <w:ind w:left="57" w:right="57"/>
              <w:rPr>
                <w:b/>
              </w:rPr>
            </w:pPr>
            <w:r w:rsidRPr="00567E62">
              <w:rPr>
                <w:b/>
              </w:rPr>
              <w:t>Baseline</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65" w:type="pct"/>
            <w:vAlign w:val="bottom"/>
          </w:tcPr>
          <w:p w:rsidR="00567E62" w:rsidRPr="00567E62" w:rsidRDefault="00567E62" w:rsidP="00567E62">
            <w:pPr>
              <w:ind w:left="57" w:right="57"/>
              <w:rPr>
                <w:color w:val="000000"/>
              </w:rPr>
            </w:pPr>
            <w:r w:rsidRPr="00567E62">
              <w:rPr>
                <w:color w:val="000000"/>
              </w:rPr>
              <w:t>Opening balance of appropriation</w:t>
            </w:r>
            <w:r w:rsidRPr="00567E62">
              <w:rPr>
                <w:color w:val="000000"/>
                <w:vertAlign w:val="superscript"/>
              </w:rPr>
              <w:t>(b)</w:t>
            </w:r>
          </w:p>
        </w:tc>
        <w:tc>
          <w:tcPr>
            <w:tcW w:w="38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193.4</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52.9</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436.0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597.0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N/A</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1,038.6</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1,154.4</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1,274.6</w:t>
            </w:r>
          </w:p>
        </w:tc>
        <w:tc>
          <w:tcPr>
            <w:tcW w:w="43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N/A</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65" w:type="pct"/>
            <w:vAlign w:val="bottom"/>
          </w:tcPr>
          <w:p w:rsidR="00567E62" w:rsidRPr="00567E62" w:rsidRDefault="00567E62" w:rsidP="00567E62">
            <w:pPr>
              <w:ind w:left="57" w:right="57"/>
              <w:rPr>
                <w:color w:val="000000"/>
              </w:rPr>
            </w:pPr>
            <w:r w:rsidRPr="00567E62">
              <w:rPr>
                <w:color w:val="000000"/>
              </w:rPr>
              <w:t>New appropriation</w:t>
            </w:r>
            <w:r w:rsidRPr="00567E62">
              <w:rPr>
                <w:color w:val="000000"/>
                <w:vertAlign w:val="superscript"/>
              </w:rPr>
              <w:t>(b)</w:t>
            </w:r>
          </w:p>
        </w:tc>
        <w:tc>
          <w:tcPr>
            <w:tcW w:w="38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57.0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499.9</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237.0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468.3</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1,262.2</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135.0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135.0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w:t>
            </w:r>
          </w:p>
        </w:tc>
        <w:tc>
          <w:tcPr>
            <w:tcW w:w="43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1,532.2</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65" w:type="pct"/>
            <w:vAlign w:val="bottom"/>
          </w:tcPr>
          <w:p w:rsidR="00567E62" w:rsidRPr="00567E62" w:rsidRDefault="00567E62" w:rsidP="00567E62">
            <w:pPr>
              <w:ind w:left="57" w:right="57"/>
              <w:rPr>
                <w:color w:val="000000"/>
              </w:rPr>
            </w:pPr>
            <w:r w:rsidRPr="00567E62">
              <w:rPr>
                <w:color w:val="000000"/>
              </w:rPr>
              <w:t>Expenditure</w:t>
            </w:r>
          </w:p>
        </w:tc>
        <w:tc>
          <w:tcPr>
            <w:tcW w:w="38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-197.5</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-116.8</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-76.0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-26.7</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-417.0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-19.2</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-14.8</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w:t>
            </w:r>
          </w:p>
        </w:tc>
        <w:tc>
          <w:tcPr>
            <w:tcW w:w="43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-451.0</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65" w:type="pct"/>
            <w:vAlign w:val="bottom"/>
          </w:tcPr>
          <w:p w:rsidR="00567E62" w:rsidRPr="00567E62" w:rsidRDefault="00567E62" w:rsidP="00567E62">
            <w:pPr>
              <w:ind w:left="57" w:right="57"/>
              <w:rPr>
                <w:color w:val="000000"/>
              </w:rPr>
            </w:pPr>
            <w:r w:rsidRPr="00567E62">
              <w:rPr>
                <w:color w:val="000000"/>
              </w:rPr>
              <w:t>Closing balance of appropriation</w:t>
            </w:r>
            <w:r w:rsidRPr="00567E62">
              <w:rPr>
                <w:color w:val="000000"/>
                <w:vertAlign w:val="superscript"/>
              </w:rPr>
              <w:t>(b)</w:t>
            </w:r>
          </w:p>
        </w:tc>
        <w:tc>
          <w:tcPr>
            <w:tcW w:w="38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52.9</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436.0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597.0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1,038.6</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N/A</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1,154.4</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1,274.6</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1,274.6</w:t>
            </w:r>
          </w:p>
        </w:tc>
        <w:tc>
          <w:tcPr>
            <w:tcW w:w="43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N/A</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EEF1F6"/>
          </w:tcPr>
          <w:p w:rsidR="00567E62" w:rsidRPr="00567E62" w:rsidRDefault="00567E62" w:rsidP="00567E62">
            <w:pPr>
              <w:ind w:left="57" w:right="57"/>
              <w:rPr>
                <w:b/>
              </w:rPr>
            </w:pPr>
            <w:r w:rsidRPr="00567E62">
              <w:rPr>
                <w:b/>
              </w:rPr>
              <w:t>Proposed policy</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65" w:type="pct"/>
          </w:tcPr>
          <w:p w:rsidR="00567E62" w:rsidRPr="00567E62" w:rsidRDefault="00567E62" w:rsidP="00567E62">
            <w:pPr>
              <w:ind w:left="57" w:right="57"/>
            </w:pPr>
            <w:r w:rsidRPr="00567E62">
              <w:t>Opening balance of appropriation</w:t>
            </w:r>
            <w:r w:rsidRPr="00567E62">
              <w:rPr>
                <w:color w:val="000000"/>
                <w:vertAlign w:val="superscript"/>
              </w:rPr>
              <w:t>(b)</w:t>
            </w:r>
          </w:p>
        </w:tc>
        <w:tc>
          <w:tcPr>
            <w:tcW w:w="38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193.4</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295.5</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299.1</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201.6</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N/A</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251.9</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145.5</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105.5</w:t>
            </w:r>
          </w:p>
        </w:tc>
        <w:tc>
          <w:tcPr>
            <w:tcW w:w="43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N/A</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65" w:type="pct"/>
          </w:tcPr>
          <w:p w:rsidR="00567E62" w:rsidRPr="00567E62" w:rsidRDefault="00567E62" w:rsidP="00567E62">
            <w:pPr>
              <w:ind w:left="57" w:right="57"/>
            </w:pPr>
            <w:r w:rsidRPr="00567E62">
              <w:t>New appropriation</w:t>
            </w:r>
            <w:r w:rsidRPr="00567E62">
              <w:rPr>
                <w:color w:val="000000"/>
                <w:vertAlign w:val="superscript"/>
              </w:rPr>
              <w:t>(b)</w:t>
            </w:r>
          </w:p>
        </w:tc>
        <w:tc>
          <w:tcPr>
            <w:tcW w:w="38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299.6</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499.9</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237.0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468.3</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1,504.8</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135.0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135.0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w:t>
            </w:r>
          </w:p>
        </w:tc>
        <w:tc>
          <w:tcPr>
            <w:tcW w:w="43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1,774.8</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65" w:type="pct"/>
          </w:tcPr>
          <w:p w:rsidR="00567E62" w:rsidRPr="00567E62" w:rsidRDefault="00567E62" w:rsidP="00567E62">
            <w:pPr>
              <w:ind w:left="57" w:right="57"/>
            </w:pPr>
            <w:r w:rsidRPr="00567E62">
              <w:t>Expenditure</w:t>
            </w:r>
          </w:p>
        </w:tc>
        <w:tc>
          <w:tcPr>
            <w:tcW w:w="38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-197.5</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-496.3</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-334.5</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-418.0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-1,446.3</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-241.4</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-175.0</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-105.5</w:t>
            </w:r>
          </w:p>
        </w:tc>
        <w:tc>
          <w:tcPr>
            <w:tcW w:w="43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-1,968.2</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65" w:type="pct"/>
          </w:tcPr>
          <w:p w:rsidR="00567E62" w:rsidRPr="00567E62" w:rsidRDefault="00567E62" w:rsidP="00567E62">
            <w:pPr>
              <w:ind w:left="57" w:right="57"/>
            </w:pPr>
            <w:r w:rsidRPr="00567E62">
              <w:t>Closing balance of appropriation</w:t>
            </w:r>
            <w:r w:rsidRPr="00567E62">
              <w:rPr>
                <w:color w:val="000000"/>
                <w:vertAlign w:val="superscript"/>
              </w:rPr>
              <w:t>(b)</w:t>
            </w:r>
          </w:p>
        </w:tc>
        <w:tc>
          <w:tcPr>
            <w:tcW w:w="38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295.5</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299.1</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201.6</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251.9</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N/A</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145.5</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105.5</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w:t>
            </w:r>
          </w:p>
        </w:tc>
        <w:tc>
          <w:tcPr>
            <w:tcW w:w="43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N/A</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EEF1F6"/>
          </w:tcPr>
          <w:p w:rsidR="00567E62" w:rsidRPr="00567E62" w:rsidRDefault="00567E62" w:rsidP="00567E62">
            <w:pPr>
              <w:ind w:left="57" w:right="57"/>
              <w:rPr>
                <w:b/>
              </w:rPr>
            </w:pPr>
            <w:r w:rsidRPr="00567E62">
              <w:rPr>
                <w:b/>
              </w:rPr>
              <w:t>Deviation</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65" w:type="pct"/>
          </w:tcPr>
          <w:p w:rsidR="00567E62" w:rsidRPr="00567E62" w:rsidRDefault="00567E62" w:rsidP="00567E62">
            <w:pPr>
              <w:keepNext/>
              <w:keepLines/>
              <w:ind w:left="57" w:right="57"/>
            </w:pPr>
            <w:r w:rsidRPr="00567E62">
              <w:t>Expenditure</w:t>
            </w:r>
            <w:r w:rsidRPr="00567E62">
              <w:rPr>
                <w:color w:val="000000"/>
                <w:vertAlign w:val="superscript"/>
              </w:rPr>
              <w:t>(c)</w:t>
            </w:r>
          </w:p>
        </w:tc>
        <w:tc>
          <w:tcPr>
            <w:tcW w:w="38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-379.5</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-258.5</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-391.2</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-1,029.3</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-222.3</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-160.3</w:t>
            </w:r>
          </w:p>
        </w:tc>
        <w:tc>
          <w:tcPr>
            <w:tcW w:w="432"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-105.5</w:t>
            </w:r>
          </w:p>
        </w:tc>
        <w:tc>
          <w:tcPr>
            <w:tcW w:w="430" w:type="pct"/>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-1,517.3</w:t>
            </w:r>
          </w:p>
        </w:tc>
      </w:tr>
    </w:tbl>
    <w:p w:rsidR="00CB3767" w:rsidRDefault="00567E62" w:rsidP="000B5C96">
      <w:pPr>
        <w:pStyle w:val="Footnotes"/>
        <w:numPr>
          <w:ilvl w:val="0"/>
          <w:numId w:val="53"/>
        </w:numPr>
        <w:ind w:left="284" w:hanging="284"/>
      </w:pPr>
      <w:r w:rsidRPr="00CB3767">
        <w:t>Figures may not sum to totals due to rounding.</w:t>
      </w:r>
    </w:p>
    <w:p w:rsidR="00CB3767" w:rsidRDefault="00567E62" w:rsidP="000B5C96">
      <w:pPr>
        <w:pStyle w:val="Footnotes"/>
        <w:numPr>
          <w:ilvl w:val="0"/>
          <w:numId w:val="53"/>
        </w:numPr>
        <w:ind w:left="284" w:hanging="284"/>
      </w:pPr>
      <w:r w:rsidRPr="00CB3767">
        <w:t>Figures related to the level of or changes to the levels of appropriation relate to the stock of funding available to ARENA and do not reflect changes to the fiscal or underlying cash balances.</w:t>
      </w:r>
    </w:p>
    <w:p w:rsidR="00567E62" w:rsidRPr="00CB3767" w:rsidRDefault="00567E62" w:rsidP="000B5C96">
      <w:pPr>
        <w:pStyle w:val="Footnotes"/>
        <w:numPr>
          <w:ilvl w:val="0"/>
          <w:numId w:val="53"/>
        </w:numPr>
        <w:ind w:left="284" w:hanging="284"/>
      </w:pPr>
      <w:r w:rsidRPr="00CB3767">
        <w:t>A negative figure for expenditure indicates an increase in expenses and therefore a decrease in the fiscal and underlying cash balances.</w:t>
      </w:r>
    </w:p>
    <w:p w:rsidR="00CB3767" w:rsidRPr="00567E62" w:rsidRDefault="00567E62" w:rsidP="000B5C96">
      <w:pPr>
        <w:pStyle w:val="Footnotes"/>
        <w:numPr>
          <w:ilvl w:val="0"/>
          <w:numId w:val="33"/>
        </w:numPr>
        <w:ind w:left="284" w:hanging="284"/>
        <w:sectPr w:rsidR="00CB3767" w:rsidRPr="00567E62" w:rsidSect="00E8358C">
          <w:headerReference w:type="even" r:id="rId125"/>
          <w:headerReference w:type="default" r:id="rId126"/>
          <w:footerReference w:type="even" r:id="rId127"/>
          <w:footerReference w:type="default" r:id="rId128"/>
          <w:headerReference w:type="first" r:id="rId129"/>
          <w:footerReference w:type="first" r:id="rId130"/>
          <w:pgSz w:w="16838" w:h="11906" w:orient="landscape"/>
          <w:pgMar w:top="1361" w:right="1797" w:bottom="1474" w:left="1797" w:header="283" w:footer="454" w:gutter="0"/>
          <w:cols w:space="708"/>
          <w:docGrid w:linePitch="360"/>
        </w:sectPr>
      </w:pPr>
      <w:r w:rsidRPr="00567E62">
        <w:tab/>
        <w:t>Indicates nil.</w:t>
      </w:r>
    </w:p>
    <w:p w:rsidR="00567E62" w:rsidRPr="00567E62" w:rsidRDefault="00567E62" w:rsidP="008D51A3">
      <w:pPr>
        <w:pStyle w:val="Heading6"/>
        <w:rPr>
          <w:rFonts w:eastAsia="Calibri"/>
        </w:rPr>
      </w:pPr>
      <w:r w:rsidRPr="00567E62">
        <w:rPr>
          <w:rFonts w:eastAsia="Calibri"/>
        </w:rPr>
        <w:lastRenderedPageBreak/>
        <w:t>Attachment B: Save ARENA from Labor and Liberal cuts—financial implications</w:t>
      </w:r>
    </w:p>
    <w:p w:rsidR="00567E62" w:rsidRPr="00567E62" w:rsidRDefault="00567E62" w:rsidP="00905B06">
      <w:pPr>
        <w:pStyle w:val="Caption"/>
      </w:pPr>
      <w:r w:rsidRPr="00567E62">
        <w:t>Table B1: Save ARENA from Labor and Liberal cuts—Financial implications (outturn prices)</w:t>
      </w:r>
      <w:r w:rsidRPr="00567E62">
        <w:rPr>
          <w:vertAlign w:val="superscript"/>
        </w:rPr>
        <w:t>(a)(b)</w:t>
      </w:r>
    </w:p>
    <w:tbl>
      <w:tblPr>
        <w:tblStyle w:val="TableGrid16"/>
        <w:tblW w:w="5000" w:type="pct"/>
        <w:tblLayout w:type="fixed"/>
        <w:tblLook w:val="0680" w:firstRow="0" w:lastRow="0" w:firstColumn="1" w:lastColumn="0" w:noHBand="1" w:noVBand="1"/>
      </w:tblPr>
      <w:tblGrid>
        <w:gridCol w:w="2957"/>
        <w:gridCol w:w="1146"/>
        <w:gridCol w:w="1145"/>
        <w:gridCol w:w="1145"/>
        <w:gridCol w:w="1145"/>
        <w:gridCol w:w="1145"/>
        <w:gridCol w:w="1145"/>
        <w:gridCol w:w="1145"/>
        <w:gridCol w:w="1145"/>
        <w:gridCol w:w="1137"/>
      </w:tblGrid>
      <w:tr w:rsidR="00567E62" w:rsidRPr="00567E62" w:rsidTr="00567E62">
        <w:trPr>
          <w:cantSplit/>
          <w:tblHeader/>
        </w:trPr>
        <w:tc>
          <w:tcPr>
            <w:cnfStyle w:val="001000000000" w:firstRow="0" w:lastRow="0" w:firstColumn="1" w:lastColumn="0" w:oddVBand="0" w:evenVBand="0" w:oddHBand="0" w:evenHBand="0" w:firstRowFirstColumn="0" w:firstRowLastColumn="0" w:lastRowFirstColumn="0" w:lastRowLastColumn="0"/>
            <w:tcW w:w="1115" w:type="pct"/>
            <w:shd w:val="clear" w:color="auto" w:fill="D7DDE9"/>
          </w:tcPr>
          <w:p w:rsidR="00567E62" w:rsidRPr="00567E62" w:rsidRDefault="00567E62" w:rsidP="00567E62">
            <w:pPr>
              <w:ind w:left="57" w:right="57"/>
            </w:pPr>
            <w:r w:rsidRPr="00567E62">
              <w:t>($m)</w:t>
            </w:r>
          </w:p>
        </w:tc>
        <w:tc>
          <w:tcPr>
            <w:tcW w:w="432" w:type="pct"/>
            <w:shd w:val="clear" w:color="auto" w:fill="D7DDE9"/>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2016–17</w:t>
            </w:r>
          </w:p>
        </w:tc>
        <w:tc>
          <w:tcPr>
            <w:tcW w:w="432" w:type="pct"/>
            <w:shd w:val="clear" w:color="auto" w:fill="D7DDE9"/>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2017–18</w:t>
            </w:r>
          </w:p>
        </w:tc>
        <w:tc>
          <w:tcPr>
            <w:tcW w:w="432" w:type="pct"/>
            <w:shd w:val="clear" w:color="auto" w:fill="D7DDE9"/>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2018–19</w:t>
            </w:r>
          </w:p>
        </w:tc>
        <w:tc>
          <w:tcPr>
            <w:tcW w:w="432" w:type="pct"/>
            <w:shd w:val="clear" w:color="auto" w:fill="D7DDE9"/>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2019–20</w:t>
            </w:r>
          </w:p>
        </w:tc>
        <w:tc>
          <w:tcPr>
            <w:tcW w:w="432" w:type="pct"/>
            <w:shd w:val="clear" w:color="auto" w:fill="D7DDE9"/>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67E62">
              <w:rPr>
                <w:rFonts w:ascii="Calibri" w:hAnsi="Calibri"/>
                <w:b/>
              </w:rPr>
              <w:t>Total to 2019–20</w:t>
            </w:r>
          </w:p>
        </w:tc>
        <w:tc>
          <w:tcPr>
            <w:tcW w:w="432" w:type="pct"/>
            <w:shd w:val="clear" w:color="auto" w:fill="D7DDE9"/>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2020–21</w:t>
            </w:r>
          </w:p>
        </w:tc>
        <w:tc>
          <w:tcPr>
            <w:tcW w:w="432" w:type="pct"/>
            <w:shd w:val="clear" w:color="auto" w:fill="D7DDE9"/>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2021–22</w:t>
            </w:r>
          </w:p>
        </w:tc>
        <w:tc>
          <w:tcPr>
            <w:tcW w:w="432" w:type="pct"/>
            <w:shd w:val="clear" w:color="auto" w:fill="D7DDE9"/>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67E62">
              <w:rPr>
                <w:rFonts w:ascii="Calibri" w:hAnsi="Calibri"/>
              </w:rPr>
              <w:t>2022–23</w:t>
            </w:r>
          </w:p>
        </w:tc>
        <w:tc>
          <w:tcPr>
            <w:tcW w:w="429" w:type="pct"/>
            <w:shd w:val="clear" w:color="auto" w:fill="D7DDE9"/>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67E62">
              <w:rPr>
                <w:rFonts w:ascii="Calibri" w:hAnsi="Calibri"/>
                <w:b/>
              </w:rPr>
              <w:t>Total to 2026–27</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E9ECF3"/>
          </w:tcPr>
          <w:p w:rsidR="00567E62" w:rsidRPr="00567E62" w:rsidRDefault="00567E62" w:rsidP="00567E62">
            <w:pPr>
              <w:ind w:left="57" w:right="57"/>
              <w:rPr>
                <w:b/>
                <w:bCs/>
                <w:color w:val="000000"/>
              </w:rPr>
            </w:pPr>
            <w:r w:rsidRPr="00567E62">
              <w:rPr>
                <w:b/>
                <w:bCs/>
                <w:color w:val="000000"/>
              </w:rPr>
              <w:t>Impact on fiscal and underlying cash balances</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15" w:type="pct"/>
          </w:tcPr>
          <w:p w:rsidR="00567E62" w:rsidRPr="00567E62" w:rsidRDefault="00567E62" w:rsidP="00567E62">
            <w:pPr>
              <w:ind w:left="57" w:right="57"/>
            </w:pPr>
            <w:r w:rsidRPr="00567E62">
              <w:t>Administered</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67E62">
              <w:rPr>
                <w:rFonts w:ascii="Calibri" w:hAnsi="Calibri"/>
                <w:color w:val="000000"/>
              </w:rPr>
              <w:t>-</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-372.9</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-255.7</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-384.1</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-1,012.7</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-219.9</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-159.7</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-102.6</w:t>
            </w:r>
          </w:p>
        </w:tc>
        <w:tc>
          <w:tcPr>
            <w:tcW w:w="429"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-1,494.9</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15" w:type="pct"/>
          </w:tcPr>
          <w:p w:rsidR="00567E62" w:rsidRPr="00567E62" w:rsidRDefault="00567E62" w:rsidP="00567E62">
            <w:pPr>
              <w:ind w:left="57" w:right="57"/>
            </w:pPr>
            <w:r w:rsidRPr="00567E62">
              <w:t>Departmental</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67E62">
              <w:rPr>
                <w:rFonts w:ascii="Calibri" w:hAnsi="Calibri"/>
                <w:color w:val="000000"/>
              </w:rPr>
              <w:t>-</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-6.6</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-2.8</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-7.1</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-16.6</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-2.4</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-0.6</w:t>
            </w:r>
          </w:p>
        </w:tc>
        <w:tc>
          <w:tcPr>
            <w:tcW w:w="432"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567E62">
              <w:rPr>
                <w:rFonts w:ascii="Calibri" w:hAnsi="Calibri"/>
                <w:i/>
                <w:color w:val="000000"/>
              </w:rPr>
              <w:t>-2.9</w:t>
            </w:r>
          </w:p>
        </w:tc>
        <w:tc>
          <w:tcPr>
            <w:tcW w:w="429" w:type="pct"/>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567E62">
              <w:rPr>
                <w:rFonts w:ascii="Calibri" w:hAnsi="Calibri"/>
                <w:b/>
                <w:bCs/>
                <w:i/>
                <w:color w:val="000000"/>
              </w:rPr>
              <w:t>-22.4</w:t>
            </w:r>
          </w:p>
        </w:tc>
      </w:tr>
      <w:tr w:rsidR="00567E62" w:rsidRPr="00567E62" w:rsidTr="00567E62">
        <w:trPr>
          <w:cantSplit/>
        </w:trPr>
        <w:tc>
          <w:tcPr>
            <w:cnfStyle w:val="001000000000" w:firstRow="0" w:lastRow="0" w:firstColumn="1" w:lastColumn="0" w:oddVBand="0" w:evenVBand="0" w:oddHBand="0" w:evenHBand="0" w:firstRowFirstColumn="0" w:firstRowLastColumn="0" w:lastRowFirstColumn="0" w:lastRowLastColumn="0"/>
            <w:tcW w:w="1115" w:type="pct"/>
            <w:shd w:val="clear" w:color="auto" w:fill="D7DDE9"/>
          </w:tcPr>
          <w:p w:rsidR="00567E62" w:rsidRPr="00567E62" w:rsidRDefault="00567E62" w:rsidP="00567E62">
            <w:pPr>
              <w:ind w:left="57" w:right="57"/>
              <w:rPr>
                <w:b/>
              </w:rPr>
            </w:pPr>
            <w:r w:rsidRPr="00567E62">
              <w:rPr>
                <w:b/>
              </w:rPr>
              <w:t>Total</w:t>
            </w:r>
          </w:p>
        </w:tc>
        <w:tc>
          <w:tcPr>
            <w:tcW w:w="432" w:type="pct"/>
            <w:shd w:val="clear" w:color="auto" w:fill="D7DDE9"/>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567E62">
              <w:rPr>
                <w:rFonts w:ascii="Calibri" w:hAnsi="Calibri"/>
                <w:b/>
                <w:bCs/>
                <w:color w:val="000000"/>
              </w:rPr>
              <w:t>-</w:t>
            </w:r>
          </w:p>
        </w:tc>
        <w:tc>
          <w:tcPr>
            <w:tcW w:w="432" w:type="pct"/>
            <w:shd w:val="clear" w:color="auto" w:fill="D7DDE9"/>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567E62">
              <w:rPr>
                <w:rFonts w:ascii="Calibri" w:hAnsi="Calibri"/>
                <w:b/>
                <w:bCs/>
                <w:color w:val="000000"/>
              </w:rPr>
              <w:t>-379.5</w:t>
            </w:r>
          </w:p>
        </w:tc>
        <w:tc>
          <w:tcPr>
            <w:tcW w:w="432" w:type="pct"/>
            <w:shd w:val="clear" w:color="auto" w:fill="D7DDE9"/>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567E62">
              <w:rPr>
                <w:rFonts w:ascii="Calibri" w:hAnsi="Calibri"/>
                <w:b/>
                <w:bCs/>
                <w:color w:val="000000"/>
              </w:rPr>
              <w:t>-258.5</w:t>
            </w:r>
          </w:p>
        </w:tc>
        <w:tc>
          <w:tcPr>
            <w:tcW w:w="432" w:type="pct"/>
            <w:shd w:val="clear" w:color="auto" w:fill="D7DDE9"/>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567E62">
              <w:rPr>
                <w:rFonts w:ascii="Calibri" w:hAnsi="Calibri"/>
                <w:b/>
                <w:bCs/>
                <w:color w:val="000000"/>
              </w:rPr>
              <w:t>-391.2</w:t>
            </w:r>
          </w:p>
        </w:tc>
        <w:tc>
          <w:tcPr>
            <w:tcW w:w="432" w:type="pct"/>
            <w:shd w:val="clear" w:color="auto" w:fill="D7DDE9"/>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567E62">
              <w:rPr>
                <w:rFonts w:ascii="Calibri" w:hAnsi="Calibri"/>
                <w:b/>
                <w:bCs/>
                <w:color w:val="000000"/>
              </w:rPr>
              <w:t>-1,029.3</w:t>
            </w:r>
          </w:p>
        </w:tc>
        <w:tc>
          <w:tcPr>
            <w:tcW w:w="432" w:type="pct"/>
            <w:shd w:val="clear" w:color="auto" w:fill="D7DDE9"/>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567E62">
              <w:rPr>
                <w:rFonts w:ascii="Calibri" w:hAnsi="Calibri"/>
                <w:b/>
                <w:bCs/>
                <w:color w:val="000000"/>
              </w:rPr>
              <w:t>-222.3</w:t>
            </w:r>
          </w:p>
        </w:tc>
        <w:tc>
          <w:tcPr>
            <w:tcW w:w="432" w:type="pct"/>
            <w:shd w:val="clear" w:color="auto" w:fill="D7DDE9"/>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567E62">
              <w:rPr>
                <w:rFonts w:ascii="Calibri" w:hAnsi="Calibri"/>
                <w:b/>
                <w:bCs/>
                <w:color w:val="000000"/>
              </w:rPr>
              <w:t>-160.3</w:t>
            </w:r>
          </w:p>
        </w:tc>
        <w:tc>
          <w:tcPr>
            <w:tcW w:w="432" w:type="pct"/>
            <w:shd w:val="clear" w:color="auto" w:fill="D7DDE9"/>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567E62">
              <w:rPr>
                <w:rFonts w:ascii="Calibri" w:hAnsi="Calibri"/>
                <w:b/>
                <w:bCs/>
                <w:color w:val="000000"/>
              </w:rPr>
              <w:t>-105.5</w:t>
            </w:r>
          </w:p>
        </w:tc>
        <w:tc>
          <w:tcPr>
            <w:tcW w:w="429" w:type="pct"/>
            <w:shd w:val="clear" w:color="auto" w:fill="D7DDE9"/>
            <w:vAlign w:val="bottom"/>
          </w:tcPr>
          <w:p w:rsidR="00567E62" w:rsidRPr="00567E62" w:rsidRDefault="00567E62" w:rsidP="00567E62">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567E62">
              <w:rPr>
                <w:rFonts w:ascii="Calibri" w:hAnsi="Calibri"/>
                <w:b/>
                <w:bCs/>
                <w:color w:val="000000"/>
              </w:rPr>
              <w:t>-1,517.3</w:t>
            </w:r>
          </w:p>
        </w:tc>
      </w:tr>
    </w:tbl>
    <w:p w:rsidR="00CB3767" w:rsidRDefault="00567E62" w:rsidP="000B5C96">
      <w:pPr>
        <w:pStyle w:val="Footnotes"/>
        <w:numPr>
          <w:ilvl w:val="0"/>
          <w:numId w:val="54"/>
        </w:numPr>
        <w:ind w:left="284" w:hanging="284"/>
      </w:pPr>
      <w:r w:rsidRPr="00CB3767">
        <w:t>A positive number indicates an increase in revenue or a decrease in expenses or net capital investment in accrual and cash terms. A negative number indicates a decrease in revenue or an increase in expenses or net capital investment in accrual or cash terms.</w:t>
      </w:r>
    </w:p>
    <w:p w:rsidR="00567E62" w:rsidRPr="00CB3767" w:rsidRDefault="00567E62" w:rsidP="000B5C96">
      <w:pPr>
        <w:pStyle w:val="Footnotes"/>
        <w:numPr>
          <w:ilvl w:val="0"/>
          <w:numId w:val="54"/>
        </w:numPr>
        <w:ind w:left="284" w:hanging="284"/>
      </w:pPr>
      <w:r w:rsidRPr="00CB3767">
        <w:t>Figures may not sum to totals due to rounding.</w:t>
      </w:r>
    </w:p>
    <w:p w:rsidR="00567E62" w:rsidRPr="00567E62" w:rsidRDefault="00567E62" w:rsidP="000B5C96">
      <w:pPr>
        <w:pStyle w:val="Footnotes"/>
        <w:numPr>
          <w:ilvl w:val="0"/>
          <w:numId w:val="33"/>
        </w:numPr>
        <w:ind w:left="284" w:hanging="284"/>
      </w:pPr>
      <w:r w:rsidRPr="00567E62">
        <w:tab/>
        <w:t>Indicates nil.</w:t>
      </w:r>
    </w:p>
    <w:p w:rsidR="009B6584" w:rsidRDefault="009B6584" w:rsidP="000B5C96">
      <w:pPr>
        <w:pStyle w:val="Footnotes"/>
        <w:numPr>
          <w:ilvl w:val="0"/>
          <w:numId w:val="54"/>
        </w:numPr>
        <w:sectPr w:rsidR="009B6584" w:rsidSect="00E8358C">
          <w:headerReference w:type="even" r:id="rId131"/>
          <w:headerReference w:type="default" r:id="rId132"/>
          <w:footerReference w:type="even" r:id="rId133"/>
          <w:footerReference w:type="default" r:id="rId134"/>
          <w:headerReference w:type="first" r:id="rId135"/>
          <w:footerReference w:type="first" r:id="rId136"/>
          <w:pgSz w:w="16839" w:h="11907" w:orient="landscape" w:code="9"/>
          <w:pgMar w:top="1361" w:right="1797" w:bottom="1474" w:left="1797" w:header="283" w:footer="454" w:gutter="0"/>
          <w:cols w:space="708"/>
          <w:docGrid w:linePitch="360"/>
        </w:sectPr>
      </w:pPr>
    </w:p>
    <w:p w:rsidR="00A353BA" w:rsidRPr="00A353BA" w:rsidRDefault="00A353BA" w:rsidP="007A4BF9">
      <w:pPr>
        <w:pStyle w:val="Heading5"/>
      </w:pPr>
      <w:bookmarkStart w:id="46" w:name="_Toc455655093"/>
      <w:bookmarkStart w:id="47" w:name="_Toc456766796"/>
      <w:bookmarkStart w:id="48" w:name="_Toc457819890"/>
      <w:bookmarkStart w:id="49" w:name="_Toc458015780"/>
      <w:bookmarkStart w:id="50" w:name="_Toc458090619"/>
      <w:r w:rsidRPr="005D0DB0">
        <w:lastRenderedPageBreak/>
        <w:t>GRN013: Investing in Science and Research</w:t>
      </w:r>
      <w:bookmarkEnd w:id="46"/>
      <w:bookmarkEnd w:id="47"/>
      <w:bookmarkEnd w:id="48"/>
      <w:bookmarkEnd w:id="49"/>
      <w:bookmarkEnd w:id="50"/>
    </w:p>
    <w:p w:rsidR="00567E62" w:rsidRDefault="00A353BA" w:rsidP="007A4BF9">
      <w:pPr>
        <w:pStyle w:val="BodyText"/>
      </w:pPr>
      <w:r>
        <w:rPr>
          <w:noProof/>
          <w:lang w:eastAsia="en-AU"/>
        </w:rPr>
        <w:drawing>
          <wp:inline distT="0" distB="0" distL="0" distR="0" wp14:anchorId="19EE4EF4" wp14:editId="6657B038">
            <wp:extent cx="2696845" cy="572135"/>
            <wp:effectExtent l="0" t="0" r="8255" b="0"/>
            <wp:docPr id="28" name="Picture 2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A353BA" w:rsidRPr="00A353BA" w:rsidRDefault="00A353BA" w:rsidP="007A4BF9">
      <w:pPr>
        <w:pStyle w:val="Heading6"/>
        <w:rPr>
          <w:rFonts w:eastAsia="Calibri"/>
        </w:rPr>
      </w:pPr>
      <w:r w:rsidRPr="00A353BA">
        <w:rPr>
          <w:rFonts w:eastAsia="Calibri"/>
        </w:rPr>
        <w:t>Policy costing—during the caretaker period for the 2016 general election</w:t>
      </w:r>
    </w:p>
    <w:tbl>
      <w:tblPr>
        <w:tblStyle w:val="TableGrid17"/>
        <w:tblW w:w="8340" w:type="dxa"/>
        <w:tblLayout w:type="fixed"/>
        <w:tblCellMar>
          <w:left w:w="108" w:type="dxa"/>
          <w:right w:w="108" w:type="dxa"/>
        </w:tblCellMar>
        <w:tblLook w:val="04A0" w:firstRow="1" w:lastRow="0" w:firstColumn="1" w:lastColumn="0" w:noHBand="0" w:noVBand="1"/>
      </w:tblPr>
      <w:tblGrid>
        <w:gridCol w:w="3005"/>
        <w:gridCol w:w="5335"/>
      </w:tblGrid>
      <w:tr w:rsidR="00A353BA" w:rsidRPr="00AF49FE" w:rsidTr="00A353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A353BA" w:rsidRPr="00AF49FE" w:rsidRDefault="00A353BA" w:rsidP="00AF49FE">
            <w:pPr>
              <w:pStyle w:val="PullOutBoxHeading"/>
              <w:rPr>
                <w:b/>
              </w:rPr>
            </w:pPr>
            <w:r w:rsidRPr="00AF49FE">
              <w:rPr>
                <w:b/>
              </w:rPr>
              <w:t>Name of proposal:</w:t>
            </w:r>
          </w:p>
        </w:tc>
        <w:tc>
          <w:tcPr>
            <w:tcW w:w="5335" w:type="dxa"/>
          </w:tcPr>
          <w:p w:rsidR="00A353BA" w:rsidRPr="00AF49FE" w:rsidRDefault="00A353BA" w:rsidP="00AF49FE">
            <w:pPr>
              <w:pStyle w:val="PullOutBoxHeading"/>
              <w:cnfStyle w:val="100000000000" w:firstRow="1" w:lastRow="0" w:firstColumn="0" w:lastColumn="0" w:oddVBand="0" w:evenVBand="0" w:oddHBand="0" w:evenHBand="0" w:firstRowFirstColumn="0" w:firstRowLastColumn="0" w:lastRowFirstColumn="0" w:lastRowLastColumn="0"/>
              <w:rPr>
                <w:b/>
              </w:rPr>
            </w:pPr>
            <w:r w:rsidRPr="00AF49FE">
              <w:rPr>
                <w:b/>
              </w:rPr>
              <w:t>Investing in Australian Science and Research</w:t>
            </w:r>
          </w:p>
        </w:tc>
      </w:tr>
      <w:tr w:rsidR="00A353BA" w:rsidRPr="00A353BA" w:rsidTr="00A3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A353BA" w:rsidRPr="007673D9" w:rsidRDefault="00A353BA" w:rsidP="007673D9">
            <w:pPr>
              <w:pStyle w:val="PullOutBoxBodyText"/>
            </w:pPr>
            <w:r w:rsidRPr="007673D9">
              <w:t>Summary of proposal:</w:t>
            </w:r>
          </w:p>
        </w:tc>
        <w:tc>
          <w:tcPr>
            <w:tcW w:w="5335" w:type="dxa"/>
          </w:tcPr>
          <w:p w:rsidR="00A353BA" w:rsidRPr="00A353BA" w:rsidRDefault="00A353BA" w:rsidP="008D51A3">
            <w:pPr>
              <w:pStyle w:val="PullOutBoxBodyText"/>
              <w:cnfStyle w:val="000000100000" w:firstRow="0" w:lastRow="0" w:firstColumn="0" w:lastColumn="0" w:oddVBand="0" w:evenVBand="0" w:oddHBand="1" w:evenHBand="0" w:firstRowFirstColumn="0" w:firstRowLastColumn="0" w:lastRowFirstColumn="0" w:lastRowLastColumn="0"/>
            </w:pPr>
            <w:r w:rsidRPr="00A353BA">
              <w:t>The proposal is comprised of a number of</w:t>
            </w:r>
            <w:r w:rsidR="001A0C4E">
              <w:t> </w:t>
            </w:r>
            <w:r w:rsidRPr="00A353BA">
              <w:t>components, with Components 1 to 8 being ongoing grant programs indexed by the Consumer Price Index (CPI).</w:t>
            </w:r>
          </w:p>
          <w:p w:rsidR="00A353BA" w:rsidRPr="00A353BA" w:rsidRDefault="00A353BA" w:rsidP="008D51A3">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A353BA">
              <w:rPr>
                <w:u w:val="single"/>
              </w:rPr>
              <w:t xml:space="preserve">Component 1: Core science funding </w:t>
            </w:r>
          </w:p>
          <w:p w:rsidR="00A353BA" w:rsidRPr="00A353BA" w:rsidRDefault="00A353BA" w:rsidP="008D51A3">
            <w:pPr>
              <w:pStyle w:val="PullOutBoxBullet"/>
              <w:cnfStyle w:val="000000100000" w:firstRow="0" w:lastRow="0" w:firstColumn="0" w:lastColumn="0" w:oddVBand="0" w:evenVBand="0" w:oddHBand="1" w:evenHBand="0" w:firstRowFirstColumn="0" w:firstRowLastColumn="0" w:lastRowFirstColumn="0" w:lastRowLastColumn="0"/>
            </w:pPr>
            <w:r w:rsidRPr="00A353BA">
              <w:t>$83.3 million per year to the Australian Research Council (ARC).</w:t>
            </w:r>
          </w:p>
          <w:p w:rsidR="00A353BA" w:rsidRPr="00A353BA" w:rsidRDefault="00A353BA" w:rsidP="008D51A3">
            <w:pPr>
              <w:pStyle w:val="PullOutBoxBullet"/>
              <w:cnfStyle w:val="000000100000" w:firstRow="0" w:lastRow="0" w:firstColumn="0" w:lastColumn="0" w:oddVBand="0" w:evenVBand="0" w:oddHBand="1" w:evenHBand="0" w:firstRowFirstColumn="0" w:firstRowLastColumn="0" w:lastRowFirstColumn="0" w:lastRowLastColumn="0"/>
            </w:pPr>
            <w:r w:rsidRPr="00A353BA">
              <w:t>$83.3 million per year to the National Health and Medical Research Council (NHMRC).</w:t>
            </w:r>
          </w:p>
          <w:p w:rsidR="00A353BA" w:rsidRPr="00A353BA" w:rsidRDefault="00A353BA" w:rsidP="008D51A3">
            <w:pPr>
              <w:pStyle w:val="PullOutBoxBullet"/>
              <w:cnfStyle w:val="000000100000" w:firstRow="0" w:lastRow="0" w:firstColumn="0" w:lastColumn="0" w:oddVBand="0" w:evenVBand="0" w:oddHBand="1" w:evenHBand="0" w:firstRowFirstColumn="0" w:firstRowLastColumn="0" w:lastRowFirstColumn="0" w:lastRowLastColumn="0"/>
            </w:pPr>
            <w:r w:rsidRPr="00A353BA">
              <w:t>$33.3 million per year to Cooperative Research Centres (CRC).</w:t>
            </w:r>
          </w:p>
          <w:p w:rsidR="00A353BA" w:rsidRPr="008D51A3" w:rsidRDefault="00A353BA" w:rsidP="008D51A3">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8D51A3">
              <w:rPr>
                <w:u w:val="single"/>
              </w:rPr>
              <w:t xml:space="preserve">Component 2: Supporting women in science </w:t>
            </w:r>
          </w:p>
          <w:p w:rsidR="00A353BA" w:rsidRPr="00A353BA" w:rsidRDefault="00A353BA" w:rsidP="008D51A3">
            <w:pPr>
              <w:pStyle w:val="PullOutBoxBullet"/>
              <w:cnfStyle w:val="000000100000" w:firstRow="0" w:lastRow="0" w:firstColumn="0" w:lastColumn="0" w:oddVBand="0" w:evenVBand="0" w:oddHBand="1" w:evenHBand="0" w:firstRowFirstColumn="0" w:firstRowLastColumn="0" w:lastRowFirstColumn="0" w:lastRowLastColumn="0"/>
            </w:pPr>
            <w:r w:rsidRPr="00A353BA">
              <w:t>$50.0 million per year to research and innovation organisations to support women in science.</w:t>
            </w:r>
          </w:p>
          <w:p w:rsidR="00A353BA" w:rsidRPr="008D51A3" w:rsidRDefault="00A353BA" w:rsidP="008D51A3">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8D51A3">
              <w:rPr>
                <w:u w:val="single"/>
              </w:rPr>
              <w:t>Component 3: Research infrastructure</w:t>
            </w:r>
          </w:p>
          <w:p w:rsidR="00A353BA" w:rsidRPr="00A353BA" w:rsidRDefault="00A353BA" w:rsidP="008D51A3">
            <w:pPr>
              <w:pStyle w:val="PullOutBoxBullet"/>
              <w:cnfStyle w:val="000000100000" w:firstRow="0" w:lastRow="0" w:firstColumn="0" w:lastColumn="0" w:oddVBand="0" w:evenVBand="0" w:oddHBand="1" w:evenHBand="0" w:firstRowFirstColumn="0" w:firstRowLastColumn="0" w:lastRowFirstColumn="0" w:lastRowLastColumn="0"/>
            </w:pPr>
            <w:r w:rsidRPr="00A353BA">
              <w:t>$100.0 million per year for investment in research infrastructure to be administered by Innovation and Science Australia.</w:t>
            </w:r>
          </w:p>
          <w:p w:rsidR="00A353BA" w:rsidRPr="008D51A3" w:rsidRDefault="00A353BA" w:rsidP="008D51A3">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8D51A3">
              <w:rPr>
                <w:u w:val="single"/>
              </w:rPr>
              <w:t>Component 4: International collaboration</w:t>
            </w:r>
          </w:p>
          <w:p w:rsidR="00A353BA" w:rsidRPr="00A353BA" w:rsidRDefault="00A353BA" w:rsidP="008D51A3">
            <w:pPr>
              <w:pStyle w:val="PullOutBoxBullet"/>
              <w:cnfStyle w:val="000000100000" w:firstRow="0" w:lastRow="0" w:firstColumn="0" w:lastColumn="0" w:oddVBand="0" w:evenVBand="0" w:oddHBand="1" w:evenHBand="0" w:firstRowFirstColumn="0" w:firstRowLastColumn="0" w:lastRowFirstColumn="0" w:lastRowLastColumn="0"/>
            </w:pPr>
            <w:r w:rsidRPr="00A353BA">
              <w:t>$10.0 million per year to support international collaboration via the existing global innovation strategy.</w:t>
            </w:r>
          </w:p>
          <w:p w:rsidR="00A353BA" w:rsidRPr="008D51A3" w:rsidRDefault="00A353BA" w:rsidP="008D51A3">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8D51A3">
              <w:rPr>
                <w:u w:val="single"/>
              </w:rPr>
              <w:t>Component 5: Future Fellowship Scheme</w:t>
            </w:r>
          </w:p>
          <w:p w:rsidR="00A353BA" w:rsidRPr="00A353BA" w:rsidRDefault="00A353BA" w:rsidP="008D51A3">
            <w:pPr>
              <w:pStyle w:val="PullOutBoxBullet"/>
              <w:cnfStyle w:val="000000100000" w:firstRow="0" w:lastRow="0" w:firstColumn="0" w:lastColumn="0" w:oddVBand="0" w:evenVBand="0" w:oddHBand="1" w:evenHBand="0" w:firstRowFirstColumn="0" w:firstRowLastColumn="0" w:lastRowFirstColumn="0" w:lastRowLastColumn="0"/>
            </w:pPr>
            <w:r w:rsidRPr="00A353BA">
              <w:t>$70.0 million per year for the Future Fellowships Scheme.</w:t>
            </w:r>
          </w:p>
          <w:p w:rsidR="00A353BA" w:rsidRPr="008D51A3" w:rsidRDefault="00A353BA" w:rsidP="008D51A3">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8D51A3">
              <w:rPr>
                <w:u w:val="single"/>
              </w:rPr>
              <w:t>Component 6: Open access publishing</w:t>
            </w:r>
          </w:p>
          <w:p w:rsidR="00A353BA" w:rsidRPr="00A353BA" w:rsidRDefault="00A353BA" w:rsidP="008D51A3">
            <w:pPr>
              <w:pStyle w:val="PullOutBoxBullet"/>
              <w:cnfStyle w:val="000000100000" w:firstRow="0" w:lastRow="0" w:firstColumn="0" w:lastColumn="0" w:oddVBand="0" w:evenVBand="0" w:oddHBand="1" w:evenHBand="0" w:firstRowFirstColumn="0" w:firstRowLastColumn="0" w:lastRowFirstColumn="0" w:lastRowLastColumn="0"/>
            </w:pPr>
            <w:r w:rsidRPr="00A353BA">
              <w:t>$46.2 million per year to drive the development and implementation of a national program of open access publishing.</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3005" w:type="dxa"/>
          </w:tcPr>
          <w:p w:rsidR="00A353BA" w:rsidRPr="00A353BA" w:rsidRDefault="00A353BA" w:rsidP="008D51A3">
            <w:pPr>
              <w:pStyle w:val="PullOutBoxBodyText"/>
            </w:pPr>
          </w:p>
        </w:tc>
        <w:tc>
          <w:tcPr>
            <w:tcW w:w="5335" w:type="dxa"/>
          </w:tcPr>
          <w:p w:rsidR="00A353BA" w:rsidRPr="008D51A3" w:rsidRDefault="00A353BA" w:rsidP="008D51A3">
            <w:pPr>
              <w:pStyle w:val="PullOutBoxBodyText"/>
              <w:cnfStyle w:val="000000000000" w:firstRow="0" w:lastRow="0" w:firstColumn="0" w:lastColumn="0" w:oddVBand="0" w:evenVBand="0" w:oddHBand="0" w:evenHBand="0" w:firstRowFirstColumn="0" w:firstRowLastColumn="0" w:lastRowFirstColumn="0" w:lastRowLastColumn="0"/>
              <w:rPr>
                <w:u w:val="single"/>
              </w:rPr>
            </w:pPr>
            <w:r w:rsidRPr="008D51A3">
              <w:rPr>
                <w:u w:val="single"/>
              </w:rPr>
              <w:t>Component 7: Health and medical research</w:t>
            </w:r>
          </w:p>
          <w:p w:rsidR="00A353BA" w:rsidRPr="00A353BA" w:rsidRDefault="00A353BA" w:rsidP="008D51A3">
            <w:pPr>
              <w:pStyle w:val="PullOutBoxBullet"/>
              <w:cnfStyle w:val="000000000000" w:firstRow="0" w:lastRow="0" w:firstColumn="0" w:lastColumn="0" w:oddVBand="0" w:evenVBand="0" w:oddHBand="0" w:evenHBand="0" w:firstRowFirstColumn="0" w:firstRowLastColumn="0" w:lastRowFirstColumn="0" w:lastRowLastColumn="0"/>
            </w:pPr>
            <w:r w:rsidRPr="00A353BA">
              <w:t>$47.0 million per year to support the phasing in of funding reforms that will progressively address the gap between direct and indirect funding for health and medical research.</w:t>
            </w:r>
          </w:p>
          <w:p w:rsidR="00A353BA" w:rsidRPr="00A353BA" w:rsidRDefault="00A353BA" w:rsidP="008D51A3">
            <w:pPr>
              <w:pStyle w:val="PullOutBoxBullet"/>
              <w:cnfStyle w:val="000000000000" w:firstRow="0" w:lastRow="0" w:firstColumn="0" w:lastColumn="0" w:oddVBand="0" w:evenVBand="0" w:oddHBand="0" w:evenHBand="0" w:firstRowFirstColumn="0" w:firstRowLastColumn="0" w:lastRowFirstColumn="0" w:lastRowLastColumn="0"/>
            </w:pPr>
            <w:r w:rsidRPr="00A353BA">
              <w:t>$40.0 million per year to fund four new integrated health research centres.</w:t>
            </w:r>
          </w:p>
          <w:p w:rsidR="00A353BA" w:rsidRPr="008D51A3" w:rsidRDefault="00A353BA" w:rsidP="008D51A3">
            <w:pPr>
              <w:pStyle w:val="PullOutBoxBodyText"/>
              <w:cnfStyle w:val="000000000000" w:firstRow="0" w:lastRow="0" w:firstColumn="0" w:lastColumn="0" w:oddVBand="0" w:evenVBand="0" w:oddHBand="0" w:evenHBand="0" w:firstRowFirstColumn="0" w:firstRowLastColumn="0" w:lastRowFirstColumn="0" w:lastRowLastColumn="0"/>
              <w:rPr>
                <w:u w:val="single"/>
              </w:rPr>
            </w:pPr>
            <w:r w:rsidRPr="008D51A3">
              <w:rPr>
                <w:u w:val="single"/>
              </w:rPr>
              <w:t>Component 8: Science, Technology, Engineering and Mathematics (STEM)</w:t>
            </w:r>
          </w:p>
          <w:p w:rsidR="00A353BA" w:rsidRPr="00A353BA" w:rsidRDefault="00A353BA" w:rsidP="008D51A3">
            <w:pPr>
              <w:pStyle w:val="PullOutBoxBullet"/>
              <w:cnfStyle w:val="000000000000" w:firstRow="0" w:lastRow="0" w:firstColumn="0" w:lastColumn="0" w:oddVBand="0" w:evenVBand="0" w:oddHBand="0" w:evenHBand="0" w:firstRowFirstColumn="0" w:firstRowLastColumn="0" w:lastRowFirstColumn="0" w:lastRowLastColumn="0"/>
            </w:pPr>
            <w:r w:rsidRPr="00A353BA">
              <w:t>$41.7 million per year to support existing teacher training in STEM education.</w:t>
            </w:r>
          </w:p>
          <w:p w:rsidR="00A353BA" w:rsidRPr="008D51A3" w:rsidRDefault="00A353BA" w:rsidP="008D51A3">
            <w:pPr>
              <w:pStyle w:val="PullOutBoxBodyText"/>
              <w:cnfStyle w:val="000000000000" w:firstRow="0" w:lastRow="0" w:firstColumn="0" w:lastColumn="0" w:oddVBand="0" w:evenVBand="0" w:oddHBand="0" w:evenHBand="0" w:firstRowFirstColumn="0" w:firstRowLastColumn="0" w:lastRowFirstColumn="0" w:lastRowLastColumn="0"/>
              <w:rPr>
                <w:u w:val="single"/>
              </w:rPr>
            </w:pPr>
            <w:r w:rsidRPr="008D51A3">
              <w:rPr>
                <w:u w:val="single"/>
              </w:rPr>
              <w:t>Component 9: Reversing harsh budget cuts</w:t>
            </w:r>
          </w:p>
          <w:p w:rsidR="00A353BA" w:rsidRPr="00A353BA" w:rsidRDefault="00A353BA" w:rsidP="008D51A3">
            <w:pPr>
              <w:pStyle w:val="PullOutBoxBullet"/>
              <w:cnfStyle w:val="000000000000" w:firstRow="0" w:lastRow="0" w:firstColumn="0" w:lastColumn="0" w:oddVBand="0" w:evenVBand="0" w:oddHBand="0" w:evenHBand="0" w:firstRowFirstColumn="0" w:firstRowLastColumn="0" w:lastRowFirstColumn="0" w:lastRowLastColumn="0"/>
            </w:pPr>
            <w:r w:rsidRPr="00A353BA">
              <w:t>This component would reverse the following budget measures:</w:t>
            </w:r>
          </w:p>
          <w:p w:rsidR="00A353BA" w:rsidRPr="008D51A3" w:rsidRDefault="00A353BA" w:rsidP="008D51A3">
            <w:pPr>
              <w:pStyle w:val="PullOutBoxBullet2"/>
              <w:cnfStyle w:val="000000000000" w:firstRow="0" w:lastRow="0" w:firstColumn="0" w:lastColumn="0" w:oddVBand="0" w:evenVBand="0" w:oddHBand="0" w:evenHBand="0" w:firstRowFirstColumn="0" w:firstRowLastColumn="0" w:lastRowFirstColumn="0" w:lastRowLastColumn="0"/>
              <w:rPr>
                <w:i/>
              </w:rPr>
            </w:pPr>
            <w:r w:rsidRPr="008D51A3">
              <w:rPr>
                <w:i/>
              </w:rPr>
              <w:t>Commonwealth Science and Industrial Research Organisation (CSIRO) job cuts</w:t>
            </w:r>
          </w:p>
          <w:p w:rsidR="00A353BA" w:rsidRPr="008D51A3" w:rsidRDefault="00A353BA" w:rsidP="008D51A3">
            <w:pPr>
              <w:pStyle w:val="PullOutBoxBullet2"/>
              <w:cnfStyle w:val="000000000000" w:firstRow="0" w:lastRow="0" w:firstColumn="0" w:lastColumn="0" w:oddVBand="0" w:evenVBand="0" w:oddHBand="0" w:evenHBand="0" w:firstRowFirstColumn="0" w:firstRowLastColumn="0" w:lastRowFirstColumn="0" w:lastRowLastColumn="0"/>
              <w:rPr>
                <w:i/>
              </w:rPr>
            </w:pPr>
            <w:r w:rsidRPr="008D51A3">
              <w:rPr>
                <w:i/>
              </w:rPr>
              <w:t>Science and Research Agencies – reduced funding</w:t>
            </w:r>
          </w:p>
          <w:p w:rsidR="00A353BA" w:rsidRPr="008D51A3" w:rsidRDefault="00A353BA" w:rsidP="008D51A3">
            <w:pPr>
              <w:pStyle w:val="PullOutBoxBullet2"/>
              <w:cnfStyle w:val="000000000000" w:firstRow="0" w:lastRow="0" w:firstColumn="0" w:lastColumn="0" w:oddVBand="0" w:evenVBand="0" w:oddHBand="0" w:evenHBand="0" w:firstRowFirstColumn="0" w:firstRowLastColumn="0" w:lastRowFirstColumn="0" w:lastRowLastColumn="0"/>
              <w:rPr>
                <w:i/>
              </w:rPr>
            </w:pPr>
            <w:r w:rsidRPr="008D51A3">
              <w:rPr>
                <w:i/>
              </w:rPr>
              <w:t>National Environmental Science program – establishment.</w:t>
            </w:r>
          </w:p>
          <w:p w:rsidR="00A353BA" w:rsidRPr="00A353BA" w:rsidRDefault="00A353BA" w:rsidP="008D51A3">
            <w:pPr>
              <w:pStyle w:val="PullOutBoxBullet"/>
              <w:cnfStyle w:val="000000000000" w:firstRow="0" w:lastRow="0" w:firstColumn="0" w:lastColumn="0" w:oddVBand="0" w:evenVBand="0" w:oddHBand="0" w:evenHBand="0" w:firstRowFirstColumn="0" w:firstRowLastColumn="0" w:lastRowFirstColumn="0" w:lastRowLastColumn="0"/>
            </w:pPr>
            <w:r w:rsidRPr="00A353BA">
              <w:t>Savings associated with measures to be reversed that have already been realised are to be reinvested back into the original programs, or allocated back to relevant agencies with any such reinvestments to be spread evenly over the first three years.</w:t>
            </w:r>
          </w:p>
          <w:p w:rsidR="00A353BA" w:rsidRPr="00A353BA" w:rsidRDefault="00A353BA" w:rsidP="008D51A3">
            <w:pPr>
              <w:pStyle w:val="PullOutBoxBodyText"/>
              <w:cnfStyle w:val="000000000000" w:firstRow="0" w:lastRow="0" w:firstColumn="0" w:lastColumn="0" w:oddVBand="0" w:evenVBand="0" w:oddHBand="0" w:evenHBand="0" w:firstRowFirstColumn="0" w:firstRowLastColumn="0" w:lastRowFirstColumn="0" w:lastRowLastColumn="0"/>
            </w:pPr>
            <w:r w:rsidRPr="00A353BA">
              <w:t>This proposal would commence on 1 September 2016.</w:t>
            </w:r>
          </w:p>
        </w:tc>
      </w:tr>
      <w:tr w:rsidR="00A353BA" w:rsidRPr="00A353BA" w:rsidTr="00A3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A353BA" w:rsidRPr="00A353BA" w:rsidRDefault="00A353BA" w:rsidP="00B0607C">
            <w:pPr>
              <w:pStyle w:val="PullOutBoxBodyText"/>
            </w:pPr>
            <w:r w:rsidRPr="00A353BA">
              <w:t>Person/party requesting costing:</w:t>
            </w:r>
          </w:p>
        </w:tc>
        <w:tc>
          <w:tcPr>
            <w:tcW w:w="5335" w:type="dxa"/>
          </w:tcPr>
          <w:p w:rsidR="00A353BA" w:rsidRPr="00A353BA" w:rsidRDefault="00A353BA" w:rsidP="00B0607C">
            <w:pPr>
              <w:pStyle w:val="PullOutBoxBodyText"/>
              <w:cnfStyle w:val="000000100000" w:firstRow="0" w:lastRow="0" w:firstColumn="0" w:lastColumn="0" w:oddVBand="0" w:evenVBand="0" w:oddHBand="1" w:evenHBand="0" w:firstRowFirstColumn="0" w:firstRowLastColumn="0" w:lastRowFirstColumn="0" w:lastRowLastColumn="0"/>
            </w:pPr>
            <w:r w:rsidRPr="00A353BA">
              <w:t>Senator Richard Di Natale, Australian Greens</w:t>
            </w:r>
          </w:p>
        </w:tc>
      </w:tr>
      <w:tr w:rsidR="00A353BA" w:rsidRPr="00A353BA" w:rsidTr="00A353BA">
        <w:tc>
          <w:tcPr>
            <w:cnfStyle w:val="001000000000" w:firstRow="0" w:lastRow="0" w:firstColumn="1" w:lastColumn="0" w:oddVBand="0" w:evenVBand="0" w:oddHBand="0" w:evenHBand="0" w:firstRowFirstColumn="0" w:firstRowLastColumn="0" w:lastRowFirstColumn="0" w:lastRowLastColumn="0"/>
            <w:tcW w:w="3005" w:type="dxa"/>
          </w:tcPr>
          <w:p w:rsidR="00A353BA" w:rsidRPr="00A353BA" w:rsidRDefault="00A353BA" w:rsidP="00B0607C">
            <w:pPr>
              <w:pStyle w:val="PullOutBoxBodyText"/>
            </w:pPr>
            <w:r w:rsidRPr="00A353BA">
              <w:t>Date of public release of policy:</w:t>
            </w:r>
          </w:p>
        </w:tc>
        <w:tc>
          <w:tcPr>
            <w:tcW w:w="5335" w:type="dxa"/>
          </w:tcPr>
          <w:p w:rsidR="00A353BA" w:rsidRPr="00A353BA" w:rsidRDefault="00A353BA" w:rsidP="00B0607C">
            <w:pPr>
              <w:pStyle w:val="PullOutBoxBodyText"/>
              <w:cnfStyle w:val="000000000000" w:firstRow="0" w:lastRow="0" w:firstColumn="0" w:lastColumn="0" w:oddVBand="0" w:evenVBand="0" w:oddHBand="0" w:evenHBand="0" w:firstRowFirstColumn="0" w:firstRowLastColumn="0" w:lastRowFirstColumn="0" w:lastRowLastColumn="0"/>
            </w:pPr>
            <w:r w:rsidRPr="00A353BA">
              <w:t>19 May 2016</w:t>
            </w:r>
          </w:p>
        </w:tc>
      </w:tr>
      <w:tr w:rsidR="00A353BA" w:rsidRPr="00A353BA" w:rsidTr="00A3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A353BA" w:rsidRPr="00A353BA" w:rsidRDefault="00A353BA" w:rsidP="00B0607C">
            <w:pPr>
              <w:pStyle w:val="PullOutBoxBodyText"/>
            </w:pPr>
            <w:r w:rsidRPr="00A353BA">
              <w:t>Date costing request received:</w:t>
            </w:r>
          </w:p>
        </w:tc>
        <w:tc>
          <w:tcPr>
            <w:tcW w:w="5335" w:type="dxa"/>
          </w:tcPr>
          <w:p w:rsidR="00A353BA" w:rsidRPr="00A353BA" w:rsidRDefault="00A353BA" w:rsidP="00B0607C">
            <w:pPr>
              <w:pStyle w:val="PullOutBoxBodyText"/>
              <w:cnfStyle w:val="000000100000" w:firstRow="0" w:lastRow="0" w:firstColumn="0" w:lastColumn="0" w:oddVBand="0" w:evenVBand="0" w:oddHBand="1" w:evenHBand="0" w:firstRowFirstColumn="0" w:firstRowLastColumn="0" w:lastRowFirstColumn="0" w:lastRowLastColumn="0"/>
            </w:pPr>
            <w:r w:rsidRPr="00A353BA">
              <w:t>24 June 2016</w:t>
            </w:r>
          </w:p>
        </w:tc>
      </w:tr>
      <w:tr w:rsidR="00A353BA" w:rsidRPr="00A353BA" w:rsidTr="00A353BA">
        <w:tc>
          <w:tcPr>
            <w:cnfStyle w:val="001000000000" w:firstRow="0" w:lastRow="0" w:firstColumn="1" w:lastColumn="0" w:oddVBand="0" w:evenVBand="0" w:oddHBand="0" w:evenHBand="0" w:firstRowFirstColumn="0" w:firstRowLastColumn="0" w:lastRowFirstColumn="0" w:lastRowLastColumn="0"/>
            <w:tcW w:w="3005" w:type="dxa"/>
          </w:tcPr>
          <w:p w:rsidR="00A353BA" w:rsidRPr="00A353BA" w:rsidRDefault="00A353BA" w:rsidP="00B0607C">
            <w:pPr>
              <w:pStyle w:val="PullOutBoxBodyText"/>
            </w:pPr>
            <w:r w:rsidRPr="00A353BA">
              <w:t>Date costing completed</w:t>
            </w:r>
          </w:p>
        </w:tc>
        <w:tc>
          <w:tcPr>
            <w:tcW w:w="5335" w:type="dxa"/>
          </w:tcPr>
          <w:p w:rsidR="00A353BA" w:rsidRPr="00A353BA" w:rsidRDefault="00A353BA" w:rsidP="00B0607C">
            <w:pPr>
              <w:pStyle w:val="PullOutBoxBodyText"/>
              <w:cnfStyle w:val="000000000000" w:firstRow="0" w:lastRow="0" w:firstColumn="0" w:lastColumn="0" w:oddVBand="0" w:evenVBand="0" w:oddHBand="0" w:evenHBand="0" w:firstRowFirstColumn="0" w:firstRowLastColumn="0" w:lastRowFirstColumn="0" w:lastRowLastColumn="0"/>
            </w:pPr>
            <w:r w:rsidRPr="00A353BA">
              <w:t>25 June 2016</w:t>
            </w:r>
          </w:p>
        </w:tc>
      </w:tr>
      <w:tr w:rsidR="00A353BA" w:rsidRPr="00A353BA" w:rsidTr="00A3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A353BA" w:rsidRPr="00A353BA" w:rsidRDefault="00A353BA" w:rsidP="00B0607C">
            <w:pPr>
              <w:pStyle w:val="PullOutBoxBodyText"/>
            </w:pPr>
            <w:r w:rsidRPr="00A353BA">
              <w:t>Expiry date for the costing:</w:t>
            </w:r>
          </w:p>
        </w:tc>
        <w:tc>
          <w:tcPr>
            <w:tcW w:w="5335" w:type="dxa"/>
          </w:tcPr>
          <w:p w:rsidR="00A353BA" w:rsidRPr="00A353BA" w:rsidRDefault="00A353BA" w:rsidP="00B0607C">
            <w:pPr>
              <w:pStyle w:val="PullOutBoxBodyText"/>
              <w:cnfStyle w:val="000000100000" w:firstRow="0" w:lastRow="0" w:firstColumn="0" w:lastColumn="0" w:oddVBand="0" w:evenVBand="0" w:oddHBand="1" w:evenHBand="0" w:firstRowFirstColumn="0" w:firstRowLastColumn="0" w:lastRowFirstColumn="0" w:lastRowLastColumn="0"/>
            </w:pPr>
            <w:r w:rsidRPr="00A353BA">
              <w:t>Release of the next economic and fiscal outlook report</w:t>
            </w:r>
          </w:p>
        </w:tc>
      </w:tr>
    </w:tbl>
    <w:p w:rsidR="00A353BA" w:rsidRPr="00A353BA" w:rsidRDefault="00A353BA" w:rsidP="00905B06">
      <w:pPr>
        <w:pStyle w:val="CostingsH7"/>
        <w:rPr>
          <w:rFonts w:eastAsia="Calibri"/>
        </w:rPr>
      </w:pPr>
      <w:r w:rsidRPr="00A353BA">
        <w:rPr>
          <w:rFonts w:eastAsia="Calibri"/>
        </w:rPr>
        <w:t>Costing overview</w:t>
      </w:r>
    </w:p>
    <w:p w:rsidR="00A353BA" w:rsidRPr="00A353BA" w:rsidRDefault="00A353BA" w:rsidP="000501F1">
      <w:pPr>
        <w:pStyle w:val="BodyText"/>
      </w:pPr>
      <w:r w:rsidRPr="00A353BA">
        <w:t>The proposal would decrease the fiscal and underlying cash balances by $3,140.0 million over the 2016-17 Budget forward estimates period.  This impact is</w:t>
      </w:r>
      <w:r w:rsidR="00895C1D">
        <w:t xml:space="preserve"> due to an increase of $2,542.2 </w:t>
      </w:r>
      <w:r w:rsidRPr="00A353BA">
        <w:t xml:space="preserve">million in administered expenses and $597.8 million in departmental expenses. </w:t>
      </w:r>
    </w:p>
    <w:p w:rsidR="00A353BA" w:rsidRPr="00A353BA" w:rsidRDefault="00A353BA" w:rsidP="000501F1">
      <w:pPr>
        <w:pStyle w:val="BodyText"/>
      </w:pPr>
      <w:r w:rsidRPr="00A353BA">
        <w:lastRenderedPageBreak/>
        <w:t xml:space="preserve">The proposal would have an impact beyond the 2016-17 Budget forward estimates period.   A detailed breakdown of the financial impacts over the period 2016-17 to 2026-27 for the total (Table A1) and by component (Tables A2-10) is provided at </w:t>
      </w:r>
      <w:r w:rsidRPr="00A353BA">
        <w:rPr>
          <w:u w:val="single"/>
        </w:rPr>
        <w:t>Attachment A</w:t>
      </w:r>
      <w:r w:rsidRPr="00A353BA">
        <w:t>.</w:t>
      </w:r>
    </w:p>
    <w:p w:rsidR="00A353BA" w:rsidRPr="00A353BA" w:rsidRDefault="00A353BA" w:rsidP="000501F1">
      <w:pPr>
        <w:pStyle w:val="BodyText"/>
      </w:pPr>
      <w:r w:rsidRPr="00A353BA">
        <w:t xml:space="preserve">Components 1 to 8 are considered to be of high reliability as they are based on specified capped amounts and the application of administrative costs based on similar programs.  Component 9 is considered to be of low reliability </w:t>
      </w:r>
      <w:r w:rsidRPr="00A353BA">
        <w:rPr>
          <w:lang w:eastAsia="en-AU"/>
        </w:rPr>
        <w:t xml:space="preserve">as impacts are based on aggregate information of agency expenses on employees, which include both job reductions and any new positions created. </w:t>
      </w:r>
      <w:r w:rsidRPr="00A353BA">
        <w:t xml:space="preserve"> The reliability of the costing decreases the further into the future the estimates are projected.</w:t>
      </w:r>
    </w:p>
    <w:p w:rsidR="00A353BA" w:rsidRPr="00A353BA" w:rsidRDefault="00A353BA" w:rsidP="00905B06">
      <w:pPr>
        <w:pStyle w:val="CostingsH7"/>
        <w:rPr>
          <w:rFonts w:eastAsia="Calibri"/>
        </w:rPr>
      </w:pPr>
      <w:r w:rsidRPr="00A353BA">
        <w:rPr>
          <w:rFonts w:eastAsia="Calibri"/>
        </w:rPr>
        <w:t>Key assumptions</w:t>
      </w:r>
    </w:p>
    <w:p w:rsidR="00A353BA" w:rsidRPr="00A353BA" w:rsidRDefault="00A353BA" w:rsidP="000501F1">
      <w:pPr>
        <w:pStyle w:val="BodyText"/>
      </w:pPr>
      <w:r w:rsidRPr="00A353BA">
        <w:t>It has been assumed that:</w:t>
      </w:r>
    </w:p>
    <w:p w:rsidR="00A353BA" w:rsidRPr="00A353BA" w:rsidRDefault="00A353BA" w:rsidP="000501F1">
      <w:pPr>
        <w:pStyle w:val="ListBullet"/>
        <w:rPr>
          <w:lang w:eastAsia="en-AU"/>
        </w:rPr>
      </w:pPr>
      <w:r w:rsidRPr="00A353BA">
        <w:rPr>
          <w:lang w:eastAsia="en-AU"/>
        </w:rPr>
        <w:t>despite the 1 September 2016 start date a full year of funding would be provided in 2016</w:t>
      </w:r>
      <w:r w:rsidRPr="00A353BA">
        <w:rPr>
          <w:lang w:eastAsia="en-AU"/>
        </w:rPr>
        <w:noBreakHyphen/>
        <w:t>17</w:t>
      </w:r>
    </w:p>
    <w:p w:rsidR="00A353BA" w:rsidRPr="00A353BA" w:rsidRDefault="00A353BA" w:rsidP="00BE7FBF">
      <w:pPr>
        <w:pStyle w:val="ListBullet"/>
        <w:rPr>
          <w:lang w:eastAsia="en-AU"/>
        </w:rPr>
      </w:pPr>
      <w:r w:rsidRPr="00A353BA">
        <w:rPr>
          <w:lang w:eastAsia="en-AU"/>
        </w:rPr>
        <w:t>agencies would be able to fully utilise the temporary increases in funding associated with reinvestment of past savings under component 9 of the proposal (see Component</w:t>
      </w:r>
      <w:r w:rsidR="00895C1D">
        <w:rPr>
          <w:lang w:eastAsia="en-AU"/>
        </w:rPr>
        <w:t> </w:t>
      </w:r>
      <w:r w:rsidRPr="00A353BA">
        <w:rPr>
          <w:lang w:eastAsia="en-AU"/>
        </w:rPr>
        <w:t xml:space="preserve">9 of </w:t>
      </w:r>
      <w:r w:rsidRPr="000501F1">
        <w:rPr>
          <w:i/>
        </w:rPr>
        <w:t>Methodology</w:t>
      </w:r>
      <w:r w:rsidRPr="00A353BA">
        <w:rPr>
          <w:lang w:eastAsia="en-AU"/>
        </w:rPr>
        <w:t>).</w:t>
      </w:r>
    </w:p>
    <w:p w:rsidR="00A353BA" w:rsidRPr="00A353BA" w:rsidRDefault="00A353BA" w:rsidP="00905B06">
      <w:pPr>
        <w:pStyle w:val="CostingsH7"/>
        <w:rPr>
          <w:rFonts w:eastAsia="Calibri"/>
        </w:rPr>
      </w:pPr>
      <w:r w:rsidRPr="00A353BA">
        <w:rPr>
          <w:rFonts w:eastAsia="Calibri"/>
        </w:rPr>
        <w:t>Methodology</w:t>
      </w:r>
    </w:p>
    <w:p w:rsidR="00A353BA" w:rsidRPr="000501F1" w:rsidRDefault="00A353BA" w:rsidP="000501F1">
      <w:pPr>
        <w:pStyle w:val="CostingsH8"/>
        <w:rPr>
          <w:rFonts w:eastAsia="Calibri"/>
          <w:b w:val="0"/>
          <w:color w:val="auto"/>
          <w:sz w:val="22"/>
          <w:szCs w:val="22"/>
          <w:u w:val="single"/>
        </w:rPr>
      </w:pPr>
      <w:r w:rsidRPr="000501F1">
        <w:rPr>
          <w:rFonts w:eastAsia="Calibri"/>
          <w:b w:val="0"/>
          <w:color w:val="auto"/>
          <w:sz w:val="22"/>
          <w:szCs w:val="22"/>
          <w:u w:val="single"/>
        </w:rPr>
        <w:t>Components 1-8</w:t>
      </w:r>
    </w:p>
    <w:p w:rsidR="00A353BA" w:rsidRPr="00A353BA" w:rsidRDefault="00A353BA" w:rsidP="000501F1">
      <w:pPr>
        <w:pStyle w:val="BodyText"/>
      </w:pPr>
      <w:r w:rsidRPr="00A353BA">
        <w:t>Administered expenditure estimates in 2016-17 are as specified in the request, and indexed by CPI annually thereafter.  Departmental expenditure estimates are in addition to the capped amounts and are based on other like initiatives and the estimates account for the net effect of indexation parameters and the efficiency dividend, in accordance with the Department of Finance’s costing practices.</w:t>
      </w:r>
    </w:p>
    <w:p w:rsidR="00A353BA" w:rsidRPr="000501F1" w:rsidRDefault="00A353BA" w:rsidP="000501F1">
      <w:pPr>
        <w:pStyle w:val="CostingsH8"/>
        <w:rPr>
          <w:rFonts w:eastAsia="Calibri"/>
          <w:b w:val="0"/>
          <w:color w:val="auto"/>
          <w:sz w:val="22"/>
          <w:szCs w:val="22"/>
          <w:u w:val="single"/>
        </w:rPr>
      </w:pPr>
      <w:r w:rsidRPr="000501F1">
        <w:rPr>
          <w:rFonts w:eastAsia="Calibri"/>
          <w:b w:val="0"/>
          <w:color w:val="auto"/>
          <w:sz w:val="22"/>
          <w:szCs w:val="22"/>
          <w:u w:val="single"/>
        </w:rPr>
        <w:t>Component 9</w:t>
      </w:r>
    </w:p>
    <w:p w:rsidR="00A353BA" w:rsidRPr="00A353BA" w:rsidRDefault="00A353BA" w:rsidP="000501F1">
      <w:pPr>
        <w:pStyle w:val="BodyText"/>
        <w:rPr>
          <w:lang w:eastAsia="en-AU"/>
        </w:rPr>
      </w:pPr>
      <w:r w:rsidRPr="00A353BA">
        <w:rPr>
          <w:lang w:eastAsia="en-AU"/>
        </w:rPr>
        <w:t xml:space="preserve">The financial implications of measures reversed under this proposal are based on data from the Central Budget Management System.  Historical saving amounts have been grown by changes in CPI to reflect 2016-17 dollars. </w:t>
      </w:r>
    </w:p>
    <w:p w:rsidR="00A353BA" w:rsidRPr="00A353BA" w:rsidRDefault="00A353BA" w:rsidP="00905B06">
      <w:pPr>
        <w:pStyle w:val="CostingsH7"/>
        <w:rPr>
          <w:rFonts w:eastAsia="Calibri"/>
        </w:rPr>
      </w:pPr>
      <w:r w:rsidRPr="00A353BA">
        <w:rPr>
          <w:rFonts w:eastAsia="Calibri"/>
        </w:rPr>
        <w:t>Data sources</w:t>
      </w:r>
    </w:p>
    <w:p w:rsidR="00A353BA" w:rsidRPr="00A353BA" w:rsidRDefault="00A353BA" w:rsidP="000501F1">
      <w:pPr>
        <w:pStyle w:val="ListBullet"/>
        <w:rPr>
          <w:lang w:eastAsia="en-AU"/>
        </w:rPr>
      </w:pPr>
      <w:r w:rsidRPr="00A353BA">
        <w:rPr>
          <w:lang w:eastAsia="en-AU"/>
        </w:rPr>
        <w:t>The Department of Finance provided indexation parameters.</w:t>
      </w:r>
    </w:p>
    <w:p w:rsidR="00A353BA" w:rsidRPr="00A353BA" w:rsidRDefault="00A353BA" w:rsidP="000501F1">
      <w:pPr>
        <w:pStyle w:val="ListBullet"/>
        <w:rPr>
          <w:lang w:eastAsia="en-AU"/>
        </w:rPr>
      </w:pPr>
      <w:r w:rsidRPr="00A353BA">
        <w:rPr>
          <w:lang w:eastAsia="en-AU"/>
        </w:rPr>
        <w:t>The Treasury provided CPI projections.</w:t>
      </w:r>
    </w:p>
    <w:p w:rsidR="00A353BA" w:rsidRPr="00A353BA" w:rsidRDefault="00A353BA" w:rsidP="000501F1">
      <w:pPr>
        <w:pStyle w:val="ListBullet"/>
        <w:rPr>
          <w:lang w:eastAsia="en-AU"/>
        </w:rPr>
      </w:pPr>
      <w:r w:rsidRPr="00A353BA">
        <w:rPr>
          <w:lang w:eastAsia="en-AU"/>
        </w:rPr>
        <w:t>Extracts from the Central Budget Management System provided by the Department of Finance for Budget and Mid-Year Economic and Fiscal Outlook (MYEFO) for the years 2013-14, 2014</w:t>
      </w:r>
      <w:r w:rsidRPr="00A353BA">
        <w:rPr>
          <w:lang w:eastAsia="en-AU"/>
        </w:rPr>
        <w:noBreakHyphen/>
        <w:t>15 and 2015-16.</w:t>
      </w:r>
    </w:p>
    <w:p w:rsidR="00A353BA" w:rsidRPr="00A353BA" w:rsidRDefault="00A353BA" w:rsidP="00A353BA">
      <w:pPr>
        <w:spacing w:before="114" w:after="114"/>
        <w:rPr>
          <w:rFonts w:ascii="Calibri" w:eastAsia="Calibri" w:hAnsi="Calibri" w:cs="Times New Roman"/>
          <w:highlight w:val="yellow"/>
        </w:rPr>
      </w:pPr>
    </w:p>
    <w:p w:rsidR="00BE7FBF" w:rsidRDefault="00BE7FBF" w:rsidP="000B5C96">
      <w:pPr>
        <w:numPr>
          <w:ilvl w:val="2"/>
          <w:numId w:val="12"/>
        </w:numPr>
        <w:tabs>
          <w:tab w:val="clear" w:pos="1361"/>
          <w:tab w:val="num" w:pos="360"/>
          <w:tab w:val="num" w:pos="624"/>
        </w:tabs>
        <w:spacing w:before="114" w:after="113"/>
        <w:ind w:left="0" w:firstLine="0"/>
        <w:rPr>
          <w:rFonts w:ascii="Calibri" w:eastAsia="Calibri" w:hAnsi="Calibri" w:cs="Times New Roman"/>
          <w:highlight w:val="yellow"/>
        </w:rPr>
        <w:sectPr w:rsidR="00BE7FBF" w:rsidSect="00E8358C">
          <w:headerReference w:type="even" r:id="rId137"/>
          <w:headerReference w:type="default" r:id="rId138"/>
          <w:footerReference w:type="even" r:id="rId139"/>
          <w:footerReference w:type="default" r:id="rId140"/>
          <w:headerReference w:type="first" r:id="rId141"/>
          <w:footerReference w:type="first" r:id="rId142"/>
          <w:pgSz w:w="11906" w:h="16838"/>
          <w:pgMar w:top="1361" w:right="1797" w:bottom="1474" w:left="1797" w:header="283" w:footer="454" w:gutter="0"/>
          <w:cols w:space="708"/>
          <w:docGrid w:linePitch="360"/>
        </w:sectPr>
      </w:pPr>
    </w:p>
    <w:p w:rsidR="00A353BA" w:rsidRPr="00A353BA" w:rsidRDefault="00A353BA" w:rsidP="007A4BF9">
      <w:pPr>
        <w:pStyle w:val="Heading6"/>
        <w:rPr>
          <w:rFonts w:eastAsia="Calibri"/>
        </w:rPr>
      </w:pPr>
      <w:r w:rsidRPr="00A353BA">
        <w:rPr>
          <w:rFonts w:eastAsia="Calibri"/>
        </w:rPr>
        <w:lastRenderedPageBreak/>
        <w:t>Attachment A: Investing in Australian Science and Research—financial implications</w:t>
      </w:r>
    </w:p>
    <w:p w:rsidR="00A353BA" w:rsidRPr="00A353BA" w:rsidRDefault="00A353BA" w:rsidP="00905B06">
      <w:pPr>
        <w:pStyle w:val="Caption"/>
      </w:pPr>
      <w:r w:rsidRPr="00A353BA">
        <w:t>Table A1: Combined impact of all components—Financial implications</w:t>
      </w:r>
      <w:r w:rsidRPr="00A353BA">
        <w:rPr>
          <w:vertAlign w:val="superscript"/>
        </w:rPr>
        <w:t>(a)(b)</w:t>
      </w:r>
    </w:p>
    <w:tbl>
      <w:tblPr>
        <w:tblStyle w:val="TableGrid17"/>
        <w:tblW w:w="5031" w:type="pct"/>
        <w:tblLook w:val="0680" w:firstRow="0" w:lastRow="0" w:firstColumn="1" w:lastColumn="0" w:noHBand="1" w:noVBand="1"/>
      </w:tblPr>
      <w:tblGrid>
        <w:gridCol w:w="1882"/>
        <w:gridCol w:w="859"/>
        <w:gridCol w:w="856"/>
        <w:gridCol w:w="856"/>
        <w:gridCol w:w="854"/>
        <w:gridCol w:w="939"/>
        <w:gridCol w:w="854"/>
        <w:gridCol w:w="854"/>
        <w:gridCol w:w="856"/>
        <w:gridCol w:w="856"/>
        <w:gridCol w:w="859"/>
        <w:gridCol w:w="859"/>
        <w:gridCol w:w="939"/>
        <w:gridCol w:w="1014"/>
      </w:tblGrid>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rPr>
                <w:rFonts w:ascii="Calibri" w:hAnsi="Calibri"/>
                <w:sz w:val="20"/>
                <w:szCs w:val="20"/>
              </w:rPr>
            </w:pPr>
            <w:r w:rsidRPr="00A353BA">
              <w:rPr>
                <w:rFonts w:ascii="Calibri" w:hAnsi="Calibri"/>
                <w:sz w:val="20"/>
                <w:szCs w:val="20"/>
              </w:rPr>
              <w:t>($m)</w:t>
            </w:r>
          </w:p>
        </w:tc>
        <w:tc>
          <w:tcPr>
            <w:tcW w:w="322"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2016–17</w:t>
            </w:r>
          </w:p>
        </w:tc>
        <w:tc>
          <w:tcPr>
            <w:tcW w:w="321"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2017–18</w:t>
            </w:r>
          </w:p>
        </w:tc>
        <w:tc>
          <w:tcPr>
            <w:tcW w:w="321"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2018–19</w:t>
            </w:r>
          </w:p>
        </w:tc>
        <w:tc>
          <w:tcPr>
            <w:tcW w:w="320"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2019–20</w:t>
            </w:r>
          </w:p>
        </w:tc>
        <w:tc>
          <w:tcPr>
            <w:tcW w:w="352"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vertAlign w:val="superscript"/>
              </w:rPr>
            </w:pPr>
            <w:r w:rsidRPr="00A353BA">
              <w:rPr>
                <w:rFonts w:ascii="Calibri" w:hAnsi="Calibri"/>
                <w:b/>
                <w:sz w:val="20"/>
              </w:rPr>
              <w:t>Total to 2019–20</w:t>
            </w:r>
          </w:p>
        </w:tc>
        <w:tc>
          <w:tcPr>
            <w:tcW w:w="320"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2020–21</w:t>
            </w:r>
          </w:p>
        </w:tc>
        <w:tc>
          <w:tcPr>
            <w:tcW w:w="320"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2021–22</w:t>
            </w:r>
          </w:p>
        </w:tc>
        <w:tc>
          <w:tcPr>
            <w:tcW w:w="321"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2022–23</w:t>
            </w:r>
          </w:p>
        </w:tc>
        <w:tc>
          <w:tcPr>
            <w:tcW w:w="321"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2023–24</w:t>
            </w:r>
          </w:p>
        </w:tc>
        <w:tc>
          <w:tcPr>
            <w:tcW w:w="322"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2024–25</w:t>
            </w:r>
          </w:p>
        </w:tc>
        <w:tc>
          <w:tcPr>
            <w:tcW w:w="322"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2025–26</w:t>
            </w:r>
          </w:p>
        </w:tc>
        <w:tc>
          <w:tcPr>
            <w:tcW w:w="352"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2026–27</w:t>
            </w:r>
          </w:p>
        </w:tc>
        <w:tc>
          <w:tcPr>
            <w:tcW w:w="380" w:type="pct"/>
            <w:tcBorders>
              <w:bottom w:val="single" w:sz="4" w:space="0" w:color="788184"/>
            </w:tcBorders>
            <w:shd w:val="clear" w:color="auto" w:fill="D7DDE9"/>
            <w:vAlign w:val="center"/>
          </w:tcPr>
          <w:p w:rsidR="00A353BA" w:rsidRPr="00A353BA" w:rsidRDefault="00A353BA" w:rsidP="00A353B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2026–27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A353BA" w:rsidRPr="00A353BA" w:rsidRDefault="00A353BA" w:rsidP="00A353BA">
            <w:pPr>
              <w:keepNext/>
              <w:keepLines/>
              <w:spacing w:line="240" w:lineRule="auto"/>
              <w:ind w:left="57" w:right="57"/>
              <w:rPr>
                <w:rFonts w:ascii="Calibri" w:hAnsi="Calibri"/>
                <w:b/>
                <w:sz w:val="20"/>
              </w:rPr>
            </w:pPr>
            <w:r w:rsidRPr="00A353BA">
              <w:rPr>
                <w:rFonts w:ascii="Calibri" w:hAnsi="Calibri"/>
                <w:b/>
                <w:sz w:val="20"/>
              </w:rPr>
              <w:t xml:space="preserve">Impact on fiscal and underlying cash balances </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A353BA">
            <w:pPr>
              <w:spacing w:line="240" w:lineRule="auto"/>
              <w:ind w:left="57" w:right="57"/>
              <w:rPr>
                <w:rFonts w:ascii="Calibri" w:hAnsi="Calibri"/>
                <w:sz w:val="20"/>
                <w:szCs w:val="20"/>
              </w:rPr>
            </w:pPr>
            <w:r w:rsidRPr="00A353BA">
              <w:rPr>
                <w:rFonts w:ascii="Calibri" w:hAnsi="Calibri"/>
                <w:sz w:val="20"/>
                <w:szCs w:val="20"/>
              </w:rPr>
              <w:t>Administered</w:t>
            </w:r>
          </w:p>
        </w:tc>
        <w:tc>
          <w:tcPr>
            <w:tcW w:w="322"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-614.3</w:t>
            </w:r>
          </w:p>
        </w:tc>
        <w:tc>
          <w:tcPr>
            <w:tcW w:w="321"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-628.1</w:t>
            </w:r>
          </w:p>
        </w:tc>
        <w:tc>
          <w:tcPr>
            <w:tcW w:w="321"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-643.6</w:t>
            </w:r>
          </w:p>
        </w:tc>
        <w:tc>
          <w:tcPr>
            <w:tcW w:w="320"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-656.3</w:t>
            </w:r>
          </w:p>
        </w:tc>
        <w:tc>
          <w:tcPr>
            <w:tcW w:w="352"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-2,542.2</w:t>
            </w:r>
          </w:p>
        </w:tc>
        <w:tc>
          <w:tcPr>
            <w:tcW w:w="320"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-672.7</w:t>
            </w:r>
          </w:p>
        </w:tc>
        <w:tc>
          <w:tcPr>
            <w:tcW w:w="320"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-689.5</w:t>
            </w:r>
          </w:p>
        </w:tc>
        <w:tc>
          <w:tcPr>
            <w:tcW w:w="321"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-706.7</w:t>
            </w:r>
          </w:p>
        </w:tc>
        <w:tc>
          <w:tcPr>
            <w:tcW w:w="321"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-724.4</w:t>
            </w:r>
          </w:p>
        </w:tc>
        <w:tc>
          <w:tcPr>
            <w:tcW w:w="322"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-742.5</w:t>
            </w:r>
          </w:p>
        </w:tc>
        <w:tc>
          <w:tcPr>
            <w:tcW w:w="322"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-761.1</w:t>
            </w:r>
          </w:p>
        </w:tc>
        <w:tc>
          <w:tcPr>
            <w:tcW w:w="352"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-780.1</w:t>
            </w:r>
          </w:p>
        </w:tc>
        <w:tc>
          <w:tcPr>
            <w:tcW w:w="380"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-7,619.2</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A353BA">
            <w:pPr>
              <w:spacing w:line="240" w:lineRule="auto"/>
              <w:ind w:left="57" w:right="57"/>
              <w:rPr>
                <w:rFonts w:ascii="Calibri" w:hAnsi="Calibri"/>
                <w:sz w:val="20"/>
                <w:szCs w:val="20"/>
              </w:rPr>
            </w:pPr>
            <w:r w:rsidRPr="00A353BA">
              <w:rPr>
                <w:rFonts w:ascii="Calibri" w:hAnsi="Calibri"/>
                <w:sz w:val="20"/>
                <w:szCs w:val="20"/>
              </w:rPr>
              <w:t>Departmental</w:t>
            </w:r>
          </w:p>
        </w:tc>
        <w:tc>
          <w:tcPr>
            <w:tcW w:w="322"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-156.8</w:t>
            </w:r>
          </w:p>
        </w:tc>
        <w:tc>
          <w:tcPr>
            <w:tcW w:w="321"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-151.2</w:t>
            </w:r>
          </w:p>
        </w:tc>
        <w:tc>
          <w:tcPr>
            <w:tcW w:w="321"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-170.5</w:t>
            </w:r>
          </w:p>
        </w:tc>
        <w:tc>
          <w:tcPr>
            <w:tcW w:w="320"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-119.3</w:t>
            </w:r>
          </w:p>
        </w:tc>
        <w:tc>
          <w:tcPr>
            <w:tcW w:w="352"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-597.8</w:t>
            </w:r>
          </w:p>
        </w:tc>
        <w:tc>
          <w:tcPr>
            <w:tcW w:w="320"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-120.3</w:t>
            </w:r>
          </w:p>
        </w:tc>
        <w:tc>
          <w:tcPr>
            <w:tcW w:w="320"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-121.2</w:t>
            </w:r>
          </w:p>
        </w:tc>
        <w:tc>
          <w:tcPr>
            <w:tcW w:w="321"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-122.1</w:t>
            </w:r>
          </w:p>
        </w:tc>
        <w:tc>
          <w:tcPr>
            <w:tcW w:w="321"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-123.1</w:t>
            </w:r>
          </w:p>
        </w:tc>
        <w:tc>
          <w:tcPr>
            <w:tcW w:w="322"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-124.1</w:t>
            </w:r>
          </w:p>
        </w:tc>
        <w:tc>
          <w:tcPr>
            <w:tcW w:w="322"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-125.0</w:t>
            </w:r>
          </w:p>
        </w:tc>
        <w:tc>
          <w:tcPr>
            <w:tcW w:w="352"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-126.0</w:t>
            </w:r>
          </w:p>
        </w:tc>
        <w:tc>
          <w:tcPr>
            <w:tcW w:w="380" w:type="pct"/>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-1,459.6</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shd w:val="clear" w:color="auto" w:fill="D7DDE9"/>
          </w:tcPr>
          <w:p w:rsidR="00A353BA" w:rsidRPr="00A353BA" w:rsidRDefault="00A353BA" w:rsidP="00A353BA">
            <w:pPr>
              <w:spacing w:line="240" w:lineRule="auto"/>
              <w:ind w:left="57" w:right="57"/>
              <w:rPr>
                <w:rFonts w:ascii="Calibri" w:hAnsi="Calibri"/>
                <w:b/>
                <w:sz w:val="20"/>
                <w:szCs w:val="20"/>
              </w:rPr>
            </w:pPr>
            <w:r w:rsidRPr="00A353BA">
              <w:rPr>
                <w:rFonts w:ascii="Calibri" w:hAnsi="Calibri"/>
                <w:b/>
                <w:sz w:val="20"/>
                <w:szCs w:val="20"/>
              </w:rPr>
              <w:t>Total</w:t>
            </w:r>
          </w:p>
        </w:tc>
        <w:tc>
          <w:tcPr>
            <w:tcW w:w="322"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-771.1</w:t>
            </w:r>
          </w:p>
        </w:tc>
        <w:tc>
          <w:tcPr>
            <w:tcW w:w="321"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-779.3</w:t>
            </w:r>
          </w:p>
        </w:tc>
        <w:tc>
          <w:tcPr>
            <w:tcW w:w="321"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-814.0</w:t>
            </w:r>
          </w:p>
        </w:tc>
        <w:tc>
          <w:tcPr>
            <w:tcW w:w="320"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-775.6</w:t>
            </w:r>
          </w:p>
        </w:tc>
        <w:tc>
          <w:tcPr>
            <w:tcW w:w="352"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-3,140.0</w:t>
            </w:r>
          </w:p>
        </w:tc>
        <w:tc>
          <w:tcPr>
            <w:tcW w:w="320"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-792.9</w:t>
            </w:r>
          </w:p>
        </w:tc>
        <w:tc>
          <w:tcPr>
            <w:tcW w:w="320"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-810.7</w:t>
            </w:r>
          </w:p>
        </w:tc>
        <w:tc>
          <w:tcPr>
            <w:tcW w:w="321"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-828.9</w:t>
            </w:r>
          </w:p>
        </w:tc>
        <w:tc>
          <w:tcPr>
            <w:tcW w:w="321"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-847.5</w:t>
            </w:r>
          </w:p>
        </w:tc>
        <w:tc>
          <w:tcPr>
            <w:tcW w:w="322"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-866.6</w:t>
            </w:r>
          </w:p>
        </w:tc>
        <w:tc>
          <w:tcPr>
            <w:tcW w:w="322"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-886.1</w:t>
            </w:r>
          </w:p>
        </w:tc>
        <w:tc>
          <w:tcPr>
            <w:tcW w:w="352"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-906.1</w:t>
            </w:r>
          </w:p>
        </w:tc>
        <w:tc>
          <w:tcPr>
            <w:tcW w:w="380" w:type="pct"/>
            <w:shd w:val="clear" w:color="auto" w:fill="D7DDE9"/>
            <w:vAlign w:val="center"/>
          </w:tcPr>
          <w:p w:rsidR="00A353BA" w:rsidRPr="00A353BA" w:rsidRDefault="00A353BA" w:rsidP="00A353B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-9,078.8</w:t>
            </w:r>
          </w:p>
        </w:tc>
      </w:tr>
    </w:tbl>
    <w:p w:rsidR="00BE7FBF" w:rsidRDefault="00A353BA" w:rsidP="000B5C96">
      <w:pPr>
        <w:pStyle w:val="Footnotes"/>
        <w:numPr>
          <w:ilvl w:val="0"/>
          <w:numId w:val="55"/>
        </w:numPr>
        <w:ind w:left="284" w:hanging="284"/>
      </w:pPr>
      <w:r w:rsidRPr="00BE7FBF">
        <w:t>A negative number indicates a decrease in revenue or an increase in expenses or net capital investment in accrual and cash terms.</w:t>
      </w:r>
    </w:p>
    <w:p w:rsidR="00A353BA" w:rsidRPr="00BE7FBF" w:rsidRDefault="00A353BA" w:rsidP="000B5C96">
      <w:pPr>
        <w:pStyle w:val="Footnotes"/>
        <w:numPr>
          <w:ilvl w:val="0"/>
          <w:numId w:val="55"/>
        </w:numPr>
        <w:ind w:left="284" w:hanging="284"/>
      </w:pPr>
      <w:r w:rsidRPr="00BE7FBF">
        <w:t>Figures may not sum to totals due to rounding.</w:t>
      </w:r>
    </w:p>
    <w:p w:rsidR="00A353BA" w:rsidRPr="00A353BA" w:rsidRDefault="00A353BA" w:rsidP="00DE7F72">
      <w:pPr>
        <w:pStyle w:val="Caption"/>
      </w:pPr>
      <w:r w:rsidRPr="00A353BA">
        <w:lastRenderedPageBreak/>
        <w:t>Table A2: Component 1: Core science funding—Financial implications</w:t>
      </w:r>
      <w:r w:rsidRPr="00A353BA">
        <w:rPr>
          <w:vertAlign w:val="superscript"/>
        </w:rPr>
        <w:t>(a)(b)</w:t>
      </w:r>
    </w:p>
    <w:tbl>
      <w:tblPr>
        <w:tblStyle w:val="TableGrid17"/>
        <w:tblW w:w="5031" w:type="pct"/>
        <w:tblLook w:val="0680" w:firstRow="0" w:lastRow="0" w:firstColumn="1" w:lastColumn="0" w:noHBand="1" w:noVBand="1"/>
      </w:tblPr>
      <w:tblGrid>
        <w:gridCol w:w="1917"/>
        <w:gridCol w:w="856"/>
        <w:gridCol w:w="854"/>
        <w:gridCol w:w="854"/>
        <w:gridCol w:w="851"/>
        <w:gridCol w:w="936"/>
        <w:gridCol w:w="851"/>
        <w:gridCol w:w="851"/>
        <w:gridCol w:w="854"/>
        <w:gridCol w:w="854"/>
        <w:gridCol w:w="856"/>
        <w:gridCol w:w="856"/>
        <w:gridCol w:w="936"/>
        <w:gridCol w:w="1011"/>
      </w:tblGrid>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shd w:val="clear" w:color="auto" w:fill="D7DDE9"/>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($m)</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2016–17</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2017–18</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2018–19</w:t>
            </w:r>
          </w:p>
        </w:tc>
        <w:tc>
          <w:tcPr>
            <w:tcW w:w="31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2019–20</w:t>
            </w:r>
          </w:p>
        </w:tc>
        <w:tc>
          <w:tcPr>
            <w:tcW w:w="35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2019–20</w:t>
            </w:r>
          </w:p>
        </w:tc>
        <w:tc>
          <w:tcPr>
            <w:tcW w:w="31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2020–21</w:t>
            </w:r>
          </w:p>
        </w:tc>
        <w:tc>
          <w:tcPr>
            <w:tcW w:w="31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2021–22</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2022–23</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2023–24</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2024–25</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2025–26</w:t>
            </w:r>
          </w:p>
        </w:tc>
        <w:tc>
          <w:tcPr>
            <w:tcW w:w="35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2026–27</w:t>
            </w:r>
          </w:p>
        </w:tc>
        <w:tc>
          <w:tcPr>
            <w:tcW w:w="37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2026–27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bottom w:val="single" w:sz="4" w:space="0" w:color="788184"/>
            </w:tcBorders>
            <w:shd w:val="clear" w:color="auto" w:fill="D7DDE9"/>
          </w:tcPr>
          <w:p w:rsidR="00A353BA" w:rsidRPr="00A353BA" w:rsidRDefault="00A353BA" w:rsidP="00DE7F72">
            <w:pPr>
              <w:keepNext/>
              <w:keepLines/>
              <w:spacing w:line="240" w:lineRule="auto"/>
              <w:ind w:left="57" w:right="57"/>
              <w:rPr>
                <w:rFonts w:ascii="Calibri" w:hAnsi="Calibri"/>
                <w:b/>
                <w:sz w:val="20"/>
              </w:rPr>
            </w:pPr>
            <w:r w:rsidRPr="00A353BA">
              <w:rPr>
                <w:rFonts w:ascii="Calibri" w:hAnsi="Calibri"/>
                <w:b/>
                <w:sz w:val="20"/>
              </w:rPr>
              <w:t xml:space="preserve">Impact on fiscal and underlying cash balances </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Administered</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ARC grants</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-83.3</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-85.2</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-87.4</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-89.6</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-345.5</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-91.8</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-94.1</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-96.4</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-98.8</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-101.3</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-103.9</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-106.4</w:t>
            </w:r>
          </w:p>
        </w:tc>
        <w:tc>
          <w:tcPr>
            <w:tcW w:w="37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-1,038.3</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NHMRC grants</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-83.3</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-85.2</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-87.4</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-89.6</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-345.5</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-91.8</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-94.1</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-96.4</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-98.8</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-101.3</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-103.9</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-106.4</w:t>
            </w:r>
          </w:p>
        </w:tc>
        <w:tc>
          <w:tcPr>
            <w:tcW w:w="37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-1,038.3</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CRC grants</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-33.3</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-34.1</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-34.9</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-35.8</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-138.2</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-36.7</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-37.6</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-38.6</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-39.5</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-40.5</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-41.5</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-42.6</w:t>
            </w:r>
          </w:p>
        </w:tc>
        <w:tc>
          <w:tcPr>
            <w:tcW w:w="37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-415.3</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tcBorders>
              <w:bottom w:val="single" w:sz="4" w:space="0" w:color="788184"/>
            </w:tcBorders>
            <w:vAlign w:val="center"/>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 - administered</w:t>
            </w:r>
          </w:p>
        </w:tc>
        <w:tc>
          <w:tcPr>
            <w:tcW w:w="321"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-200.0</w:t>
            </w:r>
          </w:p>
        </w:tc>
        <w:tc>
          <w:tcPr>
            <w:tcW w:w="320"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-204.6</w:t>
            </w:r>
          </w:p>
        </w:tc>
        <w:tc>
          <w:tcPr>
            <w:tcW w:w="320"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-209.7</w:t>
            </w:r>
          </w:p>
        </w:tc>
        <w:tc>
          <w:tcPr>
            <w:tcW w:w="319"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-214.9</w:t>
            </w:r>
          </w:p>
        </w:tc>
        <w:tc>
          <w:tcPr>
            <w:tcW w:w="351"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-829.2</w:t>
            </w:r>
          </w:p>
        </w:tc>
        <w:tc>
          <w:tcPr>
            <w:tcW w:w="319"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-220.3</w:t>
            </w:r>
          </w:p>
        </w:tc>
        <w:tc>
          <w:tcPr>
            <w:tcW w:w="319"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-225.8</w:t>
            </w:r>
          </w:p>
        </w:tc>
        <w:tc>
          <w:tcPr>
            <w:tcW w:w="320"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-231.4</w:t>
            </w:r>
          </w:p>
        </w:tc>
        <w:tc>
          <w:tcPr>
            <w:tcW w:w="320"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-237.2</w:t>
            </w:r>
          </w:p>
        </w:tc>
        <w:tc>
          <w:tcPr>
            <w:tcW w:w="321"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-243.2</w:t>
            </w:r>
          </w:p>
        </w:tc>
        <w:tc>
          <w:tcPr>
            <w:tcW w:w="321"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-249.2</w:t>
            </w:r>
          </w:p>
        </w:tc>
        <w:tc>
          <w:tcPr>
            <w:tcW w:w="351"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-255.5</w:t>
            </w:r>
          </w:p>
        </w:tc>
        <w:tc>
          <w:tcPr>
            <w:tcW w:w="379"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-2,491.9</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vAlign w:val="center"/>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Departmental</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ARC grants</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-7.4</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-2.0</w:t>
            </w:r>
          </w:p>
        </w:tc>
        <w:tc>
          <w:tcPr>
            <w:tcW w:w="37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-20.9</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NHMRC grants</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-7.4</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-1.9</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-2.0</w:t>
            </w:r>
          </w:p>
        </w:tc>
        <w:tc>
          <w:tcPr>
            <w:tcW w:w="37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-20.9</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CRC grants</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-3.8</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w:t>
            </w:r>
          </w:p>
        </w:tc>
        <w:tc>
          <w:tcPr>
            <w:tcW w:w="37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vAlign w:val="center"/>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 - departmental</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-4.7</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-4.7</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-4.7</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-4.7</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-18.7</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-4.7</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-4.7</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-4.8</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-4.8</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-4.9</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-4.9</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-4.9</w:t>
            </w:r>
          </w:p>
        </w:tc>
        <w:tc>
          <w:tcPr>
            <w:tcW w:w="37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-52.4</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shd w:val="clear" w:color="auto" w:fill="D7DDE9"/>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-204.7</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-209.2</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-214.3</w:t>
            </w:r>
          </w:p>
        </w:tc>
        <w:tc>
          <w:tcPr>
            <w:tcW w:w="31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-219.6</w:t>
            </w:r>
          </w:p>
        </w:tc>
        <w:tc>
          <w:tcPr>
            <w:tcW w:w="35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-847.9</w:t>
            </w:r>
          </w:p>
        </w:tc>
        <w:tc>
          <w:tcPr>
            <w:tcW w:w="31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-225.0</w:t>
            </w:r>
          </w:p>
        </w:tc>
        <w:tc>
          <w:tcPr>
            <w:tcW w:w="31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-230.5</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-236.2</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-242.1</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-248.0</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-254.1</w:t>
            </w:r>
          </w:p>
        </w:tc>
        <w:tc>
          <w:tcPr>
            <w:tcW w:w="35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-260.4</w:t>
            </w:r>
          </w:p>
        </w:tc>
        <w:tc>
          <w:tcPr>
            <w:tcW w:w="37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-2,544.3</w:t>
            </w:r>
          </w:p>
        </w:tc>
      </w:tr>
    </w:tbl>
    <w:p w:rsidR="00A353BA" w:rsidRPr="00BE7FBF" w:rsidRDefault="00A353BA" w:rsidP="000B5C96">
      <w:pPr>
        <w:pStyle w:val="Footnotes"/>
        <w:keepNext/>
        <w:keepLines/>
        <w:numPr>
          <w:ilvl w:val="0"/>
          <w:numId w:val="56"/>
        </w:numPr>
        <w:ind w:left="284" w:hanging="284"/>
      </w:pPr>
      <w:r w:rsidRPr="00BE7FBF">
        <w:t>A negative number indicates a decrease in revenue or an increase in expenses or net capital investment in accrual and cash terms.</w:t>
      </w:r>
    </w:p>
    <w:p w:rsidR="00A353BA" w:rsidRPr="00A353BA" w:rsidRDefault="00A353BA" w:rsidP="000B5C96">
      <w:pPr>
        <w:pStyle w:val="Footnotes"/>
        <w:numPr>
          <w:ilvl w:val="0"/>
          <w:numId w:val="55"/>
        </w:numPr>
        <w:ind w:left="284" w:hanging="284"/>
      </w:pPr>
      <w:r w:rsidRPr="00A353BA">
        <w:t>Figures may not sum to totals due to rounding.</w:t>
      </w:r>
    </w:p>
    <w:p w:rsidR="00A353BA" w:rsidRPr="00A353BA" w:rsidRDefault="00A353BA" w:rsidP="00DE7F72">
      <w:pPr>
        <w:pStyle w:val="Caption"/>
      </w:pPr>
      <w:r w:rsidRPr="00A353BA">
        <w:lastRenderedPageBreak/>
        <w:t>Table A3: Component 2: Supporting women in science—Financial implications</w:t>
      </w:r>
      <w:r w:rsidRPr="00A353BA">
        <w:rPr>
          <w:vertAlign w:val="superscript"/>
        </w:rPr>
        <w:t>(a)(b)</w:t>
      </w:r>
    </w:p>
    <w:tbl>
      <w:tblPr>
        <w:tblStyle w:val="TableGrid17"/>
        <w:tblW w:w="5031" w:type="pct"/>
        <w:tblLook w:val="0680" w:firstRow="0" w:lastRow="0" w:firstColumn="1" w:lastColumn="0" w:noHBand="1" w:noVBand="1"/>
      </w:tblPr>
      <w:tblGrid>
        <w:gridCol w:w="1882"/>
        <w:gridCol w:w="859"/>
        <w:gridCol w:w="856"/>
        <w:gridCol w:w="856"/>
        <w:gridCol w:w="854"/>
        <w:gridCol w:w="939"/>
        <w:gridCol w:w="854"/>
        <w:gridCol w:w="854"/>
        <w:gridCol w:w="856"/>
        <w:gridCol w:w="856"/>
        <w:gridCol w:w="859"/>
        <w:gridCol w:w="859"/>
        <w:gridCol w:w="939"/>
        <w:gridCol w:w="1014"/>
      </w:tblGrid>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($m)</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2016–17</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2017–18</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2018–19</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2019–20</w:t>
            </w:r>
          </w:p>
        </w:tc>
        <w:tc>
          <w:tcPr>
            <w:tcW w:w="35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2019–20</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2020–21</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2021–22</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2022–23</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2023–24</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2024–25</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2025–26</w:t>
            </w:r>
          </w:p>
        </w:tc>
        <w:tc>
          <w:tcPr>
            <w:tcW w:w="35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2026–27</w:t>
            </w:r>
          </w:p>
        </w:tc>
        <w:tc>
          <w:tcPr>
            <w:tcW w:w="38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2026–27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A353BA" w:rsidRPr="00A353BA" w:rsidRDefault="00A353BA" w:rsidP="00DE7F72">
            <w:pPr>
              <w:keepNext/>
              <w:keepLines/>
              <w:spacing w:line="240" w:lineRule="auto"/>
              <w:ind w:left="57" w:right="57"/>
              <w:rPr>
                <w:rFonts w:ascii="Calibri" w:hAnsi="Calibri"/>
                <w:b/>
                <w:sz w:val="20"/>
              </w:rPr>
            </w:pPr>
            <w:r w:rsidRPr="00A353BA">
              <w:rPr>
                <w:rFonts w:ascii="Calibri" w:hAnsi="Calibri"/>
                <w:b/>
                <w:sz w:val="20"/>
              </w:rPr>
              <w:t xml:space="preserve">Impact on fiscal and underlying cash balances </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Administered</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-50.0</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-51.1</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-52.4</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-53.7</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-207.3</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-55.1</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-56.5</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-57.9</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-59.3</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-60.8</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-62.3</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-63.9</w:t>
            </w:r>
          </w:p>
        </w:tc>
        <w:tc>
          <w:tcPr>
            <w:tcW w:w="38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-623.0</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Departmental</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-6.4</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-1.7</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-1.7</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-1.7</w:t>
            </w:r>
          </w:p>
        </w:tc>
        <w:tc>
          <w:tcPr>
            <w:tcW w:w="38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-17.9</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shd w:val="clear" w:color="auto" w:fill="D7DDE9"/>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-51.6</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-52.7</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-54.0</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-55.3</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-213.7</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-56.7</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-58.1</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-59.5</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-61.0</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-62.4</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-64.0</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-65.6</w:t>
            </w:r>
          </w:p>
        </w:tc>
        <w:tc>
          <w:tcPr>
            <w:tcW w:w="38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-640.8</w:t>
            </w:r>
          </w:p>
        </w:tc>
      </w:tr>
    </w:tbl>
    <w:p w:rsidR="00A353BA" w:rsidRPr="00BE7FBF" w:rsidRDefault="00A353BA" w:rsidP="000B5C96">
      <w:pPr>
        <w:pStyle w:val="Footnotes"/>
        <w:keepNext/>
        <w:keepLines/>
        <w:numPr>
          <w:ilvl w:val="0"/>
          <w:numId w:val="57"/>
        </w:numPr>
        <w:ind w:left="284" w:hanging="284"/>
      </w:pPr>
      <w:r w:rsidRPr="00BE7FBF">
        <w:t>A negative number indicates a decrease in revenue or an increase in expenses or net capital investment in accrual and cash terms.</w:t>
      </w:r>
    </w:p>
    <w:p w:rsidR="00A353BA" w:rsidRPr="00A353BA" w:rsidRDefault="00A353BA" w:rsidP="000B5C96">
      <w:pPr>
        <w:pStyle w:val="Footnotes"/>
        <w:numPr>
          <w:ilvl w:val="0"/>
          <w:numId w:val="55"/>
        </w:numPr>
        <w:ind w:left="284" w:hanging="284"/>
      </w:pPr>
      <w:r w:rsidRPr="00A353BA">
        <w:t>Figures may not sum to totals due to rounding.</w:t>
      </w:r>
    </w:p>
    <w:p w:rsidR="00A353BA" w:rsidRPr="00A353BA" w:rsidRDefault="00A353BA" w:rsidP="00DE7F72">
      <w:pPr>
        <w:pStyle w:val="Caption"/>
      </w:pPr>
      <w:r w:rsidRPr="00A353BA">
        <w:t>Table A4: Component 3: Research infrastructure—Financial implications</w:t>
      </w:r>
      <w:r w:rsidRPr="00A353BA">
        <w:rPr>
          <w:vertAlign w:val="superscript"/>
        </w:rPr>
        <w:t>(a)(b)</w:t>
      </w:r>
    </w:p>
    <w:tbl>
      <w:tblPr>
        <w:tblStyle w:val="TableGrid17"/>
        <w:tblW w:w="5031" w:type="pct"/>
        <w:tblLook w:val="0680" w:firstRow="0" w:lastRow="0" w:firstColumn="1" w:lastColumn="0" w:noHBand="1" w:noVBand="1"/>
      </w:tblPr>
      <w:tblGrid>
        <w:gridCol w:w="1917"/>
        <w:gridCol w:w="856"/>
        <w:gridCol w:w="854"/>
        <w:gridCol w:w="854"/>
        <w:gridCol w:w="851"/>
        <w:gridCol w:w="936"/>
        <w:gridCol w:w="851"/>
        <w:gridCol w:w="851"/>
        <w:gridCol w:w="854"/>
        <w:gridCol w:w="854"/>
        <w:gridCol w:w="856"/>
        <w:gridCol w:w="856"/>
        <w:gridCol w:w="936"/>
        <w:gridCol w:w="1011"/>
      </w:tblGrid>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($m)</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2016–17</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2017–18</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2018–19</w:t>
            </w:r>
          </w:p>
        </w:tc>
        <w:tc>
          <w:tcPr>
            <w:tcW w:w="319"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2019–20</w:t>
            </w:r>
          </w:p>
        </w:tc>
        <w:tc>
          <w:tcPr>
            <w:tcW w:w="35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2019–20</w:t>
            </w:r>
          </w:p>
        </w:tc>
        <w:tc>
          <w:tcPr>
            <w:tcW w:w="319"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2020–21</w:t>
            </w:r>
          </w:p>
        </w:tc>
        <w:tc>
          <w:tcPr>
            <w:tcW w:w="319"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2021–22</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2022–23</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2023–24</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2024–25</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2025–26</w:t>
            </w:r>
          </w:p>
        </w:tc>
        <w:tc>
          <w:tcPr>
            <w:tcW w:w="35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2026–27</w:t>
            </w:r>
          </w:p>
        </w:tc>
        <w:tc>
          <w:tcPr>
            <w:tcW w:w="379"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2026–27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A353BA" w:rsidRPr="00A353BA" w:rsidRDefault="00A353BA" w:rsidP="00DE7F72">
            <w:pPr>
              <w:keepNext/>
              <w:keepLines/>
              <w:spacing w:line="240" w:lineRule="auto"/>
              <w:ind w:left="57" w:right="57"/>
              <w:rPr>
                <w:rFonts w:ascii="Calibri" w:hAnsi="Calibri"/>
                <w:b/>
                <w:sz w:val="20"/>
              </w:rPr>
            </w:pPr>
            <w:r w:rsidRPr="00A353BA">
              <w:rPr>
                <w:rFonts w:ascii="Calibri" w:hAnsi="Calibri"/>
                <w:b/>
                <w:sz w:val="20"/>
              </w:rPr>
              <w:t xml:space="preserve">Impact on fiscal and underlying cash balances </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Administered</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-100.0</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-102.3</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-104.8</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-107.5</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-414.6</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-110.1</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-112.9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-115.7</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-118.6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-124.6</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-127.7</w:t>
            </w:r>
          </w:p>
        </w:tc>
        <w:tc>
          <w:tcPr>
            <w:tcW w:w="37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-1,245.9</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Departmental</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-2.0</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-2.0</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-2.0</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-2.0</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-8.0</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-2.0</w:t>
            </w:r>
          </w:p>
        </w:tc>
        <w:tc>
          <w:tcPr>
            <w:tcW w:w="31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-2.0</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-2.0</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-2.1</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-2.1</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-2.1</w:t>
            </w:r>
          </w:p>
        </w:tc>
        <w:tc>
          <w:tcPr>
            <w:tcW w:w="35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-2.1</w:t>
            </w:r>
          </w:p>
        </w:tc>
        <w:tc>
          <w:tcPr>
            <w:tcW w:w="379"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-22.3</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19" w:type="pct"/>
            <w:shd w:val="clear" w:color="auto" w:fill="D7DDE9"/>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-102.0</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-104.3</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-106.8</w:t>
            </w:r>
          </w:p>
        </w:tc>
        <w:tc>
          <w:tcPr>
            <w:tcW w:w="31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-109.5</w:t>
            </w:r>
          </w:p>
        </w:tc>
        <w:tc>
          <w:tcPr>
            <w:tcW w:w="35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-422.6</w:t>
            </w:r>
          </w:p>
        </w:tc>
        <w:tc>
          <w:tcPr>
            <w:tcW w:w="31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-112.2</w:t>
            </w:r>
          </w:p>
        </w:tc>
        <w:tc>
          <w:tcPr>
            <w:tcW w:w="31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-114.9</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-117.8</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-120.7</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-123.7</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-126.7</w:t>
            </w:r>
          </w:p>
        </w:tc>
        <w:tc>
          <w:tcPr>
            <w:tcW w:w="35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-129.8</w:t>
            </w:r>
          </w:p>
        </w:tc>
        <w:tc>
          <w:tcPr>
            <w:tcW w:w="379"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-1,268.3</w:t>
            </w:r>
          </w:p>
        </w:tc>
      </w:tr>
    </w:tbl>
    <w:p w:rsidR="00A353BA" w:rsidRPr="00760675" w:rsidRDefault="00A353BA" w:rsidP="000B5C96">
      <w:pPr>
        <w:pStyle w:val="Footnotes"/>
        <w:keepNext/>
        <w:keepLines/>
        <w:numPr>
          <w:ilvl w:val="0"/>
          <w:numId w:val="58"/>
        </w:numPr>
        <w:ind w:left="284" w:hanging="284"/>
      </w:pPr>
      <w:r w:rsidRPr="00760675">
        <w:t>A negative number indicates a decrease in revenue or an increase in expenses or net capital investment in accrual and cash terms.</w:t>
      </w:r>
    </w:p>
    <w:p w:rsidR="00A353BA" w:rsidRPr="00A353BA" w:rsidRDefault="00A353BA" w:rsidP="000B5C96">
      <w:pPr>
        <w:pStyle w:val="Footnotes"/>
        <w:numPr>
          <w:ilvl w:val="0"/>
          <w:numId w:val="55"/>
        </w:numPr>
        <w:ind w:left="284" w:hanging="284"/>
      </w:pPr>
      <w:r w:rsidRPr="00A353BA">
        <w:t>Figures may not sum to totals due to rounding.</w:t>
      </w:r>
    </w:p>
    <w:p w:rsidR="00A353BA" w:rsidRPr="00A353BA" w:rsidRDefault="00A353BA" w:rsidP="00DE7F72">
      <w:pPr>
        <w:pStyle w:val="Caption"/>
      </w:pPr>
      <w:r w:rsidRPr="00A353BA">
        <w:lastRenderedPageBreak/>
        <w:t>Table A5: Component 4: International collaboration—Financial implications</w:t>
      </w:r>
      <w:r w:rsidRPr="00A353BA">
        <w:rPr>
          <w:vertAlign w:val="superscript"/>
        </w:rPr>
        <w:t>(a)(b)</w:t>
      </w:r>
    </w:p>
    <w:tbl>
      <w:tblPr>
        <w:tblStyle w:val="TableGrid17"/>
        <w:tblW w:w="5031" w:type="pct"/>
        <w:tblLook w:val="0680" w:firstRow="0" w:lastRow="0" w:firstColumn="1" w:lastColumn="0" w:noHBand="1" w:noVBand="1"/>
      </w:tblPr>
      <w:tblGrid>
        <w:gridCol w:w="1882"/>
        <w:gridCol w:w="859"/>
        <w:gridCol w:w="856"/>
        <w:gridCol w:w="856"/>
        <w:gridCol w:w="854"/>
        <w:gridCol w:w="939"/>
        <w:gridCol w:w="854"/>
        <w:gridCol w:w="854"/>
        <w:gridCol w:w="856"/>
        <w:gridCol w:w="856"/>
        <w:gridCol w:w="859"/>
        <w:gridCol w:w="859"/>
        <w:gridCol w:w="939"/>
        <w:gridCol w:w="1014"/>
      </w:tblGrid>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($m)</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2016–17</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2017–18</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2018–19</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2019–20</w:t>
            </w:r>
          </w:p>
        </w:tc>
        <w:tc>
          <w:tcPr>
            <w:tcW w:w="35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2019–20</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2020–21</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2021–22</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2022–23</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2023–24</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2024–25</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2025–26</w:t>
            </w:r>
          </w:p>
        </w:tc>
        <w:tc>
          <w:tcPr>
            <w:tcW w:w="35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2026–27</w:t>
            </w:r>
          </w:p>
        </w:tc>
        <w:tc>
          <w:tcPr>
            <w:tcW w:w="38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2026–27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A353BA" w:rsidRPr="00A353BA" w:rsidRDefault="00A353BA" w:rsidP="00DE7F72">
            <w:pPr>
              <w:keepNext/>
              <w:keepLines/>
              <w:spacing w:line="240" w:lineRule="auto"/>
              <w:ind w:left="57" w:right="57"/>
              <w:rPr>
                <w:rFonts w:ascii="Calibri" w:hAnsi="Calibri"/>
                <w:b/>
                <w:sz w:val="20"/>
              </w:rPr>
            </w:pPr>
            <w:r w:rsidRPr="00A353BA">
              <w:rPr>
                <w:rFonts w:ascii="Calibri" w:hAnsi="Calibri"/>
                <w:b/>
                <w:sz w:val="20"/>
              </w:rPr>
              <w:t xml:space="preserve">Impact on fiscal and underlying cash balances </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Administered</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-10.0</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-10.2</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-10.5</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-10.7</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-41.5</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-11.0</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-11.3</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-11.9</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-12.2</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-12.5</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-12.8</w:t>
            </w:r>
          </w:p>
        </w:tc>
        <w:tc>
          <w:tcPr>
            <w:tcW w:w="38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-124.6</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Departmental</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-0.5</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-0.5</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-0.5</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-0.5</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-0.5</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-0.5</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-0.5</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-0.5</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-0.5</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-0.5</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-0.5</w:t>
            </w:r>
          </w:p>
        </w:tc>
        <w:tc>
          <w:tcPr>
            <w:tcW w:w="38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-5.4</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shd w:val="clear" w:color="auto" w:fill="D7DDE9"/>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-10.5</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-10.7</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-11.0</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-11.2</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-43.4</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-11.5</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-11.8</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-12.1</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-12.4</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-12.7</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-13.0</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-13.3</w:t>
            </w:r>
          </w:p>
        </w:tc>
        <w:tc>
          <w:tcPr>
            <w:tcW w:w="38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-130.0</w:t>
            </w:r>
          </w:p>
        </w:tc>
      </w:tr>
    </w:tbl>
    <w:p w:rsidR="00A353BA" w:rsidRPr="00BE7FBF" w:rsidRDefault="00A353BA" w:rsidP="000B5C96">
      <w:pPr>
        <w:pStyle w:val="Footnotes"/>
        <w:keepNext/>
        <w:keepLines/>
        <w:numPr>
          <w:ilvl w:val="0"/>
          <w:numId w:val="59"/>
        </w:numPr>
        <w:ind w:left="284" w:hanging="284"/>
      </w:pPr>
      <w:r w:rsidRPr="00BE7FBF">
        <w:t>A negative number indicates a decrease in revenue or an increase in expenses or net capital investment in accrual and cash terms.</w:t>
      </w:r>
    </w:p>
    <w:p w:rsidR="00A353BA" w:rsidRPr="00A353BA" w:rsidRDefault="00A353BA" w:rsidP="000B5C96">
      <w:pPr>
        <w:pStyle w:val="Footnotes"/>
        <w:numPr>
          <w:ilvl w:val="0"/>
          <w:numId w:val="55"/>
        </w:numPr>
        <w:ind w:left="284" w:hanging="284"/>
      </w:pPr>
      <w:r w:rsidRPr="00A353BA">
        <w:t>Figures may not sum to totals due to rounding.</w:t>
      </w:r>
    </w:p>
    <w:p w:rsidR="00A353BA" w:rsidRPr="00A353BA" w:rsidRDefault="00A353BA" w:rsidP="00DE7F72">
      <w:pPr>
        <w:pStyle w:val="Caption"/>
      </w:pPr>
      <w:r w:rsidRPr="00A353BA">
        <w:t>Table A6: Component 5: Future Fellowship Scheme—Financial implications</w:t>
      </w:r>
      <w:r w:rsidRPr="00A353BA">
        <w:rPr>
          <w:vertAlign w:val="superscript"/>
        </w:rPr>
        <w:t>(a)(b)</w:t>
      </w:r>
    </w:p>
    <w:tbl>
      <w:tblPr>
        <w:tblStyle w:val="TableGrid17"/>
        <w:tblW w:w="5031" w:type="pct"/>
        <w:tblLook w:val="0680" w:firstRow="0" w:lastRow="0" w:firstColumn="1" w:lastColumn="0" w:noHBand="1" w:noVBand="1"/>
      </w:tblPr>
      <w:tblGrid>
        <w:gridCol w:w="1882"/>
        <w:gridCol w:w="859"/>
        <w:gridCol w:w="856"/>
        <w:gridCol w:w="856"/>
        <w:gridCol w:w="854"/>
        <w:gridCol w:w="939"/>
        <w:gridCol w:w="854"/>
        <w:gridCol w:w="854"/>
        <w:gridCol w:w="856"/>
        <w:gridCol w:w="856"/>
        <w:gridCol w:w="859"/>
        <w:gridCol w:w="859"/>
        <w:gridCol w:w="939"/>
        <w:gridCol w:w="1014"/>
      </w:tblGrid>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shd w:val="clear" w:color="auto" w:fill="D7DDE9"/>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($m)</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2016–17</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2017–18</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2018–19</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2019–20</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2019–20</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2020–21</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2021–22</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2022–23</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2023–24</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2024–25</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2025–26</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2026–27</w:t>
            </w:r>
          </w:p>
        </w:tc>
        <w:tc>
          <w:tcPr>
            <w:tcW w:w="38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2026–27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A353BA" w:rsidRPr="00A353BA" w:rsidRDefault="00A353BA" w:rsidP="00DE7F72">
            <w:pPr>
              <w:keepNext/>
              <w:keepLines/>
              <w:spacing w:line="240" w:lineRule="auto"/>
              <w:ind w:left="57" w:right="57"/>
              <w:rPr>
                <w:rFonts w:ascii="Calibri" w:hAnsi="Calibri"/>
                <w:b/>
                <w:sz w:val="20"/>
              </w:rPr>
            </w:pPr>
            <w:r w:rsidRPr="00A353BA">
              <w:rPr>
                <w:rFonts w:ascii="Calibri" w:hAnsi="Calibri"/>
                <w:b/>
                <w:sz w:val="20"/>
              </w:rPr>
              <w:t xml:space="preserve">Impact on fiscal and underlying cash balances </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Administered</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-70.0</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-73.4</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-75.2</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-290.2</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-77.1</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-79.0</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-81.0</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-83.0</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-85.1</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-87.2</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-89.4</w:t>
            </w:r>
          </w:p>
        </w:tc>
        <w:tc>
          <w:tcPr>
            <w:tcW w:w="38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-872.1</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Departmental</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-1.8</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-1.8</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-1.7</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-1.8</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-7.0</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-1.8</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-1.8</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-1.8</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-1.8</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-1.8</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-1.8</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-1.8</w:t>
            </w:r>
          </w:p>
        </w:tc>
        <w:tc>
          <w:tcPr>
            <w:tcW w:w="38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-19.7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shd w:val="clear" w:color="auto" w:fill="D7DDE9"/>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-71.8</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-73.4</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-75.1</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-77.0</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-297.2</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-78.9</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-80.8</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-82.8</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-84.8</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-86.9</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-89.1</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-91.3</w:t>
            </w:r>
          </w:p>
        </w:tc>
        <w:tc>
          <w:tcPr>
            <w:tcW w:w="38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-891.8</w:t>
            </w:r>
          </w:p>
        </w:tc>
      </w:tr>
    </w:tbl>
    <w:p w:rsidR="00A353BA" w:rsidRPr="00BE7FBF" w:rsidRDefault="00A353BA" w:rsidP="000B5C96">
      <w:pPr>
        <w:pStyle w:val="Footnotes"/>
        <w:keepNext/>
        <w:keepLines/>
        <w:numPr>
          <w:ilvl w:val="0"/>
          <w:numId w:val="60"/>
        </w:numPr>
        <w:ind w:left="284" w:hanging="284"/>
      </w:pPr>
      <w:r w:rsidRPr="00BE7FBF">
        <w:t>A negative number indicates a decrease in revenue or an increase in expenses or net capital investment in accrual and cash terms.</w:t>
      </w:r>
    </w:p>
    <w:p w:rsidR="00A353BA" w:rsidRPr="00A353BA" w:rsidRDefault="00A353BA" w:rsidP="000B5C96">
      <w:pPr>
        <w:pStyle w:val="Footnotes"/>
        <w:numPr>
          <w:ilvl w:val="0"/>
          <w:numId w:val="55"/>
        </w:numPr>
        <w:ind w:left="284" w:hanging="284"/>
      </w:pPr>
      <w:r w:rsidRPr="00A353BA">
        <w:t>Figures may not sum to totals due to rounding.</w:t>
      </w:r>
    </w:p>
    <w:p w:rsidR="00A353BA" w:rsidRPr="00A353BA" w:rsidRDefault="00A353BA" w:rsidP="00DE7F72">
      <w:pPr>
        <w:pStyle w:val="Caption"/>
      </w:pPr>
      <w:r w:rsidRPr="00A353BA">
        <w:lastRenderedPageBreak/>
        <w:t>Table A7: Component 6: Open access publishing—Financial implications</w:t>
      </w:r>
      <w:r w:rsidRPr="00A353BA">
        <w:rPr>
          <w:vertAlign w:val="superscript"/>
        </w:rPr>
        <w:t>(a)(b)</w:t>
      </w:r>
    </w:p>
    <w:tbl>
      <w:tblPr>
        <w:tblStyle w:val="TableGrid17"/>
        <w:tblW w:w="5031" w:type="pct"/>
        <w:tblLook w:val="0680" w:firstRow="0" w:lastRow="0" w:firstColumn="1" w:lastColumn="0" w:noHBand="1" w:noVBand="1"/>
      </w:tblPr>
      <w:tblGrid>
        <w:gridCol w:w="1882"/>
        <w:gridCol w:w="859"/>
        <w:gridCol w:w="856"/>
        <w:gridCol w:w="856"/>
        <w:gridCol w:w="854"/>
        <w:gridCol w:w="939"/>
        <w:gridCol w:w="854"/>
        <w:gridCol w:w="854"/>
        <w:gridCol w:w="856"/>
        <w:gridCol w:w="856"/>
        <w:gridCol w:w="859"/>
        <w:gridCol w:w="859"/>
        <w:gridCol w:w="939"/>
        <w:gridCol w:w="1014"/>
      </w:tblGrid>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($m)</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2016–17</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2017–18</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2018–19</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2019–20</w:t>
            </w:r>
          </w:p>
        </w:tc>
        <w:tc>
          <w:tcPr>
            <w:tcW w:w="35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2019–20</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2020–21</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2021–22</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2022–23</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2023–24</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2024–25</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2025–26</w:t>
            </w:r>
          </w:p>
        </w:tc>
        <w:tc>
          <w:tcPr>
            <w:tcW w:w="35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2026–27</w:t>
            </w:r>
          </w:p>
        </w:tc>
        <w:tc>
          <w:tcPr>
            <w:tcW w:w="38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2026–27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A353BA" w:rsidRPr="00A353BA" w:rsidRDefault="00A353BA" w:rsidP="00DE7F72">
            <w:pPr>
              <w:keepNext/>
              <w:keepLines/>
              <w:spacing w:line="240" w:lineRule="auto"/>
              <w:ind w:left="57" w:right="57"/>
              <w:rPr>
                <w:rFonts w:ascii="Calibri" w:hAnsi="Calibri"/>
                <w:b/>
                <w:sz w:val="20"/>
              </w:rPr>
            </w:pPr>
            <w:r w:rsidRPr="00A353BA">
              <w:rPr>
                <w:rFonts w:ascii="Calibri" w:hAnsi="Calibri"/>
                <w:b/>
                <w:sz w:val="20"/>
              </w:rPr>
              <w:t xml:space="preserve">Impact on fiscal and underlying cash balances </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Administered</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-46.2</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-47.2</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-48.4</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-49.6</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-191.4</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-50.9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-52.1</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-53.4</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-54.8</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-56.1</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-57.5</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-59.0</w:t>
            </w:r>
          </w:p>
        </w:tc>
        <w:tc>
          <w:tcPr>
            <w:tcW w:w="38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-575.2</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Departmental</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-6.3</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-1.7</w:t>
            </w:r>
          </w:p>
        </w:tc>
        <w:tc>
          <w:tcPr>
            <w:tcW w:w="38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-17.6</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shd w:val="clear" w:color="auto" w:fill="D7DDE9"/>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-47.8</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-48.8</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-50.0</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-51.2</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-197.7</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-52.4</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-53.7</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-55.0</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-56.4</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-57.8</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-59.2</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-60.6</w:t>
            </w:r>
          </w:p>
        </w:tc>
        <w:tc>
          <w:tcPr>
            <w:tcW w:w="38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-592.8</w:t>
            </w:r>
          </w:p>
        </w:tc>
      </w:tr>
    </w:tbl>
    <w:p w:rsidR="00A353BA" w:rsidRPr="00E976CA" w:rsidRDefault="00A353BA" w:rsidP="000B5C96">
      <w:pPr>
        <w:pStyle w:val="Footnotes"/>
        <w:keepNext/>
        <w:keepLines/>
        <w:numPr>
          <w:ilvl w:val="0"/>
          <w:numId w:val="61"/>
        </w:numPr>
        <w:ind w:left="284" w:hanging="284"/>
      </w:pPr>
      <w:r w:rsidRPr="00E976CA">
        <w:t>A negative number indicates a decrease in revenue or an increase in expenses or net capital investment in accrual and cash terms.</w:t>
      </w:r>
    </w:p>
    <w:p w:rsidR="00A353BA" w:rsidRPr="00DE7F72" w:rsidRDefault="00A353BA" w:rsidP="000B5C96">
      <w:pPr>
        <w:pStyle w:val="Footnotes"/>
        <w:numPr>
          <w:ilvl w:val="0"/>
          <w:numId w:val="55"/>
        </w:numPr>
        <w:ind w:left="284" w:hanging="284"/>
        <w:rPr>
          <w:bCs/>
          <w:color w:val="1F497D"/>
          <w:spacing w:val="-4"/>
        </w:rPr>
      </w:pPr>
      <w:r w:rsidRPr="00A353BA">
        <w:t>Figures may not sum to totals due to rounding.</w:t>
      </w:r>
    </w:p>
    <w:p w:rsidR="00A353BA" w:rsidRPr="00A353BA" w:rsidRDefault="00A353BA" w:rsidP="00DE7F72">
      <w:pPr>
        <w:pStyle w:val="Caption"/>
      </w:pPr>
      <w:r w:rsidRPr="00A353BA">
        <w:lastRenderedPageBreak/>
        <w:t>Table A8: Component 7: Health and medical research—Financial implications</w:t>
      </w:r>
      <w:r w:rsidRPr="00A353BA">
        <w:rPr>
          <w:vertAlign w:val="superscript"/>
        </w:rPr>
        <w:t>(a)(b)</w:t>
      </w:r>
    </w:p>
    <w:tbl>
      <w:tblPr>
        <w:tblStyle w:val="TableGrid17"/>
        <w:tblW w:w="5192" w:type="pct"/>
        <w:tblLook w:val="0680" w:firstRow="0" w:lastRow="0" w:firstColumn="1" w:lastColumn="0" w:noHBand="1" w:noVBand="1"/>
      </w:tblPr>
      <w:tblGrid>
        <w:gridCol w:w="2251"/>
        <w:gridCol w:w="856"/>
        <w:gridCol w:w="862"/>
        <w:gridCol w:w="862"/>
        <w:gridCol w:w="859"/>
        <w:gridCol w:w="944"/>
        <w:gridCol w:w="859"/>
        <w:gridCol w:w="859"/>
        <w:gridCol w:w="862"/>
        <w:gridCol w:w="862"/>
        <w:gridCol w:w="867"/>
        <w:gridCol w:w="867"/>
        <w:gridCol w:w="944"/>
        <w:gridCol w:w="1010"/>
      </w:tblGrid>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18" w:type="pct"/>
            <w:shd w:val="clear" w:color="auto" w:fill="D7DDE9"/>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($m)</w:t>
            </w:r>
          </w:p>
        </w:tc>
        <w:tc>
          <w:tcPr>
            <w:tcW w:w="31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2016–17</w:t>
            </w:r>
          </w:p>
        </w:tc>
        <w:tc>
          <w:tcPr>
            <w:tcW w:w="31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2017–18</w:t>
            </w:r>
          </w:p>
        </w:tc>
        <w:tc>
          <w:tcPr>
            <w:tcW w:w="31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2018–19</w:t>
            </w:r>
          </w:p>
        </w:tc>
        <w:tc>
          <w:tcPr>
            <w:tcW w:w="31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2019–20</w:t>
            </w:r>
          </w:p>
        </w:tc>
        <w:tc>
          <w:tcPr>
            <w:tcW w:w="34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2019–20</w:t>
            </w:r>
          </w:p>
        </w:tc>
        <w:tc>
          <w:tcPr>
            <w:tcW w:w="31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2020–21</w:t>
            </w:r>
          </w:p>
        </w:tc>
        <w:tc>
          <w:tcPr>
            <w:tcW w:w="31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2021–22</w:t>
            </w:r>
          </w:p>
        </w:tc>
        <w:tc>
          <w:tcPr>
            <w:tcW w:w="31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2022–23</w:t>
            </w:r>
          </w:p>
        </w:tc>
        <w:tc>
          <w:tcPr>
            <w:tcW w:w="31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2023–24</w:t>
            </w:r>
          </w:p>
        </w:tc>
        <w:tc>
          <w:tcPr>
            <w:tcW w:w="315"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2024–25</w:t>
            </w:r>
          </w:p>
        </w:tc>
        <w:tc>
          <w:tcPr>
            <w:tcW w:w="315"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2025–26</w:t>
            </w:r>
          </w:p>
        </w:tc>
        <w:tc>
          <w:tcPr>
            <w:tcW w:w="34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2026–27</w:t>
            </w:r>
          </w:p>
        </w:tc>
        <w:tc>
          <w:tcPr>
            <w:tcW w:w="367"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2026–27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bottom w:val="single" w:sz="4" w:space="0" w:color="788184"/>
            </w:tcBorders>
            <w:shd w:val="clear" w:color="auto" w:fill="D7DDE9"/>
          </w:tcPr>
          <w:p w:rsidR="00A353BA" w:rsidRPr="00A353BA" w:rsidRDefault="00A353BA" w:rsidP="00DE7F72">
            <w:pPr>
              <w:keepNext/>
              <w:keepLines/>
              <w:spacing w:line="240" w:lineRule="auto"/>
              <w:ind w:left="57" w:right="57"/>
              <w:rPr>
                <w:rFonts w:ascii="Calibri" w:hAnsi="Calibri"/>
                <w:b/>
                <w:sz w:val="20"/>
              </w:rPr>
            </w:pPr>
            <w:r w:rsidRPr="00A353BA">
              <w:rPr>
                <w:rFonts w:ascii="Calibri" w:hAnsi="Calibri"/>
                <w:b/>
                <w:sz w:val="20"/>
              </w:rPr>
              <w:t xml:space="preserve">Impact on fiscal and underlying cash balances </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vAlign w:val="center"/>
          </w:tcPr>
          <w:p w:rsidR="00A353BA" w:rsidRPr="00A353BA" w:rsidRDefault="00A353BA" w:rsidP="00DE7F72">
            <w:pPr>
              <w:keepNext/>
              <w:keepLines/>
              <w:spacing w:line="240" w:lineRule="auto"/>
              <w:ind w:left="57" w:right="57"/>
              <w:rPr>
                <w:rFonts w:ascii="Calibri" w:hAnsi="Calibri"/>
                <w:b/>
                <w:i/>
                <w:sz w:val="20"/>
                <w:szCs w:val="20"/>
              </w:rPr>
            </w:pPr>
            <w:r w:rsidRPr="00A353BA">
              <w:rPr>
                <w:rFonts w:ascii="Calibri" w:hAnsi="Calibri"/>
                <w:b/>
                <w:sz w:val="20"/>
                <w:szCs w:val="20"/>
              </w:rPr>
              <w:t>Administered</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18"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Funding reform for health and medical research</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-47.0</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-48.1</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-49.3</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-50.5</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-194.9</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-51.8</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-53.1</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-54.4</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-55.8</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-57.1</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-58.6</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-60.0</w:t>
            </w:r>
          </w:p>
        </w:tc>
        <w:tc>
          <w:tcPr>
            <w:tcW w:w="367"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-585.6</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18"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Integrated health research centres</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-40.0</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-40.9</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-41.9</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-43.0</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-165.8</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-44.1</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-45.2</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-46.3</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-47.4</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-48.6</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-49.8</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-51.1</w:t>
            </w:r>
          </w:p>
        </w:tc>
        <w:tc>
          <w:tcPr>
            <w:tcW w:w="367"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-498.4</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18" w:type="pct"/>
            <w:vAlign w:val="center"/>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 - administered</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-87.0</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-89.0</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-91.2</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-93.5</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-360.7</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-95.8</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-98.2</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-100.7</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-103.2</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-105.8</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-108.4</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-111.1</w:t>
            </w:r>
          </w:p>
        </w:tc>
        <w:tc>
          <w:tcPr>
            <w:tcW w:w="367"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-1,084.0</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vAlign w:val="center"/>
          </w:tcPr>
          <w:p w:rsidR="00A353BA" w:rsidRPr="00A353BA" w:rsidRDefault="00A353BA" w:rsidP="00DE7F72">
            <w:pPr>
              <w:keepNext/>
              <w:keepLines/>
              <w:spacing w:line="240" w:lineRule="auto"/>
              <w:ind w:left="57" w:right="57"/>
              <w:rPr>
                <w:rFonts w:ascii="Calibri" w:hAnsi="Calibri"/>
                <w:b/>
                <w:i/>
                <w:sz w:val="20"/>
                <w:szCs w:val="20"/>
              </w:rPr>
            </w:pPr>
            <w:r w:rsidRPr="00A353BA">
              <w:rPr>
                <w:rFonts w:ascii="Calibri" w:hAnsi="Calibri"/>
                <w:b/>
                <w:sz w:val="20"/>
                <w:szCs w:val="20"/>
              </w:rPr>
              <w:t>Departmental</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18"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Funding reform for health and medical research</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-6.3</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-1.7</w:t>
            </w:r>
          </w:p>
        </w:tc>
        <w:tc>
          <w:tcPr>
            <w:tcW w:w="367"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-17.6</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18"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Integrated health research centres</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-6.1</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67"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-17.1</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18" w:type="pct"/>
            <w:vAlign w:val="center"/>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 - departmental</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-3.1</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-3.1</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-3.1</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-3.1</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-12.4</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-3.1</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-3.1</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-3.2</w:t>
            </w:r>
          </w:p>
        </w:tc>
        <w:tc>
          <w:tcPr>
            <w:tcW w:w="31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-3.2</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-3.2</w:t>
            </w:r>
          </w:p>
        </w:tc>
        <w:tc>
          <w:tcPr>
            <w:tcW w:w="315"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-3.2</w:t>
            </w:r>
          </w:p>
        </w:tc>
        <w:tc>
          <w:tcPr>
            <w:tcW w:w="34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-3.3</w:t>
            </w:r>
          </w:p>
        </w:tc>
        <w:tc>
          <w:tcPr>
            <w:tcW w:w="367"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-34.7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18" w:type="pct"/>
            <w:shd w:val="clear" w:color="auto" w:fill="D7DDE9"/>
            <w:vAlign w:val="center"/>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w:t>
            </w:r>
          </w:p>
        </w:tc>
        <w:tc>
          <w:tcPr>
            <w:tcW w:w="31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-90.1</w:t>
            </w:r>
          </w:p>
        </w:tc>
        <w:tc>
          <w:tcPr>
            <w:tcW w:w="31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-92.1</w:t>
            </w:r>
          </w:p>
        </w:tc>
        <w:tc>
          <w:tcPr>
            <w:tcW w:w="31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-94.3</w:t>
            </w:r>
          </w:p>
        </w:tc>
        <w:tc>
          <w:tcPr>
            <w:tcW w:w="31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-96.6</w:t>
            </w:r>
          </w:p>
        </w:tc>
        <w:tc>
          <w:tcPr>
            <w:tcW w:w="34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-373.1</w:t>
            </w:r>
          </w:p>
        </w:tc>
        <w:tc>
          <w:tcPr>
            <w:tcW w:w="31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-98.9</w:t>
            </w:r>
          </w:p>
        </w:tc>
        <w:tc>
          <w:tcPr>
            <w:tcW w:w="31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-101.4</w:t>
            </w:r>
          </w:p>
        </w:tc>
        <w:tc>
          <w:tcPr>
            <w:tcW w:w="31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-103.8</w:t>
            </w:r>
          </w:p>
        </w:tc>
        <w:tc>
          <w:tcPr>
            <w:tcW w:w="31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-106.4</w:t>
            </w:r>
          </w:p>
        </w:tc>
        <w:tc>
          <w:tcPr>
            <w:tcW w:w="315"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-109.0</w:t>
            </w:r>
          </w:p>
        </w:tc>
        <w:tc>
          <w:tcPr>
            <w:tcW w:w="315"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-111.7</w:t>
            </w:r>
          </w:p>
        </w:tc>
        <w:tc>
          <w:tcPr>
            <w:tcW w:w="34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-114.4</w:t>
            </w:r>
          </w:p>
        </w:tc>
        <w:tc>
          <w:tcPr>
            <w:tcW w:w="367"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-1,118.7</w:t>
            </w:r>
          </w:p>
        </w:tc>
      </w:tr>
    </w:tbl>
    <w:p w:rsidR="00A353BA" w:rsidRPr="00E976CA" w:rsidRDefault="00A353BA" w:rsidP="000B5C96">
      <w:pPr>
        <w:pStyle w:val="Footnotes"/>
        <w:keepNext/>
        <w:keepLines/>
        <w:numPr>
          <w:ilvl w:val="0"/>
          <w:numId w:val="62"/>
        </w:numPr>
        <w:ind w:left="284" w:hanging="284"/>
      </w:pPr>
      <w:r w:rsidRPr="00E976CA">
        <w:t>A negative number indicates a decrease in revenue or an increase in expenses or net capital investment in accrual and cash terms.</w:t>
      </w:r>
    </w:p>
    <w:p w:rsidR="00A353BA" w:rsidRPr="00A353BA" w:rsidRDefault="00A353BA" w:rsidP="000B5C96">
      <w:pPr>
        <w:pStyle w:val="Footnotes"/>
        <w:numPr>
          <w:ilvl w:val="0"/>
          <w:numId w:val="55"/>
        </w:numPr>
        <w:ind w:left="284" w:hanging="284"/>
      </w:pPr>
      <w:r w:rsidRPr="00A353BA">
        <w:t>Figures may not sum to totals due to rounding.</w:t>
      </w:r>
    </w:p>
    <w:p w:rsidR="00A353BA" w:rsidRPr="00A353BA" w:rsidRDefault="00A353BA" w:rsidP="00DE7F72">
      <w:pPr>
        <w:pStyle w:val="Caption"/>
      </w:pPr>
      <w:r w:rsidRPr="00A353BA">
        <w:lastRenderedPageBreak/>
        <w:t>Table A9: Component 8: Science, Technology, Engineering and Mathematics—Financial implications</w:t>
      </w:r>
      <w:r w:rsidRPr="00A353BA">
        <w:rPr>
          <w:vertAlign w:val="superscript"/>
        </w:rPr>
        <w:t>(a)(b)</w:t>
      </w:r>
    </w:p>
    <w:tbl>
      <w:tblPr>
        <w:tblStyle w:val="TableGrid17"/>
        <w:tblW w:w="5031" w:type="pct"/>
        <w:tblLook w:val="0680" w:firstRow="0" w:lastRow="0" w:firstColumn="1" w:lastColumn="0" w:noHBand="1" w:noVBand="1"/>
      </w:tblPr>
      <w:tblGrid>
        <w:gridCol w:w="1882"/>
        <w:gridCol w:w="859"/>
        <w:gridCol w:w="856"/>
        <w:gridCol w:w="856"/>
        <w:gridCol w:w="854"/>
        <w:gridCol w:w="939"/>
        <w:gridCol w:w="854"/>
        <w:gridCol w:w="854"/>
        <w:gridCol w:w="856"/>
        <w:gridCol w:w="856"/>
        <w:gridCol w:w="859"/>
        <w:gridCol w:w="859"/>
        <w:gridCol w:w="939"/>
        <w:gridCol w:w="1014"/>
      </w:tblGrid>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($m)</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2016–17</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2017–18</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2018–19</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2019–20</w:t>
            </w:r>
          </w:p>
        </w:tc>
        <w:tc>
          <w:tcPr>
            <w:tcW w:w="35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2019–20</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2020–21</w:t>
            </w:r>
          </w:p>
        </w:tc>
        <w:tc>
          <w:tcPr>
            <w:tcW w:w="32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2021–22</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2022–23</w:t>
            </w:r>
          </w:p>
        </w:tc>
        <w:tc>
          <w:tcPr>
            <w:tcW w:w="321"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2023–24</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2024–25</w:t>
            </w:r>
          </w:p>
        </w:tc>
        <w:tc>
          <w:tcPr>
            <w:tcW w:w="32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2025–26</w:t>
            </w:r>
          </w:p>
        </w:tc>
        <w:tc>
          <w:tcPr>
            <w:tcW w:w="352"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2026–27</w:t>
            </w:r>
          </w:p>
        </w:tc>
        <w:tc>
          <w:tcPr>
            <w:tcW w:w="380" w:type="pct"/>
            <w:tcBorders>
              <w:bottom w:val="single" w:sz="4" w:space="0" w:color="788184"/>
            </w:tcBorders>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2026–27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A353BA" w:rsidRPr="00A353BA" w:rsidRDefault="00A353BA" w:rsidP="00DE7F72">
            <w:pPr>
              <w:keepNext/>
              <w:keepLines/>
              <w:spacing w:line="240" w:lineRule="auto"/>
              <w:ind w:left="57" w:right="57"/>
              <w:rPr>
                <w:rFonts w:ascii="Calibri" w:hAnsi="Calibri"/>
                <w:b/>
                <w:sz w:val="20"/>
              </w:rPr>
            </w:pPr>
            <w:r w:rsidRPr="00A353BA">
              <w:rPr>
                <w:rFonts w:ascii="Calibri" w:hAnsi="Calibri"/>
                <w:b/>
                <w:sz w:val="20"/>
              </w:rPr>
              <w:t xml:space="preserve">Impact on fiscal and underlying cash balances </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Administered</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-41.7</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-42.6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-43.7</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-44.8</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-172.7</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-45.9</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-47.0</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-48.2</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-49.4</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-50.7</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-51.9</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-53.2</w:t>
            </w:r>
          </w:p>
        </w:tc>
        <w:tc>
          <w:tcPr>
            <w:tcW w:w="38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-519.1</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Departmental</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-6.1</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2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-1.5</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2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5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-1.6</w:t>
            </w:r>
          </w:p>
        </w:tc>
        <w:tc>
          <w:tcPr>
            <w:tcW w:w="38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-17.1</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706" w:type="pct"/>
            <w:shd w:val="clear" w:color="auto" w:fill="D7DDE9"/>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-43.2</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-44.1</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-45.2</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-46.3</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-178.9</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-47.4</w:t>
            </w:r>
          </w:p>
        </w:tc>
        <w:tc>
          <w:tcPr>
            <w:tcW w:w="32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-48.6</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-49.8</w:t>
            </w:r>
          </w:p>
        </w:tc>
        <w:tc>
          <w:tcPr>
            <w:tcW w:w="32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-51.0</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-52.2</w:t>
            </w:r>
          </w:p>
        </w:tc>
        <w:tc>
          <w:tcPr>
            <w:tcW w:w="32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-53.5</w:t>
            </w:r>
          </w:p>
        </w:tc>
        <w:tc>
          <w:tcPr>
            <w:tcW w:w="35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-54.8</w:t>
            </w:r>
          </w:p>
        </w:tc>
        <w:tc>
          <w:tcPr>
            <w:tcW w:w="38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-536.3</w:t>
            </w:r>
          </w:p>
        </w:tc>
      </w:tr>
    </w:tbl>
    <w:p w:rsidR="00A353BA" w:rsidRPr="00DE7F72" w:rsidRDefault="00A353BA" w:rsidP="000B5C96">
      <w:pPr>
        <w:pStyle w:val="Footnotes"/>
        <w:keepNext/>
        <w:keepLines/>
        <w:numPr>
          <w:ilvl w:val="0"/>
          <w:numId w:val="63"/>
        </w:numPr>
        <w:ind w:left="284" w:hanging="284"/>
      </w:pPr>
      <w:r w:rsidRPr="00DE7F72">
        <w:t>A negative number indicates a decrease in revenue or an increase in expenses or net capital investment in accrual and cash terms.</w:t>
      </w:r>
    </w:p>
    <w:p w:rsidR="00A353BA" w:rsidRPr="00DE7F72" w:rsidRDefault="00A353BA" w:rsidP="000B5C96">
      <w:pPr>
        <w:pStyle w:val="Footnotes"/>
        <w:numPr>
          <w:ilvl w:val="0"/>
          <w:numId w:val="55"/>
        </w:numPr>
        <w:ind w:left="284" w:hanging="284"/>
        <w:rPr>
          <w:rFonts w:ascii="Calibri" w:eastAsia="Calibri" w:hAnsi="Calibri" w:cs="Times New Roman"/>
        </w:rPr>
      </w:pPr>
      <w:r w:rsidRPr="00DE7F72">
        <w:rPr>
          <w:rFonts w:ascii="Calibri" w:eastAsia="Calibri" w:hAnsi="Calibri" w:cs="Times New Roman"/>
        </w:rPr>
        <w:t>Figures may not sum to totals due to rounding.</w:t>
      </w:r>
    </w:p>
    <w:p w:rsidR="00A353BA" w:rsidRPr="00A353BA" w:rsidRDefault="00A353BA" w:rsidP="00DE7F72">
      <w:pPr>
        <w:pStyle w:val="Caption"/>
      </w:pPr>
      <w:r w:rsidRPr="00A353BA">
        <w:lastRenderedPageBreak/>
        <w:t>Table A10: Component 9: Reversing harsh budget cuts—Financial implications</w:t>
      </w:r>
      <w:r w:rsidRPr="00A353BA">
        <w:rPr>
          <w:vertAlign w:val="superscript"/>
        </w:rPr>
        <w:t>(a)(b)</w:t>
      </w:r>
    </w:p>
    <w:tbl>
      <w:tblPr>
        <w:tblStyle w:val="TableGrid17"/>
        <w:tblW w:w="5237" w:type="pct"/>
        <w:tblLook w:val="0680" w:firstRow="0" w:lastRow="0" w:firstColumn="1" w:lastColumn="0" w:noHBand="1" w:noVBand="1"/>
      </w:tblPr>
      <w:tblGrid>
        <w:gridCol w:w="2362"/>
        <w:gridCol w:w="854"/>
        <w:gridCol w:w="864"/>
        <w:gridCol w:w="864"/>
        <w:gridCol w:w="861"/>
        <w:gridCol w:w="944"/>
        <w:gridCol w:w="861"/>
        <w:gridCol w:w="861"/>
        <w:gridCol w:w="864"/>
        <w:gridCol w:w="864"/>
        <w:gridCol w:w="866"/>
        <w:gridCol w:w="866"/>
        <w:gridCol w:w="944"/>
        <w:gridCol w:w="1008"/>
      </w:tblGrid>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51" w:type="pct"/>
            <w:shd w:val="clear" w:color="auto" w:fill="D7DDE9"/>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($m)</w:t>
            </w:r>
          </w:p>
        </w:tc>
        <w:tc>
          <w:tcPr>
            <w:tcW w:w="308"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2016–17</w:t>
            </w:r>
          </w:p>
        </w:tc>
        <w:tc>
          <w:tcPr>
            <w:tcW w:w="31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2017–18</w:t>
            </w:r>
          </w:p>
        </w:tc>
        <w:tc>
          <w:tcPr>
            <w:tcW w:w="31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2018–19</w:t>
            </w:r>
          </w:p>
        </w:tc>
        <w:tc>
          <w:tcPr>
            <w:tcW w:w="31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2019–20</w:t>
            </w:r>
          </w:p>
        </w:tc>
        <w:tc>
          <w:tcPr>
            <w:tcW w:w="34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2019–20</w:t>
            </w:r>
          </w:p>
        </w:tc>
        <w:tc>
          <w:tcPr>
            <w:tcW w:w="31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2020–21</w:t>
            </w:r>
          </w:p>
        </w:tc>
        <w:tc>
          <w:tcPr>
            <w:tcW w:w="31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2021–22</w:t>
            </w:r>
          </w:p>
        </w:tc>
        <w:tc>
          <w:tcPr>
            <w:tcW w:w="31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2022–23</w:t>
            </w:r>
          </w:p>
        </w:tc>
        <w:tc>
          <w:tcPr>
            <w:tcW w:w="31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2023–24</w:t>
            </w:r>
          </w:p>
        </w:tc>
        <w:tc>
          <w:tcPr>
            <w:tcW w:w="31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2024–25</w:t>
            </w:r>
          </w:p>
        </w:tc>
        <w:tc>
          <w:tcPr>
            <w:tcW w:w="31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2025–26</w:t>
            </w:r>
          </w:p>
        </w:tc>
        <w:tc>
          <w:tcPr>
            <w:tcW w:w="34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53BA">
              <w:rPr>
                <w:rFonts w:ascii="Calibri" w:hAnsi="Calibri"/>
                <w:sz w:val="20"/>
              </w:rPr>
              <w:t>2026–27</w:t>
            </w:r>
          </w:p>
        </w:tc>
        <w:tc>
          <w:tcPr>
            <w:tcW w:w="36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A353BA">
              <w:rPr>
                <w:rFonts w:ascii="Calibri" w:hAnsi="Calibri"/>
                <w:b/>
                <w:sz w:val="20"/>
              </w:rPr>
              <w:t>Total to 2026–27</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bottom w:val="single" w:sz="4" w:space="0" w:color="788184"/>
            </w:tcBorders>
            <w:shd w:val="clear" w:color="auto" w:fill="D7DDE9"/>
          </w:tcPr>
          <w:p w:rsidR="00A353BA" w:rsidRPr="00A353BA" w:rsidRDefault="00A353BA" w:rsidP="00DE7F72">
            <w:pPr>
              <w:keepNext/>
              <w:keepLines/>
              <w:spacing w:line="240" w:lineRule="auto"/>
              <w:ind w:left="57" w:right="57"/>
              <w:rPr>
                <w:rFonts w:ascii="Calibri" w:hAnsi="Calibri"/>
                <w:b/>
                <w:sz w:val="20"/>
              </w:rPr>
            </w:pPr>
            <w:r w:rsidRPr="00A353BA">
              <w:rPr>
                <w:rFonts w:ascii="Calibri" w:hAnsi="Calibri"/>
                <w:b/>
                <w:sz w:val="20"/>
              </w:rPr>
              <w:t xml:space="preserve">Impact on fiscal and underlying cash balances </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vAlign w:val="center"/>
          </w:tcPr>
          <w:p w:rsidR="00A353BA" w:rsidRPr="00A353BA" w:rsidRDefault="00A353BA" w:rsidP="00DE7F72">
            <w:pPr>
              <w:keepNext/>
              <w:keepLines/>
              <w:spacing w:line="240" w:lineRule="auto"/>
              <w:ind w:left="57" w:right="57"/>
              <w:rPr>
                <w:rFonts w:ascii="Calibri" w:hAnsi="Calibri"/>
                <w:b/>
                <w:i/>
                <w:sz w:val="20"/>
                <w:szCs w:val="20"/>
              </w:rPr>
            </w:pPr>
            <w:r w:rsidRPr="00A353BA">
              <w:rPr>
                <w:rFonts w:ascii="Calibri" w:hAnsi="Calibri"/>
                <w:b/>
                <w:sz w:val="20"/>
                <w:szCs w:val="20"/>
              </w:rPr>
              <w:t>Administered</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51"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CSIRO job cuts</w:t>
            </w:r>
          </w:p>
        </w:tc>
        <w:tc>
          <w:tcPr>
            <w:tcW w:w="308"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6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51"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Science and Research Agencies – reduced funding</w:t>
            </w:r>
          </w:p>
        </w:tc>
        <w:tc>
          <w:tcPr>
            <w:tcW w:w="308"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6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51"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 xml:space="preserve">National Environment Science program </w:t>
            </w:r>
          </w:p>
        </w:tc>
        <w:tc>
          <w:tcPr>
            <w:tcW w:w="308"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-9.4</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-9.4</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-9.4</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-6.3</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-34.6</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-6.5</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-6.6</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-6.8</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-7.0</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-7.1</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-7.3</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-7.5</w:t>
            </w:r>
          </w:p>
        </w:tc>
        <w:tc>
          <w:tcPr>
            <w:tcW w:w="36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-83.4</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51" w:type="pct"/>
            <w:tcBorders>
              <w:bottom w:val="single" w:sz="4" w:space="0" w:color="788184"/>
            </w:tcBorders>
            <w:vAlign w:val="center"/>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 - administered</w:t>
            </w:r>
          </w:p>
        </w:tc>
        <w:tc>
          <w:tcPr>
            <w:tcW w:w="308"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-9.4</w:t>
            </w:r>
          </w:p>
        </w:tc>
        <w:tc>
          <w:tcPr>
            <w:tcW w:w="311"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-9.4</w:t>
            </w:r>
          </w:p>
        </w:tc>
        <w:tc>
          <w:tcPr>
            <w:tcW w:w="311"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-9.4</w:t>
            </w:r>
          </w:p>
        </w:tc>
        <w:tc>
          <w:tcPr>
            <w:tcW w:w="310"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-6.3</w:t>
            </w:r>
          </w:p>
        </w:tc>
        <w:tc>
          <w:tcPr>
            <w:tcW w:w="340"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-34.6</w:t>
            </w:r>
          </w:p>
        </w:tc>
        <w:tc>
          <w:tcPr>
            <w:tcW w:w="310"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-6.5</w:t>
            </w:r>
          </w:p>
        </w:tc>
        <w:tc>
          <w:tcPr>
            <w:tcW w:w="310"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-6.6</w:t>
            </w:r>
          </w:p>
        </w:tc>
        <w:tc>
          <w:tcPr>
            <w:tcW w:w="311"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-6.8</w:t>
            </w:r>
          </w:p>
        </w:tc>
        <w:tc>
          <w:tcPr>
            <w:tcW w:w="311"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-7.0</w:t>
            </w:r>
          </w:p>
        </w:tc>
        <w:tc>
          <w:tcPr>
            <w:tcW w:w="312"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-7.1</w:t>
            </w:r>
          </w:p>
        </w:tc>
        <w:tc>
          <w:tcPr>
            <w:tcW w:w="312"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-7.3</w:t>
            </w:r>
          </w:p>
        </w:tc>
        <w:tc>
          <w:tcPr>
            <w:tcW w:w="340"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-7.5</w:t>
            </w:r>
          </w:p>
        </w:tc>
        <w:tc>
          <w:tcPr>
            <w:tcW w:w="363" w:type="pct"/>
            <w:tcBorders>
              <w:bottom w:val="single" w:sz="4" w:space="0" w:color="788184"/>
            </w:tcBorders>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-83.4</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vAlign w:val="center"/>
          </w:tcPr>
          <w:p w:rsidR="00A353BA" w:rsidRPr="00A353BA" w:rsidRDefault="00A353BA" w:rsidP="00DE7F72">
            <w:pPr>
              <w:keepNext/>
              <w:keepLines/>
              <w:spacing w:line="240" w:lineRule="auto"/>
              <w:ind w:left="57" w:right="57"/>
              <w:rPr>
                <w:rFonts w:ascii="Calibri" w:hAnsi="Calibri"/>
                <w:b/>
                <w:i/>
                <w:sz w:val="20"/>
                <w:szCs w:val="20"/>
              </w:rPr>
            </w:pPr>
            <w:r w:rsidRPr="00A353BA">
              <w:rPr>
                <w:rFonts w:ascii="Calibri" w:hAnsi="Calibri"/>
                <w:b/>
                <w:sz w:val="20"/>
                <w:szCs w:val="20"/>
              </w:rPr>
              <w:t>Departmental</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51"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CSIRO job cuts</w:t>
            </w:r>
          </w:p>
        </w:tc>
        <w:tc>
          <w:tcPr>
            <w:tcW w:w="308"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-77.4</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-72.4</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-91.7</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-65.0</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-306.5</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-65.5</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-66.0</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-66.6</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-67.1</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-67.6</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-68.1</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-68.7</w:t>
            </w:r>
          </w:p>
        </w:tc>
        <w:tc>
          <w:tcPr>
            <w:tcW w:w="36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-776.1</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51"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Science and Research Agencies – reduced funding</w:t>
            </w:r>
          </w:p>
        </w:tc>
        <w:tc>
          <w:tcPr>
            <w:tcW w:w="308"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-62.6</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-62.1</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-62.1</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-37.6</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-224.5</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-37.9</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-38.2</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-38.5</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-38.8</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-39.1</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-39.4</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-39.7</w:t>
            </w:r>
          </w:p>
        </w:tc>
        <w:tc>
          <w:tcPr>
            <w:tcW w:w="36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-496.3</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51" w:type="pct"/>
            <w:vAlign w:val="center"/>
          </w:tcPr>
          <w:p w:rsidR="00A353BA" w:rsidRPr="00A353BA" w:rsidRDefault="00A353BA" w:rsidP="00DE7F72">
            <w:pPr>
              <w:keepNext/>
              <w:keepLines/>
              <w:spacing w:line="240" w:lineRule="auto"/>
              <w:ind w:left="57" w:right="57"/>
              <w:rPr>
                <w:rFonts w:ascii="Calibri" w:hAnsi="Calibri"/>
                <w:sz w:val="20"/>
                <w:szCs w:val="20"/>
              </w:rPr>
            </w:pPr>
            <w:r w:rsidRPr="00A353BA">
              <w:rPr>
                <w:rFonts w:ascii="Calibri" w:hAnsi="Calibri"/>
                <w:sz w:val="20"/>
                <w:szCs w:val="20"/>
              </w:rPr>
              <w:t>National Environment Science program</w:t>
            </w:r>
          </w:p>
        </w:tc>
        <w:tc>
          <w:tcPr>
            <w:tcW w:w="308"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353BA">
              <w:rPr>
                <w:rFonts w:ascii="Calibri" w:hAnsi="Calibri"/>
                <w:i/>
                <w:sz w:val="20"/>
                <w:szCs w:val="20"/>
              </w:rPr>
              <w:t>-</w:t>
            </w:r>
          </w:p>
        </w:tc>
        <w:tc>
          <w:tcPr>
            <w:tcW w:w="36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51" w:type="pct"/>
            <w:vAlign w:val="center"/>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 - departmental</w:t>
            </w:r>
          </w:p>
        </w:tc>
        <w:tc>
          <w:tcPr>
            <w:tcW w:w="308"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-140.0</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-134.6</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-153.8</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-102.7</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-531.0</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-103.5</w:t>
            </w:r>
          </w:p>
        </w:tc>
        <w:tc>
          <w:tcPr>
            <w:tcW w:w="31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-104.3</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-105.1</w:t>
            </w:r>
          </w:p>
        </w:tc>
        <w:tc>
          <w:tcPr>
            <w:tcW w:w="311"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-105.9</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-106.7</w:t>
            </w:r>
          </w:p>
        </w:tc>
        <w:tc>
          <w:tcPr>
            <w:tcW w:w="312"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-107.6</w:t>
            </w:r>
          </w:p>
        </w:tc>
        <w:tc>
          <w:tcPr>
            <w:tcW w:w="340"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-108.4</w:t>
            </w:r>
          </w:p>
        </w:tc>
        <w:tc>
          <w:tcPr>
            <w:tcW w:w="363" w:type="pct"/>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353BA">
              <w:rPr>
                <w:rFonts w:ascii="Calibri" w:hAnsi="Calibri"/>
                <w:b/>
                <w:i/>
                <w:sz w:val="20"/>
                <w:szCs w:val="20"/>
              </w:rPr>
              <w:t>-1,272.5</w:t>
            </w:r>
          </w:p>
        </w:tc>
      </w:tr>
      <w:tr w:rsidR="00A353BA" w:rsidRPr="00A353BA" w:rsidTr="00A353BA">
        <w:trPr>
          <w:cantSplit/>
        </w:trPr>
        <w:tc>
          <w:tcPr>
            <w:cnfStyle w:val="001000000000" w:firstRow="0" w:lastRow="0" w:firstColumn="1" w:lastColumn="0" w:oddVBand="0" w:evenVBand="0" w:oddHBand="0" w:evenHBand="0" w:firstRowFirstColumn="0" w:firstRowLastColumn="0" w:lastRowFirstColumn="0" w:lastRowLastColumn="0"/>
            <w:tcW w:w="851" w:type="pct"/>
            <w:shd w:val="clear" w:color="auto" w:fill="D7DDE9"/>
            <w:vAlign w:val="center"/>
          </w:tcPr>
          <w:p w:rsidR="00A353BA" w:rsidRPr="00A353BA" w:rsidRDefault="00A353BA" w:rsidP="00DE7F72">
            <w:pPr>
              <w:keepNext/>
              <w:keepLines/>
              <w:spacing w:line="240" w:lineRule="auto"/>
              <w:ind w:left="57" w:right="57"/>
              <w:rPr>
                <w:rFonts w:ascii="Calibri" w:hAnsi="Calibri"/>
                <w:b/>
                <w:sz w:val="20"/>
                <w:szCs w:val="20"/>
              </w:rPr>
            </w:pPr>
            <w:r w:rsidRPr="00A353BA">
              <w:rPr>
                <w:rFonts w:ascii="Calibri" w:hAnsi="Calibri"/>
                <w:b/>
                <w:sz w:val="20"/>
                <w:szCs w:val="20"/>
              </w:rPr>
              <w:t>Total</w:t>
            </w:r>
          </w:p>
        </w:tc>
        <w:tc>
          <w:tcPr>
            <w:tcW w:w="308"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-149.4</w:t>
            </w:r>
          </w:p>
        </w:tc>
        <w:tc>
          <w:tcPr>
            <w:tcW w:w="31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-144.0</w:t>
            </w:r>
          </w:p>
        </w:tc>
        <w:tc>
          <w:tcPr>
            <w:tcW w:w="31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-163.3</w:t>
            </w:r>
          </w:p>
        </w:tc>
        <w:tc>
          <w:tcPr>
            <w:tcW w:w="31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-109.0</w:t>
            </w:r>
          </w:p>
        </w:tc>
        <w:tc>
          <w:tcPr>
            <w:tcW w:w="34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-565.7</w:t>
            </w:r>
          </w:p>
        </w:tc>
        <w:tc>
          <w:tcPr>
            <w:tcW w:w="31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-109.9</w:t>
            </w:r>
          </w:p>
        </w:tc>
        <w:tc>
          <w:tcPr>
            <w:tcW w:w="31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-110.9</w:t>
            </w:r>
          </w:p>
        </w:tc>
        <w:tc>
          <w:tcPr>
            <w:tcW w:w="31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-111.9</w:t>
            </w:r>
          </w:p>
        </w:tc>
        <w:tc>
          <w:tcPr>
            <w:tcW w:w="311"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-112.9</w:t>
            </w:r>
          </w:p>
        </w:tc>
        <w:tc>
          <w:tcPr>
            <w:tcW w:w="31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-113.9</w:t>
            </w:r>
          </w:p>
        </w:tc>
        <w:tc>
          <w:tcPr>
            <w:tcW w:w="312"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-114.9</w:t>
            </w:r>
          </w:p>
        </w:tc>
        <w:tc>
          <w:tcPr>
            <w:tcW w:w="340"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-115.9</w:t>
            </w:r>
          </w:p>
        </w:tc>
        <w:tc>
          <w:tcPr>
            <w:tcW w:w="363" w:type="pct"/>
            <w:shd w:val="clear" w:color="auto" w:fill="D7DDE9"/>
            <w:vAlign w:val="center"/>
          </w:tcPr>
          <w:p w:rsidR="00A353BA" w:rsidRPr="00A353BA" w:rsidRDefault="00A353BA" w:rsidP="00DE7F7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353BA">
              <w:rPr>
                <w:rFonts w:ascii="Calibri" w:hAnsi="Calibri"/>
                <w:b/>
                <w:sz w:val="20"/>
                <w:szCs w:val="20"/>
              </w:rPr>
              <w:t>-1,355.8</w:t>
            </w:r>
          </w:p>
        </w:tc>
      </w:tr>
    </w:tbl>
    <w:p w:rsidR="00E976CA" w:rsidRDefault="00A353BA" w:rsidP="000B5C96">
      <w:pPr>
        <w:pStyle w:val="Footnotes"/>
        <w:keepNext/>
        <w:keepLines/>
        <w:numPr>
          <w:ilvl w:val="0"/>
          <w:numId w:val="21"/>
        </w:numPr>
        <w:spacing w:after="114"/>
        <w:ind w:left="284" w:hanging="284"/>
        <w:rPr>
          <w:rFonts w:ascii="Calibri" w:eastAsia="Calibri" w:hAnsi="Calibri" w:cs="Times New Roman"/>
        </w:rPr>
      </w:pPr>
      <w:r w:rsidRPr="00E976CA">
        <w:rPr>
          <w:rFonts w:ascii="Calibri" w:eastAsia="Calibri" w:hAnsi="Calibri" w:cs="Times New Roman"/>
        </w:rPr>
        <w:t>A negative number indicates a decrease in revenue or an increase in expenses or net capital investment in accrual and cash terms.</w:t>
      </w:r>
    </w:p>
    <w:p w:rsidR="00A353BA" w:rsidRDefault="00A353BA" w:rsidP="000B5C96">
      <w:pPr>
        <w:pStyle w:val="Footnotes"/>
        <w:numPr>
          <w:ilvl w:val="0"/>
          <w:numId w:val="21"/>
        </w:numPr>
        <w:spacing w:after="114"/>
        <w:ind w:left="284" w:hanging="284"/>
        <w:rPr>
          <w:rFonts w:ascii="Calibri" w:eastAsia="Calibri" w:hAnsi="Calibri" w:cs="Times New Roman"/>
        </w:rPr>
      </w:pPr>
      <w:r w:rsidRPr="00E976CA">
        <w:rPr>
          <w:rFonts w:ascii="Calibri" w:eastAsia="Calibri" w:hAnsi="Calibri" w:cs="Times New Roman"/>
        </w:rPr>
        <w:t>Figures may not sum to totals due to rounding.</w:t>
      </w:r>
    </w:p>
    <w:p w:rsidR="005141BF" w:rsidRDefault="005141BF" w:rsidP="00DE7F72">
      <w:pPr>
        <w:pStyle w:val="Footnotes"/>
        <w:numPr>
          <w:ilvl w:val="0"/>
          <w:numId w:val="0"/>
        </w:numPr>
        <w:spacing w:after="114"/>
        <w:ind w:left="284" w:hanging="284"/>
        <w:rPr>
          <w:rFonts w:ascii="Calibri" w:eastAsia="Calibri" w:hAnsi="Calibri" w:cs="Times New Roman"/>
        </w:rPr>
        <w:sectPr w:rsidR="005141BF" w:rsidSect="00E8358C">
          <w:headerReference w:type="even" r:id="rId143"/>
          <w:headerReference w:type="default" r:id="rId144"/>
          <w:footerReference w:type="even" r:id="rId145"/>
          <w:footerReference w:type="default" r:id="rId146"/>
          <w:pgSz w:w="16839" w:h="11907" w:orient="landscape" w:code="9"/>
          <w:pgMar w:top="1361" w:right="1797" w:bottom="1474" w:left="1797" w:header="283" w:footer="454" w:gutter="0"/>
          <w:cols w:space="708"/>
          <w:docGrid w:linePitch="360"/>
        </w:sectPr>
      </w:pPr>
    </w:p>
    <w:p w:rsidR="005141BF" w:rsidRPr="005141BF" w:rsidRDefault="005141BF" w:rsidP="007A4BF9">
      <w:pPr>
        <w:pStyle w:val="Heading5"/>
      </w:pPr>
      <w:bookmarkStart w:id="51" w:name="_Toc455655111"/>
      <w:bookmarkStart w:id="52" w:name="_Toc456766797"/>
      <w:bookmarkStart w:id="53" w:name="_Toc457819891"/>
      <w:bookmarkStart w:id="54" w:name="_Toc458015781"/>
      <w:bookmarkStart w:id="55" w:name="_Toc458090620"/>
      <w:r w:rsidRPr="005141BF">
        <w:lastRenderedPageBreak/>
        <w:t>GRN014: Expanding Denticare</w:t>
      </w:r>
      <w:bookmarkEnd w:id="51"/>
      <w:bookmarkEnd w:id="52"/>
      <w:bookmarkEnd w:id="53"/>
      <w:bookmarkEnd w:id="54"/>
      <w:bookmarkEnd w:id="55"/>
    </w:p>
    <w:p w:rsidR="005141BF" w:rsidRPr="007A4BF9" w:rsidRDefault="005141BF" w:rsidP="007A4BF9">
      <w:pPr>
        <w:pStyle w:val="BodyText"/>
      </w:pPr>
      <w:r>
        <w:rPr>
          <w:noProof/>
          <w:lang w:eastAsia="en-AU"/>
        </w:rPr>
        <w:drawing>
          <wp:inline distT="0" distB="0" distL="0" distR="0" wp14:anchorId="4D103C6B" wp14:editId="02EABA2E">
            <wp:extent cx="2696845" cy="572135"/>
            <wp:effectExtent l="0" t="0" r="8255" b="0"/>
            <wp:docPr id="30" name="Picture 3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141BF" w:rsidRPr="005141BF" w:rsidRDefault="005141BF" w:rsidP="007A4BF9">
      <w:pPr>
        <w:pStyle w:val="Heading6"/>
        <w:rPr>
          <w:rFonts w:ascii="Calibri" w:eastAsia="Calibri" w:hAnsi="Calibri"/>
        </w:rPr>
      </w:pPr>
      <w:r w:rsidRPr="005141BF">
        <w:rPr>
          <w:rFonts w:eastAsia="Calibri"/>
        </w:rPr>
        <w:t>Policy costing—during the caretaker period for the 2016 general election</w:t>
      </w:r>
    </w:p>
    <w:tbl>
      <w:tblPr>
        <w:tblStyle w:val="TableGrid18"/>
        <w:tblW w:w="8340" w:type="dxa"/>
        <w:tblLayout w:type="fixed"/>
        <w:tblCellMar>
          <w:left w:w="108" w:type="dxa"/>
          <w:right w:w="108" w:type="dxa"/>
        </w:tblCellMar>
        <w:tblLook w:val="04A0" w:firstRow="1" w:lastRow="0" w:firstColumn="1" w:lastColumn="0" w:noHBand="0" w:noVBand="1"/>
      </w:tblPr>
      <w:tblGrid>
        <w:gridCol w:w="3005"/>
        <w:gridCol w:w="5335"/>
      </w:tblGrid>
      <w:tr w:rsidR="005141BF" w:rsidRPr="00AF49FE" w:rsidTr="000150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5141BF" w:rsidRPr="00AF49FE" w:rsidRDefault="005141BF" w:rsidP="00AF49FE">
            <w:pPr>
              <w:pStyle w:val="PullOutBoxHeading"/>
              <w:rPr>
                <w:sz w:val="22"/>
              </w:rPr>
            </w:pPr>
            <w:r w:rsidRPr="00AF49FE">
              <w:rPr>
                <w:sz w:val="22"/>
              </w:rPr>
              <w:t>Name of proposal:</w:t>
            </w:r>
          </w:p>
        </w:tc>
        <w:tc>
          <w:tcPr>
            <w:tcW w:w="5335" w:type="dxa"/>
          </w:tcPr>
          <w:p w:rsidR="005141BF" w:rsidRPr="00AF49FE" w:rsidRDefault="005141BF" w:rsidP="0096185B">
            <w:pPr>
              <w:pStyle w:val="PullOutBoxHeading"/>
              <w:jc w:val="left"/>
              <w:cnfStyle w:val="100000000000" w:firstRow="1" w:lastRow="0" w:firstColumn="0" w:lastColumn="0" w:oddVBand="0" w:evenVBand="0" w:oddHBand="0" w:evenHBand="0" w:firstRowFirstColumn="0" w:firstRowLastColumn="0" w:lastRowFirstColumn="0" w:lastRowLastColumn="0"/>
              <w:rPr>
                <w:sz w:val="22"/>
              </w:rPr>
            </w:pPr>
            <w:r w:rsidRPr="00AF49FE">
              <w:rPr>
                <w:sz w:val="22"/>
              </w:rPr>
              <w:t>Expanding Denticare</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top"/>
          </w:tcPr>
          <w:p w:rsidR="005141BF" w:rsidRPr="005141BF" w:rsidRDefault="005141BF" w:rsidP="001253A3">
            <w:pPr>
              <w:pStyle w:val="PullOutBoxBodyText"/>
            </w:pPr>
            <w:r w:rsidRPr="005141BF">
              <w:t>Summary of proposal:</w:t>
            </w:r>
          </w:p>
        </w:tc>
        <w:tc>
          <w:tcPr>
            <w:tcW w:w="5335" w:type="dxa"/>
          </w:tcPr>
          <w:p w:rsidR="005141BF" w:rsidRPr="005141BF" w:rsidRDefault="005141BF" w:rsidP="001253A3">
            <w:pPr>
              <w:pStyle w:val="PullOutBoxBodyText"/>
              <w:cnfStyle w:val="000000100000" w:firstRow="0" w:lastRow="0" w:firstColumn="0" w:lastColumn="0" w:oddVBand="0" w:evenVBand="0" w:oddHBand="1" w:evenHBand="0" w:firstRowFirstColumn="0" w:firstRowLastColumn="0" w:lastRowFirstColumn="0" w:lastRowLastColumn="0"/>
            </w:pPr>
            <w:r w:rsidRPr="005141BF">
              <w:t>The proposal would not proceed with the 1 July 2016 cessation of the Child Dental Benefits Scheme (CDBS) and would:</w:t>
            </w:r>
          </w:p>
          <w:p w:rsidR="005141BF" w:rsidRPr="005141BF" w:rsidRDefault="005141BF" w:rsidP="001253A3">
            <w:pPr>
              <w:pStyle w:val="PullOutBoxBullet"/>
              <w:cnfStyle w:val="000000100000" w:firstRow="0" w:lastRow="0" w:firstColumn="0" w:lastColumn="0" w:oddVBand="0" w:evenVBand="0" w:oddHBand="1" w:evenHBand="0" w:firstRowFirstColumn="0" w:firstRowLastColumn="0" w:lastRowFirstColumn="0" w:lastRowLastColumn="0"/>
            </w:pPr>
            <w:r w:rsidRPr="005141BF">
              <w:t>from 1 July 2017, extend eligibility to the CDBS to aged pension recipients and full benefit income support recipients</w:t>
            </w:r>
          </w:p>
          <w:p w:rsidR="005141BF" w:rsidRPr="005141BF" w:rsidRDefault="005141BF" w:rsidP="001253A3">
            <w:pPr>
              <w:pStyle w:val="PullOutBoxBullet"/>
              <w:cnfStyle w:val="000000100000" w:firstRow="0" w:lastRow="0" w:firstColumn="0" w:lastColumn="0" w:oddVBand="0" w:evenVBand="0" w:oddHBand="1" w:evenHBand="0" w:firstRowFirstColumn="0" w:firstRowLastColumn="0" w:lastRowFirstColumn="0" w:lastRowLastColumn="0"/>
            </w:pPr>
            <w:r w:rsidRPr="005141BF">
              <w:t>from 1 July 2018, extend eligibility to the CDBS to Commonwealth Seniors Health Card (CSHC) holders and all other concession card holders.</w:t>
            </w:r>
          </w:p>
          <w:p w:rsidR="005141BF" w:rsidRPr="005141BF" w:rsidRDefault="005141BF" w:rsidP="001253A3">
            <w:pPr>
              <w:pStyle w:val="PullOutBoxBodyText"/>
              <w:cnfStyle w:val="000000100000" w:firstRow="0" w:lastRow="0" w:firstColumn="0" w:lastColumn="0" w:oddVBand="0" w:evenVBand="0" w:oddHBand="1" w:evenHBand="0" w:firstRowFirstColumn="0" w:firstRowLastColumn="0" w:lastRowFirstColumn="0" w:lastRowLastColumn="0"/>
            </w:pPr>
            <w:r w:rsidRPr="005141BF">
              <w:t>The proposal would be partially offset by not proceeding with the recently announced national Child and Adult Public Dental Scheme (CAPDS).  The CAPDS was announced in the 2016</w:t>
            </w:r>
            <w:r w:rsidRPr="005141BF">
              <w:noBreakHyphen/>
              <w:t>17 Budget.</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3005" w:type="dxa"/>
          </w:tcPr>
          <w:p w:rsidR="005141BF" w:rsidRPr="005141BF" w:rsidRDefault="005141BF" w:rsidP="001253A3">
            <w:pPr>
              <w:pStyle w:val="PullOutBoxBodyText"/>
            </w:pPr>
            <w:r w:rsidRPr="005141BF">
              <w:t>Person/party requesting costing:</w:t>
            </w:r>
          </w:p>
        </w:tc>
        <w:tc>
          <w:tcPr>
            <w:tcW w:w="5335" w:type="dxa"/>
          </w:tcPr>
          <w:p w:rsidR="005141BF" w:rsidRPr="005141BF" w:rsidRDefault="005141BF" w:rsidP="001253A3">
            <w:pPr>
              <w:pStyle w:val="PullOutBoxBodyText"/>
              <w:cnfStyle w:val="000000000000" w:firstRow="0" w:lastRow="0" w:firstColumn="0" w:lastColumn="0" w:oddVBand="0" w:evenVBand="0" w:oddHBand="0" w:evenHBand="0" w:firstRowFirstColumn="0" w:firstRowLastColumn="0" w:lastRowFirstColumn="0" w:lastRowLastColumn="0"/>
            </w:pPr>
            <w:r w:rsidRPr="005141BF">
              <w:t>Senator Richard Di Natale, Australian Greens</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141BF" w:rsidRPr="005141BF" w:rsidRDefault="005141BF" w:rsidP="001253A3">
            <w:pPr>
              <w:pStyle w:val="PullOutBoxBodyText"/>
            </w:pPr>
            <w:r w:rsidRPr="005141BF">
              <w:t>Date of public release of policy:</w:t>
            </w:r>
          </w:p>
        </w:tc>
        <w:tc>
          <w:tcPr>
            <w:tcW w:w="5335" w:type="dxa"/>
          </w:tcPr>
          <w:p w:rsidR="005141BF" w:rsidRPr="005141BF" w:rsidRDefault="005141BF" w:rsidP="001253A3">
            <w:pPr>
              <w:pStyle w:val="PullOutBoxBodyText"/>
              <w:cnfStyle w:val="000000100000" w:firstRow="0" w:lastRow="0" w:firstColumn="0" w:lastColumn="0" w:oddVBand="0" w:evenVBand="0" w:oddHBand="1" w:evenHBand="0" w:firstRowFirstColumn="0" w:firstRowLastColumn="0" w:lastRowFirstColumn="0" w:lastRowLastColumn="0"/>
            </w:pPr>
            <w:r w:rsidRPr="005141BF">
              <w:t>15 June 2016</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3005" w:type="dxa"/>
          </w:tcPr>
          <w:p w:rsidR="005141BF" w:rsidRPr="005141BF" w:rsidRDefault="005141BF" w:rsidP="001253A3">
            <w:pPr>
              <w:pStyle w:val="PullOutBoxBodyText"/>
            </w:pPr>
            <w:r w:rsidRPr="005141BF">
              <w:t>Date costing request received:</w:t>
            </w:r>
          </w:p>
        </w:tc>
        <w:tc>
          <w:tcPr>
            <w:tcW w:w="5335" w:type="dxa"/>
          </w:tcPr>
          <w:p w:rsidR="005141BF" w:rsidRPr="005141BF" w:rsidRDefault="005141BF" w:rsidP="001253A3">
            <w:pPr>
              <w:pStyle w:val="PullOutBoxBodyText"/>
              <w:cnfStyle w:val="000000000000" w:firstRow="0" w:lastRow="0" w:firstColumn="0" w:lastColumn="0" w:oddVBand="0" w:evenVBand="0" w:oddHBand="0" w:evenHBand="0" w:firstRowFirstColumn="0" w:firstRowLastColumn="0" w:lastRowFirstColumn="0" w:lastRowLastColumn="0"/>
            </w:pPr>
            <w:r w:rsidRPr="005141BF">
              <w:t>24 June 2016</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141BF" w:rsidRPr="005141BF" w:rsidRDefault="005141BF" w:rsidP="001253A3">
            <w:pPr>
              <w:pStyle w:val="PullOutBoxBodyText"/>
            </w:pPr>
            <w:r w:rsidRPr="005141BF">
              <w:t>Date costing completed</w:t>
            </w:r>
          </w:p>
        </w:tc>
        <w:tc>
          <w:tcPr>
            <w:tcW w:w="5335" w:type="dxa"/>
          </w:tcPr>
          <w:p w:rsidR="005141BF" w:rsidRPr="005141BF" w:rsidRDefault="005141BF" w:rsidP="001253A3">
            <w:pPr>
              <w:pStyle w:val="PullOutBoxBodyText"/>
              <w:cnfStyle w:val="000000100000" w:firstRow="0" w:lastRow="0" w:firstColumn="0" w:lastColumn="0" w:oddVBand="0" w:evenVBand="0" w:oddHBand="1" w:evenHBand="0" w:firstRowFirstColumn="0" w:firstRowLastColumn="0" w:lastRowFirstColumn="0" w:lastRowLastColumn="0"/>
            </w:pPr>
            <w:r w:rsidRPr="005141BF">
              <w:t>25 June 2016</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3005" w:type="dxa"/>
          </w:tcPr>
          <w:p w:rsidR="005141BF" w:rsidRPr="005141BF" w:rsidRDefault="005141BF" w:rsidP="001253A3">
            <w:pPr>
              <w:pStyle w:val="PullOutBoxBodyText"/>
            </w:pPr>
            <w:r w:rsidRPr="005141BF">
              <w:t>Expiry date for the costing:</w:t>
            </w:r>
          </w:p>
        </w:tc>
        <w:tc>
          <w:tcPr>
            <w:tcW w:w="5335" w:type="dxa"/>
          </w:tcPr>
          <w:p w:rsidR="005141BF" w:rsidRPr="005141BF" w:rsidRDefault="005141BF" w:rsidP="001253A3">
            <w:pPr>
              <w:pStyle w:val="PullOutBoxBodyText"/>
              <w:cnfStyle w:val="000000000000" w:firstRow="0" w:lastRow="0" w:firstColumn="0" w:lastColumn="0" w:oddVBand="0" w:evenVBand="0" w:oddHBand="0" w:evenHBand="0" w:firstRowFirstColumn="0" w:firstRowLastColumn="0" w:lastRowFirstColumn="0" w:lastRowLastColumn="0"/>
            </w:pPr>
            <w:r w:rsidRPr="005141BF">
              <w:t>Release of the next economic and fiscal outlook report</w:t>
            </w:r>
          </w:p>
        </w:tc>
      </w:tr>
    </w:tbl>
    <w:p w:rsidR="005141BF" w:rsidRPr="005141BF" w:rsidRDefault="005141BF" w:rsidP="00905B06">
      <w:pPr>
        <w:pStyle w:val="CostingsH7"/>
        <w:rPr>
          <w:rFonts w:eastAsia="Calibri"/>
        </w:rPr>
      </w:pPr>
      <w:r w:rsidRPr="005141BF">
        <w:rPr>
          <w:rFonts w:eastAsia="Calibri"/>
        </w:rPr>
        <w:t>Costing overview</w:t>
      </w:r>
    </w:p>
    <w:p w:rsidR="005141BF" w:rsidRPr="005141BF" w:rsidRDefault="005141BF" w:rsidP="000501F1">
      <w:pPr>
        <w:pStyle w:val="BodyText"/>
      </w:pPr>
      <w:r w:rsidRPr="005141BF">
        <w:t>This proposal would be expected to decrease the fiscal balance by $6,112.7 million and decrease the underlying cash balance by $6,044.6 million over the 2016</w:t>
      </w:r>
      <w:r w:rsidRPr="005141BF">
        <w:noBreakHyphen/>
        <w:t>17 Budget forward estimates period.  In fiscal balance terms, this impact reflects an increase in administered expenses of $5,914.8 million and in departmental expenses of $197.9 million.</w:t>
      </w:r>
    </w:p>
    <w:p w:rsidR="005141BF" w:rsidRPr="005141BF" w:rsidRDefault="005141BF" w:rsidP="000501F1">
      <w:pPr>
        <w:pStyle w:val="BodyText"/>
      </w:pPr>
      <w:r w:rsidRPr="005141BF">
        <w:t xml:space="preserve">The proposal would have an ongoing financial impact beyond the 2016-17 Budget forward estimates.  The ongoing annual impact would be in line with the impact in 2019-20 growing by population growth, demographic changes and indexation (equating to annual growth of around 5 per cent per year).  A breakdown of the financial implications of this proposal is provided at </w:t>
      </w:r>
      <w:r w:rsidRPr="005141BF">
        <w:rPr>
          <w:u w:val="single"/>
        </w:rPr>
        <w:t>Attachment A</w:t>
      </w:r>
      <w:r w:rsidRPr="005141BF">
        <w:t>.</w:t>
      </w:r>
    </w:p>
    <w:p w:rsidR="005141BF" w:rsidRPr="005141BF" w:rsidRDefault="005141BF" w:rsidP="000501F1">
      <w:pPr>
        <w:pStyle w:val="BodyText"/>
        <w:rPr>
          <w:highlight w:val="yellow"/>
        </w:rPr>
      </w:pPr>
      <w:r w:rsidRPr="005141BF">
        <w:lastRenderedPageBreak/>
        <w:t>The underlying cash balance impact of this proposal differs from the fiscal balance impact due to claims processing lags which would see a proportion of claims processed and paid in a different year to which the service is provided and the expense recorded.</w:t>
      </w:r>
    </w:p>
    <w:p w:rsidR="005141BF" w:rsidRPr="005141BF" w:rsidRDefault="005141BF" w:rsidP="000501F1">
      <w:pPr>
        <w:pStyle w:val="BodyText"/>
      </w:pPr>
      <w:r w:rsidRPr="005141BF">
        <w:rPr>
          <w:lang w:eastAsia="en-AU"/>
        </w:rPr>
        <w:t xml:space="preserve">This costing is considered to be of low reliability.  This is due to a large number of assumptions and the limited availability of current data on dental attendance and service patterns.  In particular, </w:t>
      </w:r>
      <w:r w:rsidRPr="005141BF">
        <w:t>the estimates in this costing would be affected by changes in major variables, including the extent to which the introduction of subsidised dental care would affect demand for services.</w:t>
      </w:r>
    </w:p>
    <w:p w:rsidR="005141BF" w:rsidRPr="005141BF" w:rsidRDefault="005141BF" w:rsidP="00905B06">
      <w:pPr>
        <w:pStyle w:val="Caption"/>
      </w:pPr>
      <w:r w:rsidRPr="005141BF">
        <w:t>Table 1: Financial implications (outturn prices)</w:t>
      </w:r>
      <w:r w:rsidRPr="005141BF">
        <w:rPr>
          <w:vertAlign w:val="superscript"/>
        </w:rPr>
        <w:t>(a)(b)</w:t>
      </w:r>
    </w:p>
    <w:tbl>
      <w:tblPr>
        <w:tblStyle w:val="TableGrid18"/>
        <w:tblW w:w="4993" w:type="pct"/>
        <w:tblLook w:val="04A0" w:firstRow="1" w:lastRow="0" w:firstColumn="1" w:lastColumn="0" w:noHBand="0" w:noVBand="1"/>
      </w:tblPr>
      <w:tblGrid>
        <w:gridCol w:w="2645"/>
        <w:gridCol w:w="1134"/>
        <w:gridCol w:w="1133"/>
        <w:gridCol w:w="1133"/>
        <w:gridCol w:w="1133"/>
        <w:gridCol w:w="1132"/>
      </w:tblGrid>
      <w:tr w:rsidR="005141BF" w:rsidRPr="005141BF" w:rsidTr="000150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5141BF" w:rsidRPr="005141BF" w:rsidRDefault="005141BF" w:rsidP="005141BF">
            <w:pPr>
              <w:keepNext/>
              <w:keepLines/>
              <w:spacing w:line="240" w:lineRule="auto"/>
              <w:ind w:left="57" w:right="57"/>
              <w:rPr>
                <w:szCs w:val="20"/>
              </w:rPr>
            </w:pPr>
            <w:r w:rsidRPr="005141BF">
              <w:rPr>
                <w:szCs w:val="20"/>
              </w:rPr>
              <w:t>Impact on ($m)</w:t>
            </w:r>
          </w:p>
        </w:tc>
        <w:tc>
          <w:tcPr>
            <w:tcW w:w="682"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141BF">
              <w:rPr>
                <w:szCs w:val="20"/>
              </w:rPr>
              <w:t>2016–17</w:t>
            </w:r>
          </w:p>
        </w:tc>
        <w:tc>
          <w:tcPr>
            <w:tcW w:w="682"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141BF">
              <w:rPr>
                <w:szCs w:val="20"/>
              </w:rPr>
              <w:t>2017–18</w:t>
            </w:r>
          </w:p>
        </w:tc>
        <w:tc>
          <w:tcPr>
            <w:tcW w:w="682"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141BF">
              <w:rPr>
                <w:szCs w:val="20"/>
              </w:rPr>
              <w:t>2018–19</w:t>
            </w:r>
          </w:p>
        </w:tc>
        <w:tc>
          <w:tcPr>
            <w:tcW w:w="682"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141BF">
              <w:rPr>
                <w:szCs w:val="20"/>
              </w:rPr>
              <w:t>2019–20</w:t>
            </w:r>
          </w:p>
        </w:tc>
        <w:tc>
          <w:tcPr>
            <w:tcW w:w="681"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141BF">
              <w:rPr>
                <w:b/>
                <w:szCs w:val="20"/>
              </w:rPr>
              <w:t>Total</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5141BF" w:rsidRPr="005141BF" w:rsidRDefault="005141BF" w:rsidP="005141BF">
            <w:pPr>
              <w:keepNext/>
              <w:keepLines/>
              <w:ind w:left="57" w:right="57"/>
              <w:rPr>
                <w:szCs w:val="20"/>
              </w:rPr>
            </w:pPr>
            <w:r w:rsidRPr="005141BF">
              <w:rPr>
                <w:szCs w:val="20"/>
              </w:rPr>
              <w:t>Fiscal balance</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141BF">
              <w:rPr>
                <w:rFonts w:ascii="Calibri" w:hAnsi="Calibri"/>
              </w:rPr>
              <w:t>81.2</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141BF">
              <w:rPr>
                <w:rFonts w:ascii="Calibri" w:hAnsi="Calibri"/>
              </w:rPr>
              <w:t>-1,774.1</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141BF">
              <w:rPr>
                <w:rFonts w:ascii="Calibri" w:hAnsi="Calibri"/>
              </w:rPr>
              <w:t>-2,186.3</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141BF">
              <w:rPr>
                <w:rFonts w:ascii="Calibri" w:hAnsi="Calibri"/>
              </w:rPr>
              <w:t>-2,233.5</w:t>
            </w:r>
          </w:p>
        </w:tc>
        <w:tc>
          <w:tcPr>
            <w:tcW w:w="681"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141BF">
              <w:rPr>
                <w:rFonts w:ascii="Calibri" w:hAnsi="Calibri"/>
                <w:b/>
              </w:rPr>
              <w:t>-6,112.7</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1591" w:type="pct"/>
          </w:tcPr>
          <w:p w:rsidR="005141BF" w:rsidRPr="005141BF" w:rsidRDefault="005141BF" w:rsidP="005141BF">
            <w:pPr>
              <w:keepNext/>
              <w:keepLines/>
              <w:ind w:left="57" w:right="57"/>
              <w:rPr>
                <w:szCs w:val="20"/>
              </w:rPr>
            </w:pPr>
            <w:r w:rsidRPr="005141BF">
              <w:rPr>
                <w:szCs w:val="20"/>
              </w:rPr>
              <w:t>Underlying cash balance</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141BF">
              <w:rPr>
                <w:rFonts w:ascii="Calibri" w:hAnsi="Calibri"/>
              </w:rPr>
              <w:t>51.2</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141BF">
              <w:rPr>
                <w:rFonts w:ascii="Calibri" w:hAnsi="Calibri"/>
              </w:rPr>
              <w:t>-1,738.1</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141BF">
              <w:rPr>
                <w:rFonts w:ascii="Calibri" w:hAnsi="Calibri"/>
              </w:rPr>
              <w:t>-2,172.2</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141BF">
              <w:rPr>
                <w:rFonts w:ascii="Calibri" w:hAnsi="Calibri"/>
              </w:rPr>
              <w:t>-2,185.5</w:t>
            </w:r>
          </w:p>
        </w:tc>
        <w:tc>
          <w:tcPr>
            <w:tcW w:w="681"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141BF">
              <w:rPr>
                <w:rFonts w:ascii="Calibri" w:hAnsi="Calibri"/>
                <w:b/>
              </w:rPr>
              <w:t>-6,044.6</w:t>
            </w:r>
          </w:p>
        </w:tc>
      </w:tr>
    </w:tbl>
    <w:p w:rsidR="005141BF" w:rsidRPr="005141BF" w:rsidRDefault="005141BF" w:rsidP="000B5C96">
      <w:pPr>
        <w:pStyle w:val="Footnotes"/>
        <w:numPr>
          <w:ilvl w:val="0"/>
          <w:numId w:val="64"/>
        </w:numPr>
        <w:ind w:left="284" w:hanging="284"/>
      </w:pPr>
      <w:r w:rsidRPr="005141BF">
        <w:t>A positive number indicates an increase in the relevant budget balance, a negative number a decrease.</w:t>
      </w:r>
    </w:p>
    <w:p w:rsidR="005141BF" w:rsidRPr="00DE7F72" w:rsidRDefault="005141BF" w:rsidP="000B5C96">
      <w:pPr>
        <w:pStyle w:val="Footnotes"/>
        <w:numPr>
          <w:ilvl w:val="0"/>
          <w:numId w:val="64"/>
        </w:numPr>
        <w:ind w:left="284" w:hanging="284"/>
        <w:rPr>
          <w:rFonts w:ascii="Times New Roman" w:eastAsia="Times New Roman" w:hAnsi="Times New Roman"/>
          <w:lang w:eastAsia="en-AU"/>
        </w:rPr>
      </w:pPr>
      <w:r w:rsidRPr="005141BF">
        <w:t>Figures may not sum to totals due to rounding.</w:t>
      </w:r>
    </w:p>
    <w:p w:rsidR="005141BF" w:rsidRPr="005141BF" w:rsidRDefault="005141BF" w:rsidP="00905B06">
      <w:pPr>
        <w:pStyle w:val="CostingsH7"/>
        <w:rPr>
          <w:rFonts w:eastAsia="Calibri"/>
        </w:rPr>
      </w:pPr>
      <w:r w:rsidRPr="005141BF">
        <w:rPr>
          <w:rFonts w:eastAsia="Calibri"/>
        </w:rPr>
        <w:t>Key assumptions</w:t>
      </w:r>
    </w:p>
    <w:p w:rsidR="005141BF" w:rsidRPr="005141BF" w:rsidRDefault="005141BF" w:rsidP="000501F1">
      <w:pPr>
        <w:pStyle w:val="BodyText"/>
      </w:pPr>
      <w:r w:rsidRPr="005141BF">
        <w:t>In costing the proposal, it has been assumed that:</w:t>
      </w:r>
    </w:p>
    <w:p w:rsidR="005141BF" w:rsidRPr="005141BF" w:rsidRDefault="005141BF" w:rsidP="000501F1">
      <w:pPr>
        <w:pStyle w:val="ListBullet"/>
        <w:rPr>
          <w:lang w:eastAsia="en-AU"/>
        </w:rPr>
      </w:pPr>
      <w:r w:rsidRPr="005141BF">
        <w:rPr>
          <w:lang w:eastAsia="en-AU"/>
        </w:rPr>
        <w:t>All individuals who choose to visit a dentist would be able to see a dentist, and there is no restriction on how many dentists a patient can visit for treatment services.</w:t>
      </w:r>
    </w:p>
    <w:p w:rsidR="005141BF" w:rsidRPr="005141BF" w:rsidRDefault="005141BF" w:rsidP="000501F1">
      <w:pPr>
        <w:pStyle w:val="BodyText"/>
      </w:pPr>
      <w:r w:rsidRPr="005141BF">
        <w:t>Relating to departmental expenditures, it has been assumed that:</w:t>
      </w:r>
    </w:p>
    <w:p w:rsidR="005141BF" w:rsidRPr="005141BF" w:rsidRDefault="005141BF" w:rsidP="000501F1">
      <w:pPr>
        <w:pStyle w:val="ListBullet"/>
        <w:rPr>
          <w:lang w:eastAsia="en-AU"/>
        </w:rPr>
      </w:pPr>
      <w:r w:rsidRPr="005141BF">
        <w:rPr>
          <w:lang w:eastAsia="en-AU"/>
        </w:rPr>
        <w:t>Recipient eligibility would be assessed at a point in time prior to the beginning of each phase</w:t>
      </w:r>
      <w:r w:rsidRPr="005141BF">
        <w:rPr>
          <w:lang w:eastAsia="en-AU"/>
        </w:rPr>
        <w:noBreakHyphen/>
        <w:t>in period.  Once eligible, individuals would not have their eligibility reassessed prior to the scheme becoming universal.</w:t>
      </w:r>
    </w:p>
    <w:p w:rsidR="005141BF" w:rsidRPr="005141BF" w:rsidRDefault="005141BF" w:rsidP="000501F1">
      <w:pPr>
        <w:pStyle w:val="ListBullet"/>
        <w:rPr>
          <w:lang w:eastAsia="en-AU"/>
        </w:rPr>
      </w:pPr>
      <w:r w:rsidRPr="005141BF">
        <w:rPr>
          <w:lang w:eastAsia="en-AU"/>
        </w:rPr>
        <w:t>One letter would be sent to each individual in their first year of eligibility advising them that they are eligible for the scheme.</w:t>
      </w:r>
    </w:p>
    <w:p w:rsidR="005141BF" w:rsidRPr="005141BF" w:rsidRDefault="005141BF" w:rsidP="000501F1">
      <w:pPr>
        <w:pStyle w:val="BodyText"/>
      </w:pPr>
      <w:r w:rsidRPr="005141BF">
        <w:t>Relating to behaviour, it has been assumed that:</w:t>
      </w:r>
    </w:p>
    <w:p w:rsidR="005141BF" w:rsidRPr="005141BF" w:rsidRDefault="005141BF" w:rsidP="000501F1">
      <w:pPr>
        <w:pStyle w:val="ListBullet"/>
        <w:rPr>
          <w:lang w:eastAsia="en-AU"/>
        </w:rPr>
      </w:pPr>
      <w:r w:rsidRPr="005141BF">
        <w:rPr>
          <w:lang w:eastAsia="en-AU"/>
        </w:rPr>
        <w:t>The base proportion of individuals who attend the dentist is 64 per cent, as is reported by the Australian Institute of Health and Welfare (AIHW).</w:t>
      </w:r>
    </w:p>
    <w:p w:rsidR="005141BF" w:rsidRPr="005141BF" w:rsidRDefault="005141BF" w:rsidP="005141BF">
      <w:pPr>
        <w:pStyle w:val="ListBullet"/>
        <w:rPr>
          <w:lang w:eastAsia="en-AU"/>
        </w:rPr>
      </w:pPr>
      <w:r w:rsidRPr="005141BF">
        <w:rPr>
          <w:lang w:eastAsia="en-AU"/>
        </w:rPr>
        <w:t xml:space="preserve">In line with the 2008 PricewaterhouseCoopers report, </w:t>
      </w:r>
      <w:r w:rsidRPr="000501F1">
        <w:rPr>
          <w:i/>
        </w:rPr>
        <w:t>National Health and Hospital Reform Commission: Costing a Social Insurance Scheme for Dental Care</w:t>
      </w:r>
      <w:r w:rsidRPr="005141BF">
        <w:rPr>
          <w:lang w:eastAsia="en-AU"/>
        </w:rPr>
        <w:t xml:space="preserve"> (PWC Report), growth in the proportion of people visiting the dentist following the extension of the CDBS to newly eligible persons is estimated to be a flat increase of 11.5 per cent.</w:t>
      </w:r>
    </w:p>
    <w:p w:rsidR="005141BF" w:rsidRPr="005141BF" w:rsidRDefault="005141BF" w:rsidP="000501F1">
      <w:pPr>
        <w:pStyle w:val="ListBullet"/>
        <w:rPr>
          <w:lang w:eastAsia="en-AU"/>
        </w:rPr>
      </w:pPr>
      <w:r w:rsidRPr="005141BF">
        <w:rPr>
          <w:lang w:eastAsia="en-AU"/>
        </w:rPr>
        <w:t>On average, the cost of an eligible adult accessing the expanded CDBS would be around 50 per cent higher than the cost of eligible children based on historical data on use of dental services by age group.</w:t>
      </w:r>
    </w:p>
    <w:p w:rsidR="005141BF" w:rsidRPr="005141BF" w:rsidRDefault="005141BF" w:rsidP="00905B06">
      <w:pPr>
        <w:pStyle w:val="CostingsH7"/>
        <w:rPr>
          <w:rFonts w:eastAsia="Calibri"/>
        </w:rPr>
      </w:pPr>
      <w:r w:rsidRPr="005141BF">
        <w:rPr>
          <w:rFonts w:eastAsia="Calibri"/>
        </w:rPr>
        <w:lastRenderedPageBreak/>
        <w:t>Methodology</w:t>
      </w:r>
    </w:p>
    <w:p w:rsidR="005141BF" w:rsidRPr="005141BF" w:rsidRDefault="005141BF" w:rsidP="000501F1">
      <w:pPr>
        <w:pStyle w:val="CostingsH8"/>
        <w:rPr>
          <w:rFonts w:eastAsia="Calibri"/>
        </w:rPr>
      </w:pPr>
      <w:r w:rsidRPr="005141BF">
        <w:rPr>
          <w:rFonts w:eastAsia="Calibri"/>
        </w:rPr>
        <w:t>No longer proceeding with the 1 July 2016 cessation of the CDBS</w:t>
      </w:r>
    </w:p>
    <w:p w:rsidR="005141BF" w:rsidRPr="005141BF" w:rsidRDefault="005141BF" w:rsidP="000501F1">
      <w:pPr>
        <w:pStyle w:val="BodyText"/>
      </w:pPr>
      <w:r w:rsidRPr="005141BF">
        <w:t xml:space="preserve">The estimated increase in administered and departmental expenses of not proceeding with the cessation of the CDBS was based on modelling provided by the Department of Health (Health) that informed the 2016-17 Budget measure, </w:t>
      </w:r>
      <w:r w:rsidRPr="005141BF">
        <w:rPr>
          <w:i/>
        </w:rPr>
        <w:t>Child and Adult Public Dental Scheme</w:t>
      </w:r>
      <w:r w:rsidRPr="005141BF">
        <w:t>.</w:t>
      </w:r>
    </w:p>
    <w:p w:rsidR="005141BF" w:rsidRDefault="005141BF" w:rsidP="000501F1">
      <w:pPr>
        <w:pStyle w:val="CostingsH8"/>
        <w:rPr>
          <w:rFonts w:eastAsia="Calibri"/>
        </w:rPr>
      </w:pPr>
      <w:r w:rsidRPr="005141BF">
        <w:rPr>
          <w:rFonts w:eastAsia="Calibri"/>
        </w:rPr>
        <w:t>Expansion of eligibility for CDBS</w:t>
      </w:r>
    </w:p>
    <w:p w:rsidR="005141BF" w:rsidRPr="005141BF" w:rsidRDefault="005141BF" w:rsidP="000501F1">
      <w:pPr>
        <w:pStyle w:val="CostingsH9"/>
      </w:pPr>
      <w:r w:rsidRPr="005141BF">
        <w:t>Administered expenses</w:t>
      </w:r>
    </w:p>
    <w:p w:rsidR="005141BF" w:rsidRPr="005141BF" w:rsidRDefault="005141BF" w:rsidP="000501F1">
      <w:pPr>
        <w:pStyle w:val="BodyText"/>
      </w:pPr>
      <w:r w:rsidRPr="005141BF">
        <w:t>Administered expense estimates were derived by taking the number of persons eligible in each year multiplied by the proportion of persons expected to access the scheme.  This number was then multiplied by the expected average cost of adults using the range of services provided under the CDBS.</w:t>
      </w:r>
    </w:p>
    <w:p w:rsidR="005141BF" w:rsidRPr="005141BF" w:rsidRDefault="005141BF" w:rsidP="000501F1">
      <w:pPr>
        <w:pStyle w:val="ListBullet"/>
        <w:rPr>
          <w:lang w:eastAsia="en-AU"/>
        </w:rPr>
      </w:pPr>
      <w:r w:rsidRPr="005141BF">
        <w:rPr>
          <w:lang w:eastAsia="en-AU"/>
        </w:rPr>
        <w:t>Recipient numbers</w:t>
      </w:r>
    </w:p>
    <w:p w:rsidR="005141BF" w:rsidRPr="005141BF" w:rsidRDefault="005141BF" w:rsidP="000501F1">
      <w:pPr>
        <w:pStyle w:val="ListBullet2"/>
        <w:rPr>
          <w:lang w:eastAsia="en-AU"/>
        </w:rPr>
      </w:pPr>
      <w:r w:rsidRPr="005141BF">
        <w:rPr>
          <w:lang w:eastAsia="en-AU"/>
        </w:rPr>
        <w:t>The number of full benefit income support recipients has been based on information provided by the Department of Social Services and the Department of Employment.</w:t>
      </w:r>
    </w:p>
    <w:p w:rsidR="005141BF" w:rsidRPr="005141BF" w:rsidRDefault="005141BF" w:rsidP="000501F1">
      <w:pPr>
        <w:pStyle w:val="ListBullet2"/>
        <w:rPr>
          <w:lang w:eastAsia="en-AU"/>
        </w:rPr>
      </w:pPr>
      <w:r w:rsidRPr="005141BF">
        <w:rPr>
          <w:lang w:eastAsia="en-AU"/>
        </w:rPr>
        <w:t>The number of concession card holders was derived by taking the number of individuals receiving an income support payment plus data available on Commonwealth Seniors Health Card holders and bereavement allowance recipients.</w:t>
      </w:r>
    </w:p>
    <w:p w:rsidR="005141BF" w:rsidRPr="005141BF" w:rsidRDefault="005141BF" w:rsidP="000501F1">
      <w:pPr>
        <w:pStyle w:val="ListBullet"/>
        <w:rPr>
          <w:lang w:eastAsia="en-AU"/>
        </w:rPr>
      </w:pPr>
      <w:r w:rsidRPr="005141BF">
        <w:rPr>
          <w:lang w:eastAsia="en-AU"/>
        </w:rPr>
        <w:t>Average cost per adult</w:t>
      </w:r>
    </w:p>
    <w:p w:rsidR="005141BF" w:rsidRPr="005141BF" w:rsidRDefault="005141BF" w:rsidP="000501F1">
      <w:pPr>
        <w:pStyle w:val="ListBullet2"/>
        <w:rPr>
          <w:u w:val="single"/>
          <w:lang w:eastAsia="en-AU"/>
        </w:rPr>
      </w:pPr>
      <w:r w:rsidRPr="005141BF">
        <w:rPr>
          <w:lang w:eastAsia="en-AU"/>
        </w:rPr>
        <w:t xml:space="preserve">The average cost per adult was calculated by multiplying the following factors together: </w:t>
      </w:r>
    </w:p>
    <w:p w:rsidR="00F36A57" w:rsidRDefault="005141BF" w:rsidP="00F36A57">
      <w:pPr>
        <w:pStyle w:val="PullOutBoxBullet3"/>
      </w:pPr>
      <w:r w:rsidRPr="005141BF">
        <w:t xml:space="preserve">the average number of diagnostic, restorative, preventative and extraction services per visit by age group as detailed in </w:t>
      </w:r>
      <w:r w:rsidRPr="000501F1">
        <w:rPr>
          <w:i/>
        </w:rPr>
        <w:t>Practice activity patterns of dentists in Australia</w:t>
      </w:r>
      <w:r w:rsidRPr="005141BF">
        <w:t>, AIHW 2006</w:t>
      </w:r>
    </w:p>
    <w:p w:rsidR="005141BF" w:rsidRPr="00F36A57" w:rsidRDefault="005141BF" w:rsidP="00F36A57">
      <w:pPr>
        <w:pStyle w:val="PullOutBoxBullet3"/>
      </w:pPr>
      <w:r w:rsidRPr="00F36A57">
        <w:rPr>
          <w:rFonts w:ascii="Calibri" w:eastAsia="Calibri" w:hAnsi="Calibri" w:cs="Times New Roman"/>
        </w:rPr>
        <w:t>the average number of visits in a 12</w:t>
      </w:r>
      <w:r w:rsidRPr="00F36A57">
        <w:rPr>
          <w:rFonts w:ascii="Calibri" w:eastAsia="Calibri" w:hAnsi="Calibri" w:cs="Times New Roman"/>
        </w:rPr>
        <w:softHyphen/>
      </w:r>
      <w:r w:rsidRPr="00F36A57">
        <w:rPr>
          <w:rFonts w:ascii="Calibri" w:eastAsia="Calibri" w:hAnsi="Calibri" w:cs="Times New Roman"/>
        </w:rPr>
        <w:noBreakHyphen/>
        <w:t xml:space="preserve">month period as reported in </w:t>
      </w:r>
      <w:r w:rsidRPr="000501F1">
        <w:rPr>
          <w:i/>
        </w:rPr>
        <w:t>Oral health and dental care in Australia</w:t>
      </w:r>
      <w:r w:rsidRPr="00F36A57">
        <w:rPr>
          <w:rFonts w:ascii="Calibri" w:eastAsia="Calibri" w:hAnsi="Calibri" w:cs="Times New Roman"/>
        </w:rPr>
        <w:t>, AIHW, 2014.</w:t>
      </w:r>
    </w:p>
    <w:p w:rsidR="005141BF" w:rsidRPr="005141BF" w:rsidRDefault="005141BF" w:rsidP="000501F1">
      <w:pPr>
        <w:pStyle w:val="CostingsH9"/>
      </w:pPr>
      <w:r w:rsidRPr="005141BF">
        <w:t>Departmental expenses</w:t>
      </w:r>
    </w:p>
    <w:p w:rsidR="005141BF" w:rsidRPr="005141BF" w:rsidRDefault="005141BF" w:rsidP="000501F1">
      <w:pPr>
        <w:pStyle w:val="BodyText"/>
      </w:pPr>
      <w:r w:rsidRPr="005141BF">
        <w:t>Departmental expense estimates for the Department of Human Services (DHS) in this costing were derived using information provided by the DHS.  The majority of the costs were modelled on the proportion of departmental to administered costs for the CDBS.</w:t>
      </w:r>
    </w:p>
    <w:p w:rsidR="005141BF" w:rsidRPr="005141BF" w:rsidRDefault="005141BF" w:rsidP="000501F1">
      <w:pPr>
        <w:pStyle w:val="BodyText"/>
      </w:pPr>
      <w:r w:rsidRPr="005141BF">
        <w:t>The costing has included higher funding for information and communications technology (ICT) purposes due to significant work that would need to be undertaken to ensure systems could cope with the higher numbers of transactions.  It would also be anticipated that some departmental costs would be incurred prior to the commencement date as system upgrades would be required and individual eligibility would need to be determined.</w:t>
      </w:r>
    </w:p>
    <w:p w:rsidR="005141BF" w:rsidRPr="005141BF" w:rsidRDefault="005141BF" w:rsidP="000501F1">
      <w:pPr>
        <w:pStyle w:val="BodyText"/>
      </w:pPr>
      <w:r w:rsidRPr="005141BF">
        <w:t>The departmental costs for Health were calculated based on the increased number of persons accessing the expanded CDBS and costs for administering similar sized programs.</w:t>
      </w:r>
    </w:p>
    <w:p w:rsidR="005141BF" w:rsidRPr="005141BF" w:rsidRDefault="005141BF" w:rsidP="000501F1">
      <w:pPr>
        <w:pStyle w:val="CostingsH8"/>
        <w:rPr>
          <w:rFonts w:eastAsia="Calibri"/>
        </w:rPr>
      </w:pPr>
      <w:r w:rsidRPr="005141BF">
        <w:rPr>
          <w:rFonts w:eastAsia="Calibri"/>
        </w:rPr>
        <w:lastRenderedPageBreak/>
        <w:t>Not proceeding with the CAPDS</w:t>
      </w:r>
    </w:p>
    <w:p w:rsidR="005141BF" w:rsidRPr="005141BF" w:rsidRDefault="005141BF" w:rsidP="005141BF">
      <w:pPr>
        <w:keepLines/>
        <w:spacing w:before="114" w:after="114"/>
        <w:rPr>
          <w:rFonts w:ascii="Calibri" w:eastAsia="Calibri" w:hAnsi="Calibri" w:cs="Times New Roman"/>
        </w:rPr>
      </w:pPr>
      <w:r w:rsidRPr="005141BF">
        <w:rPr>
          <w:rFonts w:ascii="Calibri" w:eastAsia="Calibri" w:hAnsi="Calibri" w:cs="Times New Roman"/>
        </w:rPr>
        <w:t xml:space="preserve">The estimated savings from not proceeding with the CAPDS was based on modelling provided by Health that informed the 2016-17 Budget measure, </w:t>
      </w:r>
      <w:r w:rsidRPr="000501F1">
        <w:rPr>
          <w:rFonts w:cs="Times New Roman"/>
          <w:i/>
          <w:spacing w:val="-1"/>
        </w:rPr>
        <w:t>Child and Adult Public Dental Scheme</w:t>
      </w:r>
      <w:r w:rsidRPr="005141BF">
        <w:rPr>
          <w:rFonts w:ascii="Calibri" w:eastAsia="Calibri" w:hAnsi="Calibri" w:cs="Times New Roman"/>
        </w:rPr>
        <w:t>.</w:t>
      </w:r>
    </w:p>
    <w:p w:rsidR="005141BF" w:rsidRPr="005141BF" w:rsidRDefault="005141BF" w:rsidP="00905B06">
      <w:pPr>
        <w:pStyle w:val="CostingsH7"/>
        <w:rPr>
          <w:rFonts w:eastAsia="Calibri"/>
        </w:rPr>
      </w:pPr>
      <w:r w:rsidRPr="005141BF">
        <w:rPr>
          <w:rFonts w:eastAsia="Calibri"/>
        </w:rPr>
        <w:t>Data sources</w:t>
      </w:r>
    </w:p>
    <w:p w:rsidR="005141BF" w:rsidRPr="005141BF" w:rsidRDefault="005141BF" w:rsidP="000501F1">
      <w:pPr>
        <w:pStyle w:val="BodyText"/>
      </w:pPr>
      <w:r w:rsidRPr="005141BF">
        <w:t>The following data sources, in addition to information provided by agencies listed previously, were used in developing this costing:</w:t>
      </w:r>
    </w:p>
    <w:p w:rsidR="005141BF" w:rsidRPr="005141BF" w:rsidRDefault="005141BF" w:rsidP="000501F1">
      <w:pPr>
        <w:pStyle w:val="ListBullet"/>
        <w:rPr>
          <w:lang w:eastAsia="en-AU"/>
        </w:rPr>
      </w:pPr>
      <w:r w:rsidRPr="005141BF">
        <w:rPr>
          <w:lang w:eastAsia="en-AU"/>
        </w:rPr>
        <w:t>Australian Bureau of Statistics</w:t>
      </w:r>
    </w:p>
    <w:p w:rsidR="005141BF" w:rsidRPr="005141BF" w:rsidRDefault="005141BF" w:rsidP="000501F1">
      <w:pPr>
        <w:pStyle w:val="ListBullet2"/>
        <w:rPr>
          <w:lang w:eastAsia="en-AU"/>
        </w:rPr>
      </w:pPr>
      <w:r w:rsidRPr="005141BF">
        <w:rPr>
          <w:lang w:eastAsia="en-AU"/>
        </w:rPr>
        <w:t>Table B9 - Population projections, by age and sex, Australia - Series B.</w:t>
      </w:r>
    </w:p>
    <w:p w:rsidR="005141BF" w:rsidRPr="005141BF" w:rsidRDefault="005141BF" w:rsidP="000501F1">
      <w:pPr>
        <w:pStyle w:val="ListBullet"/>
        <w:rPr>
          <w:lang w:eastAsia="en-AU"/>
        </w:rPr>
      </w:pPr>
      <w:r w:rsidRPr="005141BF">
        <w:rPr>
          <w:lang w:eastAsia="en-AU"/>
        </w:rPr>
        <w:t>Australian Institute of Health and Welfare</w:t>
      </w:r>
    </w:p>
    <w:p w:rsidR="005141BF" w:rsidRPr="005141BF" w:rsidRDefault="005141BF" w:rsidP="000501F1">
      <w:pPr>
        <w:pStyle w:val="ListBullet2"/>
        <w:rPr>
          <w:lang w:eastAsia="en-AU"/>
        </w:rPr>
      </w:pPr>
      <w:r w:rsidRPr="005141BF">
        <w:rPr>
          <w:lang w:eastAsia="en-AU"/>
        </w:rPr>
        <w:t>Practice activity patterns of dentists in Australia, 2006</w:t>
      </w:r>
    </w:p>
    <w:p w:rsidR="005141BF" w:rsidRPr="005141BF" w:rsidRDefault="005141BF" w:rsidP="000501F1">
      <w:pPr>
        <w:pStyle w:val="ListBullet2"/>
        <w:rPr>
          <w:lang w:eastAsia="en-AU"/>
        </w:rPr>
      </w:pPr>
      <w:r w:rsidRPr="005141BF">
        <w:rPr>
          <w:lang w:eastAsia="en-AU"/>
        </w:rPr>
        <w:t>Oral health and dental care in Australia, 2014</w:t>
      </w:r>
    </w:p>
    <w:p w:rsidR="005141BF" w:rsidRPr="005141BF" w:rsidRDefault="005141BF" w:rsidP="000501F1">
      <w:pPr>
        <w:pStyle w:val="ListBullet2"/>
        <w:rPr>
          <w:lang w:eastAsia="en-AU"/>
        </w:rPr>
      </w:pPr>
      <w:r w:rsidRPr="005141BF">
        <w:rPr>
          <w:lang w:eastAsia="en-AU"/>
        </w:rPr>
        <w:t>Age and the costs of dental care, 2010</w:t>
      </w:r>
    </w:p>
    <w:p w:rsidR="005141BF" w:rsidRPr="005141BF" w:rsidRDefault="005141BF" w:rsidP="000501F1">
      <w:pPr>
        <w:pStyle w:val="ListBullet2"/>
        <w:rPr>
          <w:lang w:eastAsia="en-AU"/>
        </w:rPr>
      </w:pPr>
      <w:r w:rsidRPr="005141BF">
        <w:rPr>
          <w:lang w:eastAsia="en-AU"/>
        </w:rPr>
        <w:t>Proportion (%) of chronic conditions reported, by age group, 2004-05.</w:t>
      </w:r>
    </w:p>
    <w:p w:rsidR="005141BF" w:rsidRPr="005141BF" w:rsidRDefault="005141BF" w:rsidP="000501F1">
      <w:pPr>
        <w:pStyle w:val="ListBullet"/>
        <w:rPr>
          <w:lang w:eastAsia="en-AU"/>
        </w:rPr>
      </w:pPr>
      <w:r w:rsidRPr="005141BF">
        <w:rPr>
          <w:lang w:eastAsia="en-AU"/>
        </w:rPr>
        <w:t>PricewaterhouseCoopers</w:t>
      </w:r>
    </w:p>
    <w:p w:rsidR="005141BF" w:rsidRPr="005141BF" w:rsidRDefault="005141BF" w:rsidP="000501F1">
      <w:pPr>
        <w:pStyle w:val="ListBullet2"/>
        <w:rPr>
          <w:lang w:eastAsia="en-AU"/>
        </w:rPr>
      </w:pPr>
      <w:r w:rsidRPr="005141BF">
        <w:rPr>
          <w:lang w:eastAsia="en-AU"/>
        </w:rPr>
        <w:t>National Health and Hospital Reform Commission: Costing a Social Insurance Scheme for Dental Care, 2008.</w:t>
      </w:r>
    </w:p>
    <w:p w:rsidR="005141BF" w:rsidRPr="005141BF" w:rsidRDefault="005141BF" w:rsidP="000501F1">
      <w:pPr>
        <w:pStyle w:val="ListBullet"/>
        <w:rPr>
          <w:lang w:eastAsia="en-AU"/>
        </w:rPr>
      </w:pPr>
      <w:r w:rsidRPr="005141BF">
        <w:rPr>
          <w:lang w:eastAsia="en-AU"/>
        </w:rPr>
        <w:t>The Department of Finance provided the Central Budget Management System data for the 2016</w:t>
      </w:r>
      <w:r w:rsidRPr="005141BF">
        <w:rPr>
          <w:lang w:eastAsia="en-AU"/>
        </w:rPr>
        <w:noBreakHyphen/>
        <w:t>17 Budget.</w:t>
      </w:r>
    </w:p>
    <w:p w:rsidR="005141BF" w:rsidRPr="005141BF" w:rsidRDefault="005141BF" w:rsidP="000501F1">
      <w:pPr>
        <w:pStyle w:val="ListBullet"/>
        <w:rPr>
          <w:rFonts w:ascii="Calibri" w:eastAsia="Times New Roman" w:hAnsi="Calibri" w:cs="Times New Roman"/>
          <w:highlight w:val="yellow"/>
          <w:lang w:eastAsia="en-AU"/>
        </w:rPr>
        <w:sectPr w:rsidR="005141BF" w:rsidRPr="005141BF" w:rsidSect="00E8358C">
          <w:headerReference w:type="even" r:id="rId147"/>
          <w:headerReference w:type="default" r:id="rId148"/>
          <w:footerReference w:type="even" r:id="rId149"/>
          <w:footerReference w:type="default" r:id="rId150"/>
          <w:headerReference w:type="first" r:id="rId151"/>
          <w:footerReference w:type="first" r:id="rId152"/>
          <w:pgSz w:w="11906" w:h="16838"/>
          <w:pgMar w:top="1361" w:right="1797" w:bottom="1474" w:left="1797" w:header="283" w:footer="454" w:gutter="0"/>
          <w:cols w:space="708"/>
          <w:docGrid w:linePitch="360"/>
        </w:sectPr>
      </w:pPr>
    </w:p>
    <w:p w:rsidR="005141BF" w:rsidRPr="005141BF" w:rsidRDefault="005141BF" w:rsidP="007A4BF9">
      <w:pPr>
        <w:pStyle w:val="Heading6"/>
        <w:rPr>
          <w:rFonts w:eastAsia="Calibri"/>
        </w:rPr>
      </w:pPr>
      <w:r w:rsidRPr="005141BF">
        <w:rPr>
          <w:rFonts w:eastAsia="Calibri"/>
        </w:rPr>
        <w:lastRenderedPageBreak/>
        <w:t>Attachment A: Expanding Denticare—financial implications</w:t>
      </w:r>
    </w:p>
    <w:p w:rsidR="005141BF" w:rsidRPr="005141BF" w:rsidRDefault="005141BF" w:rsidP="00905B06">
      <w:pPr>
        <w:pStyle w:val="Caption"/>
        <w:rPr>
          <w:vertAlign w:val="superscript"/>
        </w:rPr>
      </w:pPr>
      <w:r w:rsidRPr="005141BF">
        <w:t>Table A1: Expanding Denticare—Fiscal balance</w:t>
      </w:r>
      <w:r w:rsidRPr="005141BF">
        <w:rPr>
          <w:vertAlign w:val="superscript"/>
        </w:rPr>
        <w:t>(a)(b)</w:t>
      </w:r>
    </w:p>
    <w:tbl>
      <w:tblPr>
        <w:tblStyle w:val="TableGrid18"/>
        <w:tblW w:w="4995" w:type="pct"/>
        <w:tblLook w:val="04A0" w:firstRow="1" w:lastRow="0" w:firstColumn="1" w:lastColumn="0" w:noHBand="0" w:noVBand="1"/>
      </w:tblPr>
      <w:tblGrid>
        <w:gridCol w:w="2644"/>
        <w:gridCol w:w="1134"/>
        <w:gridCol w:w="1134"/>
        <w:gridCol w:w="1134"/>
        <w:gridCol w:w="1134"/>
        <w:gridCol w:w="1134"/>
      </w:tblGrid>
      <w:tr w:rsidR="005141BF" w:rsidRPr="005141BF" w:rsidTr="000150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0" w:type="pct"/>
          </w:tcPr>
          <w:p w:rsidR="005141BF" w:rsidRPr="005141BF" w:rsidRDefault="005141BF" w:rsidP="005141BF">
            <w:pPr>
              <w:keepNext/>
              <w:keepLines/>
              <w:spacing w:line="240" w:lineRule="auto"/>
              <w:ind w:left="57" w:right="57"/>
              <w:rPr>
                <w:szCs w:val="20"/>
              </w:rPr>
            </w:pPr>
            <w:r w:rsidRPr="005141BF">
              <w:rPr>
                <w:szCs w:val="20"/>
              </w:rPr>
              <w:t>($m)</w:t>
            </w:r>
          </w:p>
        </w:tc>
        <w:tc>
          <w:tcPr>
            <w:tcW w:w="682"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141BF">
              <w:t>2016–17</w:t>
            </w:r>
          </w:p>
        </w:tc>
        <w:tc>
          <w:tcPr>
            <w:tcW w:w="682"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141BF">
              <w:t>2017–18</w:t>
            </w:r>
          </w:p>
        </w:tc>
        <w:tc>
          <w:tcPr>
            <w:tcW w:w="682"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141BF">
              <w:t>2018–19</w:t>
            </w:r>
          </w:p>
        </w:tc>
        <w:tc>
          <w:tcPr>
            <w:tcW w:w="682"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141BF">
              <w:t>2019–20</w:t>
            </w:r>
          </w:p>
        </w:tc>
        <w:tc>
          <w:tcPr>
            <w:tcW w:w="682"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5141BF">
              <w:rPr>
                <w:b/>
              </w:rPr>
              <w:t>Total to 2019–20</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5141BF" w:rsidRPr="005141BF" w:rsidRDefault="005141BF" w:rsidP="005141BF">
            <w:pPr>
              <w:ind w:left="57" w:right="57"/>
              <w:rPr>
                <w:b/>
              </w:rPr>
            </w:pPr>
            <w:r w:rsidRPr="005141BF">
              <w:rPr>
                <w:b/>
                <w:szCs w:val="20"/>
              </w:rPr>
              <w:t>Administered</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1590" w:type="pct"/>
          </w:tcPr>
          <w:p w:rsidR="005141BF" w:rsidRPr="005141BF" w:rsidRDefault="005141BF" w:rsidP="005141BF">
            <w:pPr>
              <w:keepNext/>
              <w:keepLines/>
              <w:ind w:left="57" w:right="57"/>
              <w:rPr>
                <w:szCs w:val="20"/>
              </w:rPr>
            </w:pPr>
            <w:r w:rsidRPr="005141BF">
              <w:rPr>
                <w:szCs w:val="20"/>
              </w:rPr>
              <w:t>Not ceasing  CDBS</w:t>
            </w:r>
          </w:p>
        </w:tc>
        <w:tc>
          <w:tcPr>
            <w:tcW w:w="682" w:type="pct"/>
            <w:vAlign w:val="bottom"/>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color w:val="000000"/>
                <w:szCs w:val="20"/>
              </w:rPr>
              <w:t>-305.3</w:t>
            </w:r>
          </w:p>
        </w:tc>
        <w:tc>
          <w:tcPr>
            <w:tcW w:w="682" w:type="pct"/>
            <w:vAlign w:val="bottom"/>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color w:val="000000"/>
                <w:szCs w:val="20"/>
              </w:rPr>
              <w:t>-310.2</w:t>
            </w:r>
          </w:p>
        </w:tc>
        <w:tc>
          <w:tcPr>
            <w:tcW w:w="682" w:type="pct"/>
            <w:vAlign w:val="bottom"/>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color w:val="000000"/>
                <w:szCs w:val="20"/>
              </w:rPr>
              <w:t>-317.7</w:t>
            </w:r>
          </w:p>
        </w:tc>
        <w:tc>
          <w:tcPr>
            <w:tcW w:w="682" w:type="pct"/>
            <w:vAlign w:val="bottom"/>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color w:val="000000"/>
                <w:szCs w:val="20"/>
              </w:rPr>
              <w:t>-335.2</w:t>
            </w:r>
          </w:p>
        </w:tc>
        <w:tc>
          <w:tcPr>
            <w:tcW w:w="682" w:type="pct"/>
            <w:vAlign w:val="bottom"/>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5141BF">
              <w:rPr>
                <w:rFonts w:ascii="Calibri" w:hAnsi="Calibri"/>
                <w:b/>
                <w:i/>
                <w:color w:val="000000"/>
                <w:szCs w:val="20"/>
              </w:rPr>
              <w:t>-1,268.3</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5141BF" w:rsidRPr="005141BF" w:rsidRDefault="005141BF" w:rsidP="005141BF">
            <w:pPr>
              <w:keepNext/>
              <w:keepLines/>
              <w:ind w:left="57" w:right="57"/>
              <w:rPr>
                <w:szCs w:val="20"/>
              </w:rPr>
            </w:pPr>
            <w:r w:rsidRPr="005141BF">
              <w:rPr>
                <w:szCs w:val="20"/>
              </w:rPr>
              <w:t>Extended eligibility for the CDBS</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rPr>
              <w:t>-</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rPr>
              <w:t>-1,825.0</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rPr>
              <w:t>-2,231.7</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rPr>
              <w:t>-2,278.8</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rPr>
              <w:t>-6,335.4</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1590" w:type="pct"/>
          </w:tcPr>
          <w:p w:rsidR="005141BF" w:rsidRPr="005141BF" w:rsidRDefault="005141BF" w:rsidP="005141BF">
            <w:pPr>
              <w:keepNext/>
              <w:keepLines/>
              <w:ind w:left="57" w:right="57"/>
              <w:rPr>
                <w:szCs w:val="20"/>
              </w:rPr>
            </w:pPr>
            <w:r w:rsidRPr="005141BF">
              <w:rPr>
                <w:szCs w:val="20"/>
              </w:rPr>
              <w:t xml:space="preserve">No longer proceeding with CAPDS </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415.6</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415.6</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420.2</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437.5</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5141BF">
              <w:rPr>
                <w:rFonts w:ascii="Calibri" w:hAnsi="Calibri"/>
                <w:b/>
                <w:i/>
                <w:szCs w:val="20"/>
              </w:rPr>
              <w:t>1,689.0</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5141BF" w:rsidRPr="005141BF" w:rsidRDefault="005141BF" w:rsidP="005141BF">
            <w:pPr>
              <w:keepNext/>
              <w:keepLines/>
              <w:ind w:left="57" w:right="57"/>
              <w:rPr>
                <w:b/>
                <w:szCs w:val="20"/>
              </w:rPr>
            </w:pPr>
            <w:r w:rsidRPr="005141BF">
              <w:rPr>
                <w:b/>
                <w:szCs w:val="20"/>
              </w:rPr>
              <w:t>Total - administered</w:t>
            </w:r>
          </w:p>
        </w:tc>
        <w:tc>
          <w:tcPr>
            <w:tcW w:w="682"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rPr>
              <w:t>110.3</w:t>
            </w:r>
          </w:p>
        </w:tc>
        <w:tc>
          <w:tcPr>
            <w:tcW w:w="682"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rPr>
              <w:t>-1,719.5</w:t>
            </w:r>
          </w:p>
        </w:tc>
        <w:tc>
          <w:tcPr>
            <w:tcW w:w="682"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rPr>
              <w:t>-2,129.1</w:t>
            </w:r>
          </w:p>
        </w:tc>
        <w:tc>
          <w:tcPr>
            <w:tcW w:w="682"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rPr>
              <w:t>-2,176.5</w:t>
            </w:r>
          </w:p>
        </w:tc>
        <w:tc>
          <w:tcPr>
            <w:tcW w:w="682"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rPr>
              <w:t>-5,914.8</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5141BF" w:rsidRPr="005141BF" w:rsidRDefault="005141BF" w:rsidP="005141BF">
            <w:pPr>
              <w:ind w:left="57" w:right="57"/>
              <w:rPr>
                <w:b/>
              </w:rPr>
            </w:pPr>
            <w:r w:rsidRPr="005141BF">
              <w:rPr>
                <w:b/>
                <w:szCs w:val="20"/>
              </w:rPr>
              <w:t>Departmental</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5141BF" w:rsidRPr="005141BF" w:rsidRDefault="005141BF" w:rsidP="005141BF">
            <w:pPr>
              <w:keepNext/>
              <w:keepLines/>
              <w:ind w:left="57" w:right="57"/>
              <w:rPr>
                <w:szCs w:val="20"/>
              </w:rPr>
            </w:pPr>
            <w:r w:rsidRPr="005141BF">
              <w:rPr>
                <w:szCs w:val="20"/>
              </w:rPr>
              <w:t>DHS</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41BF">
              <w:rPr>
                <w:rFonts w:ascii="Calibri" w:hAnsi="Calibri"/>
                <w:i/>
              </w:rPr>
              <w:t>-27.3</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41BF">
              <w:rPr>
                <w:rFonts w:ascii="Calibri" w:hAnsi="Calibri"/>
                <w:i/>
              </w:rPr>
              <w:t>-50.9</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41BF">
              <w:rPr>
                <w:rFonts w:ascii="Calibri" w:hAnsi="Calibri"/>
                <w:i/>
              </w:rPr>
              <w:t>-53.6</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41BF">
              <w:rPr>
                <w:rFonts w:ascii="Calibri" w:hAnsi="Calibri"/>
                <w:i/>
              </w:rPr>
              <w:t>-54.3</w:t>
            </w:r>
          </w:p>
        </w:tc>
        <w:tc>
          <w:tcPr>
            <w:tcW w:w="682"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141BF">
              <w:rPr>
                <w:rFonts w:ascii="Calibri" w:hAnsi="Calibri"/>
                <w:b/>
                <w:i/>
              </w:rPr>
              <w:t>-186.2</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1590" w:type="pct"/>
          </w:tcPr>
          <w:p w:rsidR="005141BF" w:rsidRPr="005141BF" w:rsidRDefault="005141BF" w:rsidP="005141BF">
            <w:pPr>
              <w:keepNext/>
              <w:keepLines/>
              <w:ind w:left="57" w:right="57"/>
              <w:rPr>
                <w:szCs w:val="20"/>
              </w:rPr>
            </w:pPr>
            <w:r w:rsidRPr="005141BF">
              <w:rPr>
                <w:szCs w:val="20"/>
              </w:rPr>
              <w:t>Health</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141BF">
              <w:rPr>
                <w:rFonts w:ascii="Calibri" w:hAnsi="Calibri"/>
                <w:i/>
              </w:rPr>
              <w:t>-1.8</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141BF">
              <w:rPr>
                <w:rFonts w:ascii="Calibri" w:hAnsi="Calibri"/>
                <w:i/>
              </w:rPr>
              <w:t>-3.7</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141BF">
              <w:rPr>
                <w:rFonts w:ascii="Calibri" w:hAnsi="Calibri"/>
                <w:i/>
              </w:rPr>
              <w:t>-3.6</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141BF">
              <w:rPr>
                <w:rFonts w:ascii="Calibri" w:hAnsi="Calibri"/>
                <w:i/>
              </w:rPr>
              <w:t>-2.7</w:t>
            </w:r>
          </w:p>
        </w:tc>
        <w:tc>
          <w:tcPr>
            <w:tcW w:w="682" w:type="pct"/>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5141BF">
              <w:rPr>
                <w:rFonts w:ascii="Calibri" w:hAnsi="Calibri"/>
                <w:b/>
                <w:i/>
              </w:rPr>
              <w:t>-11.7</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5141BF" w:rsidRPr="005141BF" w:rsidRDefault="005141BF" w:rsidP="005141BF">
            <w:pPr>
              <w:keepNext/>
              <w:keepLines/>
              <w:ind w:left="57" w:right="57"/>
              <w:rPr>
                <w:b/>
                <w:szCs w:val="20"/>
              </w:rPr>
            </w:pPr>
            <w:r w:rsidRPr="005141BF">
              <w:rPr>
                <w:b/>
                <w:szCs w:val="20"/>
              </w:rPr>
              <w:t>Total - departmental</w:t>
            </w:r>
          </w:p>
        </w:tc>
        <w:tc>
          <w:tcPr>
            <w:tcW w:w="682"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141BF">
              <w:rPr>
                <w:rFonts w:ascii="Calibri" w:hAnsi="Calibri"/>
                <w:b/>
                <w:i/>
              </w:rPr>
              <w:t>-29.1</w:t>
            </w:r>
          </w:p>
        </w:tc>
        <w:tc>
          <w:tcPr>
            <w:tcW w:w="682"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141BF">
              <w:rPr>
                <w:rFonts w:ascii="Calibri" w:hAnsi="Calibri"/>
                <w:b/>
                <w:i/>
              </w:rPr>
              <w:t>-54.6</w:t>
            </w:r>
          </w:p>
        </w:tc>
        <w:tc>
          <w:tcPr>
            <w:tcW w:w="682"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141BF">
              <w:rPr>
                <w:rFonts w:ascii="Calibri" w:hAnsi="Calibri"/>
                <w:b/>
                <w:i/>
              </w:rPr>
              <w:t>-57.2</w:t>
            </w:r>
          </w:p>
        </w:tc>
        <w:tc>
          <w:tcPr>
            <w:tcW w:w="682"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141BF">
              <w:rPr>
                <w:rFonts w:ascii="Calibri" w:hAnsi="Calibri"/>
                <w:b/>
                <w:i/>
              </w:rPr>
              <w:t>-57.0</w:t>
            </w:r>
          </w:p>
        </w:tc>
        <w:tc>
          <w:tcPr>
            <w:tcW w:w="682"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141BF">
              <w:rPr>
                <w:rFonts w:ascii="Calibri" w:hAnsi="Calibri"/>
                <w:b/>
                <w:i/>
              </w:rPr>
              <w:t>-197.9</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5141BF" w:rsidRPr="005141BF" w:rsidRDefault="005141BF" w:rsidP="005141BF">
            <w:pPr>
              <w:keepNext/>
              <w:keepLines/>
              <w:ind w:left="57" w:right="57"/>
              <w:rPr>
                <w:b/>
                <w:szCs w:val="20"/>
              </w:rPr>
            </w:pPr>
            <w:r w:rsidRPr="005141BF">
              <w:rPr>
                <w:b/>
                <w:szCs w:val="20"/>
              </w:rPr>
              <w:t>Total</w:t>
            </w:r>
          </w:p>
        </w:tc>
        <w:tc>
          <w:tcPr>
            <w:tcW w:w="682" w:type="pct"/>
            <w:shd w:val="clear" w:color="auto" w:fill="D7DDE9"/>
            <w:vAlign w:val="bottom"/>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141BF">
              <w:rPr>
                <w:rFonts w:ascii="Calibri" w:hAnsi="Calibri"/>
                <w:b/>
                <w:color w:val="000000"/>
                <w:szCs w:val="20"/>
              </w:rPr>
              <w:t xml:space="preserve"> 81.2</w:t>
            </w:r>
          </w:p>
        </w:tc>
        <w:tc>
          <w:tcPr>
            <w:tcW w:w="682" w:type="pct"/>
            <w:shd w:val="clear" w:color="auto" w:fill="D7DDE9"/>
            <w:vAlign w:val="bottom"/>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141BF">
              <w:rPr>
                <w:rFonts w:ascii="Calibri" w:hAnsi="Calibri"/>
                <w:b/>
                <w:color w:val="000000"/>
                <w:szCs w:val="20"/>
              </w:rPr>
              <w:t>-1,774.1</w:t>
            </w:r>
          </w:p>
        </w:tc>
        <w:tc>
          <w:tcPr>
            <w:tcW w:w="682" w:type="pct"/>
            <w:shd w:val="clear" w:color="auto" w:fill="D7DDE9"/>
            <w:vAlign w:val="bottom"/>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141BF">
              <w:rPr>
                <w:rFonts w:ascii="Calibri" w:hAnsi="Calibri"/>
                <w:b/>
                <w:color w:val="000000"/>
                <w:szCs w:val="20"/>
              </w:rPr>
              <w:t>-2,186.3</w:t>
            </w:r>
          </w:p>
        </w:tc>
        <w:tc>
          <w:tcPr>
            <w:tcW w:w="682" w:type="pct"/>
            <w:shd w:val="clear" w:color="auto" w:fill="D7DDE9"/>
            <w:vAlign w:val="bottom"/>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141BF">
              <w:rPr>
                <w:rFonts w:ascii="Calibri" w:hAnsi="Calibri"/>
                <w:b/>
                <w:color w:val="000000"/>
                <w:szCs w:val="20"/>
              </w:rPr>
              <w:t>-2,233.5</w:t>
            </w:r>
          </w:p>
        </w:tc>
        <w:tc>
          <w:tcPr>
            <w:tcW w:w="682" w:type="pct"/>
            <w:shd w:val="clear" w:color="auto" w:fill="D7DDE9"/>
            <w:vAlign w:val="bottom"/>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141BF">
              <w:rPr>
                <w:rFonts w:ascii="Calibri" w:hAnsi="Calibri"/>
                <w:b/>
                <w:color w:val="000000"/>
                <w:szCs w:val="20"/>
              </w:rPr>
              <w:t>-6,112.7</w:t>
            </w:r>
          </w:p>
        </w:tc>
      </w:tr>
    </w:tbl>
    <w:p w:rsidR="005141BF" w:rsidRPr="005141BF" w:rsidRDefault="005141BF" w:rsidP="000B5C96">
      <w:pPr>
        <w:pStyle w:val="Footnotes"/>
        <w:numPr>
          <w:ilvl w:val="0"/>
          <w:numId w:val="65"/>
        </w:numPr>
        <w:ind w:left="284" w:hanging="284"/>
      </w:pPr>
      <w:r w:rsidRPr="005141BF">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5141BF" w:rsidRPr="005141BF" w:rsidRDefault="005141BF" w:rsidP="000B5C96">
      <w:pPr>
        <w:pStyle w:val="Footnotes"/>
        <w:numPr>
          <w:ilvl w:val="0"/>
          <w:numId w:val="65"/>
        </w:numPr>
        <w:ind w:left="284" w:hanging="284"/>
      </w:pPr>
      <w:r w:rsidRPr="005141BF">
        <w:t>Figures may not sum to totals due to rounding.</w:t>
      </w:r>
    </w:p>
    <w:p w:rsidR="005141BF" w:rsidRPr="005141BF" w:rsidRDefault="005141BF" w:rsidP="000B5C96">
      <w:pPr>
        <w:pStyle w:val="Footnotes"/>
        <w:numPr>
          <w:ilvl w:val="0"/>
          <w:numId w:val="33"/>
        </w:numPr>
        <w:ind w:left="284" w:hanging="284"/>
      </w:pPr>
      <w:r w:rsidRPr="005141BF">
        <w:tab/>
        <w:t>Indicates nil.</w:t>
      </w:r>
    </w:p>
    <w:p w:rsidR="005141BF" w:rsidRPr="005141BF" w:rsidRDefault="005141BF" w:rsidP="00905B06">
      <w:pPr>
        <w:pStyle w:val="Caption"/>
        <w:rPr>
          <w:vertAlign w:val="superscript"/>
        </w:rPr>
      </w:pPr>
      <w:r w:rsidRPr="005141BF">
        <w:lastRenderedPageBreak/>
        <w:t>Table A2: Expanding Denticare—Underlying cash balance</w:t>
      </w:r>
      <w:r w:rsidRPr="005141BF">
        <w:rPr>
          <w:vertAlign w:val="superscript"/>
        </w:rPr>
        <w:t>(a)(b)</w:t>
      </w:r>
    </w:p>
    <w:tbl>
      <w:tblPr>
        <w:tblStyle w:val="TableGrid18"/>
        <w:tblW w:w="5000" w:type="pct"/>
        <w:tblLook w:val="04A0" w:firstRow="1" w:lastRow="0" w:firstColumn="1" w:lastColumn="0" w:noHBand="0" w:noVBand="1"/>
      </w:tblPr>
      <w:tblGrid>
        <w:gridCol w:w="2697"/>
        <w:gridCol w:w="1142"/>
        <w:gridCol w:w="1143"/>
        <w:gridCol w:w="1140"/>
        <w:gridCol w:w="1143"/>
        <w:gridCol w:w="1057"/>
      </w:tblGrid>
      <w:tr w:rsidR="005141BF" w:rsidRPr="005141BF" w:rsidTr="000150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0" w:type="pct"/>
          </w:tcPr>
          <w:p w:rsidR="005141BF" w:rsidRPr="005141BF" w:rsidRDefault="005141BF" w:rsidP="005141BF">
            <w:pPr>
              <w:keepNext/>
              <w:keepLines/>
              <w:spacing w:line="240" w:lineRule="auto"/>
              <w:ind w:left="57" w:right="57"/>
              <w:rPr>
                <w:szCs w:val="20"/>
              </w:rPr>
            </w:pPr>
            <w:r w:rsidRPr="005141BF">
              <w:rPr>
                <w:szCs w:val="20"/>
              </w:rPr>
              <w:t>($m)</w:t>
            </w:r>
          </w:p>
        </w:tc>
        <w:tc>
          <w:tcPr>
            <w:tcW w:w="686"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141BF">
              <w:rPr>
                <w:szCs w:val="20"/>
              </w:rPr>
              <w:t>2016–17</w:t>
            </w:r>
          </w:p>
        </w:tc>
        <w:tc>
          <w:tcPr>
            <w:tcW w:w="687"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141BF">
              <w:rPr>
                <w:szCs w:val="20"/>
              </w:rPr>
              <w:t>2017–18</w:t>
            </w:r>
          </w:p>
        </w:tc>
        <w:tc>
          <w:tcPr>
            <w:tcW w:w="685"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141BF">
              <w:rPr>
                <w:szCs w:val="20"/>
              </w:rPr>
              <w:t>2018–19</w:t>
            </w:r>
          </w:p>
        </w:tc>
        <w:tc>
          <w:tcPr>
            <w:tcW w:w="687"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141BF">
              <w:rPr>
                <w:szCs w:val="20"/>
              </w:rPr>
              <w:t>2019–20</w:t>
            </w:r>
          </w:p>
        </w:tc>
        <w:tc>
          <w:tcPr>
            <w:tcW w:w="636" w:type="pct"/>
          </w:tcPr>
          <w:p w:rsidR="005141BF" w:rsidRPr="005141BF" w:rsidRDefault="005141BF" w:rsidP="005141B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141BF">
              <w:rPr>
                <w:b/>
                <w:szCs w:val="20"/>
              </w:rPr>
              <w:t>Total to 2019–20</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5141BF" w:rsidRPr="005141BF" w:rsidRDefault="005141BF" w:rsidP="005141BF">
            <w:pPr>
              <w:keepNext/>
              <w:keepLines/>
              <w:ind w:left="57" w:right="57"/>
              <w:rPr>
                <w:b/>
                <w:szCs w:val="20"/>
              </w:rPr>
            </w:pPr>
            <w:r w:rsidRPr="005141BF">
              <w:rPr>
                <w:b/>
                <w:szCs w:val="20"/>
              </w:rPr>
              <w:t>Administered</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1620" w:type="pct"/>
          </w:tcPr>
          <w:p w:rsidR="005141BF" w:rsidRPr="005141BF" w:rsidRDefault="005141BF" w:rsidP="005141BF">
            <w:pPr>
              <w:keepNext/>
              <w:keepLines/>
              <w:ind w:left="57" w:right="57"/>
              <w:rPr>
                <w:szCs w:val="20"/>
              </w:rPr>
            </w:pPr>
            <w:r w:rsidRPr="005141BF">
              <w:rPr>
                <w:szCs w:val="20"/>
              </w:rPr>
              <w:t>Not ceasing CDBS</w:t>
            </w:r>
          </w:p>
        </w:tc>
        <w:tc>
          <w:tcPr>
            <w:tcW w:w="686" w:type="pct"/>
          </w:tcPr>
          <w:p w:rsidR="005141BF" w:rsidRPr="005141BF" w:rsidRDefault="005141BF" w:rsidP="005141BF">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-300.7</w:t>
            </w:r>
          </w:p>
        </w:tc>
        <w:tc>
          <w:tcPr>
            <w:tcW w:w="687" w:type="pct"/>
          </w:tcPr>
          <w:p w:rsidR="005141BF" w:rsidRPr="005141BF" w:rsidRDefault="005141BF" w:rsidP="005141BF">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-305.2</w:t>
            </w:r>
          </w:p>
        </w:tc>
        <w:tc>
          <w:tcPr>
            <w:tcW w:w="685" w:type="pct"/>
          </w:tcPr>
          <w:p w:rsidR="005141BF" w:rsidRPr="005141BF" w:rsidRDefault="005141BF" w:rsidP="005141BF">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-310.1</w:t>
            </w:r>
          </w:p>
        </w:tc>
        <w:tc>
          <w:tcPr>
            <w:tcW w:w="687" w:type="pct"/>
          </w:tcPr>
          <w:p w:rsidR="005141BF" w:rsidRPr="005141BF" w:rsidRDefault="005141BF" w:rsidP="005141BF">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-317.6</w:t>
            </w:r>
          </w:p>
        </w:tc>
        <w:tc>
          <w:tcPr>
            <w:tcW w:w="636" w:type="pct"/>
          </w:tcPr>
          <w:p w:rsidR="005141BF" w:rsidRPr="005141BF" w:rsidRDefault="005141BF" w:rsidP="005141BF">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5141BF">
              <w:rPr>
                <w:rFonts w:ascii="Calibri" w:hAnsi="Calibri"/>
                <w:b/>
                <w:i/>
                <w:szCs w:val="20"/>
              </w:rPr>
              <w:t>-1,233.5</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pct"/>
          </w:tcPr>
          <w:p w:rsidR="005141BF" w:rsidRPr="005141BF" w:rsidRDefault="005141BF" w:rsidP="005141BF">
            <w:pPr>
              <w:keepNext/>
              <w:keepLines/>
              <w:ind w:left="57" w:right="57"/>
              <w:rPr>
                <w:szCs w:val="20"/>
              </w:rPr>
            </w:pPr>
            <w:r w:rsidRPr="005141BF">
              <w:rPr>
                <w:szCs w:val="20"/>
              </w:rPr>
              <w:t>Extended eligibility for the CDBS</w:t>
            </w:r>
          </w:p>
        </w:tc>
        <w:tc>
          <w:tcPr>
            <w:tcW w:w="686" w:type="pct"/>
          </w:tcPr>
          <w:p w:rsidR="005141BF" w:rsidRPr="005141BF" w:rsidRDefault="005141BF" w:rsidP="005141BF">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szCs w:val="20"/>
              </w:rPr>
              <w:t>-</w:t>
            </w:r>
          </w:p>
        </w:tc>
        <w:tc>
          <w:tcPr>
            <w:tcW w:w="687" w:type="pct"/>
          </w:tcPr>
          <w:p w:rsidR="005141BF" w:rsidRPr="005141BF" w:rsidRDefault="005141BF" w:rsidP="005141BF">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szCs w:val="20"/>
              </w:rPr>
              <w:t>-1,793.9</w:t>
            </w:r>
          </w:p>
        </w:tc>
        <w:tc>
          <w:tcPr>
            <w:tcW w:w="685" w:type="pct"/>
          </w:tcPr>
          <w:p w:rsidR="005141BF" w:rsidRPr="005141BF" w:rsidRDefault="005141BF" w:rsidP="005141BF">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szCs w:val="20"/>
              </w:rPr>
              <w:t>-2,224.7</w:t>
            </w:r>
          </w:p>
        </w:tc>
        <w:tc>
          <w:tcPr>
            <w:tcW w:w="687" w:type="pct"/>
          </w:tcPr>
          <w:p w:rsidR="005141BF" w:rsidRPr="005141BF" w:rsidRDefault="005141BF" w:rsidP="005141BF">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szCs w:val="20"/>
              </w:rPr>
              <w:t>-2,247.0</w:t>
            </w:r>
          </w:p>
        </w:tc>
        <w:tc>
          <w:tcPr>
            <w:tcW w:w="636" w:type="pct"/>
          </w:tcPr>
          <w:p w:rsidR="005141BF" w:rsidRPr="005141BF" w:rsidRDefault="005141BF" w:rsidP="005141BF">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-6,265.7</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1620" w:type="pct"/>
            <w:tcBorders>
              <w:bottom w:val="single" w:sz="4" w:space="0" w:color="808080"/>
            </w:tcBorders>
          </w:tcPr>
          <w:p w:rsidR="005141BF" w:rsidRPr="005141BF" w:rsidRDefault="005141BF" w:rsidP="005141BF">
            <w:pPr>
              <w:keepNext/>
              <w:keepLines/>
              <w:ind w:left="57" w:right="57"/>
              <w:rPr>
                <w:szCs w:val="20"/>
              </w:rPr>
            </w:pPr>
            <w:r w:rsidRPr="005141BF">
              <w:rPr>
                <w:szCs w:val="20"/>
              </w:rPr>
              <w:t xml:space="preserve">No longer proceeding with CAPDS </w:t>
            </w:r>
          </w:p>
        </w:tc>
        <w:tc>
          <w:tcPr>
            <w:tcW w:w="686" w:type="pct"/>
            <w:tcBorders>
              <w:bottom w:val="single" w:sz="4" w:space="0" w:color="808080"/>
            </w:tcBorders>
          </w:tcPr>
          <w:p w:rsidR="005141BF" w:rsidRPr="005141BF" w:rsidRDefault="005141BF" w:rsidP="005141BF">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381.0</w:t>
            </w:r>
          </w:p>
        </w:tc>
        <w:tc>
          <w:tcPr>
            <w:tcW w:w="687" w:type="pct"/>
            <w:tcBorders>
              <w:bottom w:val="single" w:sz="4" w:space="0" w:color="808080"/>
            </w:tcBorders>
          </w:tcPr>
          <w:p w:rsidR="005141BF" w:rsidRPr="005141BF" w:rsidRDefault="005141BF" w:rsidP="005141BF">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415.6</w:t>
            </w:r>
          </w:p>
        </w:tc>
        <w:tc>
          <w:tcPr>
            <w:tcW w:w="685" w:type="pct"/>
            <w:tcBorders>
              <w:bottom w:val="single" w:sz="4" w:space="0" w:color="808080"/>
            </w:tcBorders>
          </w:tcPr>
          <w:p w:rsidR="005141BF" w:rsidRPr="005141BF" w:rsidRDefault="005141BF" w:rsidP="005141BF">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419.8</w:t>
            </w:r>
          </w:p>
        </w:tc>
        <w:tc>
          <w:tcPr>
            <w:tcW w:w="687" w:type="pct"/>
            <w:tcBorders>
              <w:bottom w:val="single" w:sz="4" w:space="0" w:color="808080"/>
            </w:tcBorders>
          </w:tcPr>
          <w:p w:rsidR="005141BF" w:rsidRPr="005141BF" w:rsidRDefault="005141BF" w:rsidP="005141BF">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436.1</w:t>
            </w:r>
          </w:p>
        </w:tc>
        <w:tc>
          <w:tcPr>
            <w:tcW w:w="636" w:type="pct"/>
            <w:tcBorders>
              <w:bottom w:val="single" w:sz="4" w:space="0" w:color="808080"/>
            </w:tcBorders>
          </w:tcPr>
          <w:p w:rsidR="005141BF" w:rsidRPr="005141BF" w:rsidRDefault="005141BF" w:rsidP="005141BF">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5141BF">
              <w:rPr>
                <w:rFonts w:ascii="Calibri" w:hAnsi="Calibri"/>
                <w:b/>
                <w:i/>
                <w:szCs w:val="20"/>
              </w:rPr>
              <w:t>1,652.5</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pct"/>
            <w:shd w:val="clear" w:color="auto" w:fill="D7DDE9"/>
          </w:tcPr>
          <w:p w:rsidR="005141BF" w:rsidRPr="005141BF" w:rsidRDefault="005141BF" w:rsidP="005141BF">
            <w:pPr>
              <w:keepNext/>
              <w:keepLines/>
              <w:ind w:left="57" w:right="57"/>
              <w:rPr>
                <w:b/>
                <w:szCs w:val="20"/>
              </w:rPr>
            </w:pPr>
            <w:r w:rsidRPr="005141BF">
              <w:rPr>
                <w:b/>
                <w:szCs w:val="20"/>
              </w:rPr>
              <w:t>Total - administered</w:t>
            </w:r>
          </w:p>
        </w:tc>
        <w:tc>
          <w:tcPr>
            <w:tcW w:w="686" w:type="pct"/>
            <w:shd w:val="clear" w:color="auto" w:fill="D7DDE9"/>
          </w:tcPr>
          <w:p w:rsidR="005141BF" w:rsidRPr="005141BF" w:rsidRDefault="005141BF" w:rsidP="005141BF">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80.3</w:t>
            </w:r>
          </w:p>
        </w:tc>
        <w:tc>
          <w:tcPr>
            <w:tcW w:w="687" w:type="pct"/>
            <w:shd w:val="clear" w:color="auto" w:fill="D7DDE9"/>
          </w:tcPr>
          <w:p w:rsidR="005141BF" w:rsidRPr="005141BF" w:rsidRDefault="005141BF" w:rsidP="005141BF">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-1,683.5</w:t>
            </w:r>
          </w:p>
        </w:tc>
        <w:tc>
          <w:tcPr>
            <w:tcW w:w="685" w:type="pct"/>
            <w:shd w:val="clear" w:color="auto" w:fill="D7DDE9"/>
          </w:tcPr>
          <w:p w:rsidR="005141BF" w:rsidRPr="005141BF" w:rsidRDefault="005141BF" w:rsidP="005141BF">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-2,115.0</w:t>
            </w:r>
          </w:p>
        </w:tc>
        <w:tc>
          <w:tcPr>
            <w:tcW w:w="687" w:type="pct"/>
            <w:shd w:val="clear" w:color="auto" w:fill="D7DDE9"/>
          </w:tcPr>
          <w:p w:rsidR="005141BF" w:rsidRPr="005141BF" w:rsidRDefault="005141BF" w:rsidP="005141BF">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-2,128.5</w:t>
            </w:r>
          </w:p>
        </w:tc>
        <w:tc>
          <w:tcPr>
            <w:tcW w:w="636" w:type="pct"/>
            <w:shd w:val="clear" w:color="auto" w:fill="D7DDE9"/>
          </w:tcPr>
          <w:p w:rsidR="005141BF" w:rsidRPr="005141BF" w:rsidRDefault="005141BF" w:rsidP="005141BF">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-5,846.7</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5141BF" w:rsidRPr="005141BF" w:rsidRDefault="005141BF" w:rsidP="005141BF">
            <w:pPr>
              <w:keepNext/>
              <w:keepLines/>
              <w:ind w:left="57" w:right="57"/>
              <w:rPr>
                <w:b/>
                <w:szCs w:val="20"/>
              </w:rPr>
            </w:pPr>
            <w:r w:rsidRPr="005141BF">
              <w:rPr>
                <w:b/>
                <w:szCs w:val="20"/>
              </w:rPr>
              <w:t>Departmental</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pct"/>
          </w:tcPr>
          <w:p w:rsidR="005141BF" w:rsidRPr="005141BF" w:rsidRDefault="005141BF" w:rsidP="005141BF">
            <w:pPr>
              <w:keepNext/>
              <w:keepLines/>
              <w:ind w:left="57" w:right="57"/>
              <w:rPr>
                <w:szCs w:val="20"/>
              </w:rPr>
            </w:pPr>
            <w:r w:rsidRPr="005141BF">
              <w:rPr>
                <w:szCs w:val="20"/>
              </w:rPr>
              <w:t>DHS</w:t>
            </w:r>
          </w:p>
        </w:tc>
        <w:tc>
          <w:tcPr>
            <w:tcW w:w="686"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szCs w:val="20"/>
              </w:rPr>
              <w:t>-27.3</w:t>
            </w:r>
          </w:p>
        </w:tc>
        <w:tc>
          <w:tcPr>
            <w:tcW w:w="687"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szCs w:val="20"/>
              </w:rPr>
              <w:t>-50.9</w:t>
            </w:r>
          </w:p>
        </w:tc>
        <w:tc>
          <w:tcPr>
            <w:tcW w:w="685"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szCs w:val="20"/>
              </w:rPr>
              <w:t>-53.6</w:t>
            </w:r>
          </w:p>
        </w:tc>
        <w:tc>
          <w:tcPr>
            <w:tcW w:w="687"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5141BF">
              <w:rPr>
                <w:rFonts w:ascii="Calibri" w:hAnsi="Calibri"/>
                <w:i/>
                <w:szCs w:val="20"/>
              </w:rPr>
              <w:t>-54.3</w:t>
            </w:r>
          </w:p>
        </w:tc>
        <w:tc>
          <w:tcPr>
            <w:tcW w:w="636" w:type="pct"/>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-186.2</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1620" w:type="pct"/>
            <w:tcBorders>
              <w:bottom w:val="single" w:sz="4" w:space="0" w:color="808080"/>
            </w:tcBorders>
          </w:tcPr>
          <w:p w:rsidR="005141BF" w:rsidRPr="005141BF" w:rsidRDefault="005141BF" w:rsidP="005141BF">
            <w:pPr>
              <w:keepNext/>
              <w:keepLines/>
              <w:ind w:left="57" w:right="57"/>
              <w:rPr>
                <w:szCs w:val="20"/>
              </w:rPr>
            </w:pPr>
            <w:r w:rsidRPr="005141BF">
              <w:rPr>
                <w:szCs w:val="20"/>
              </w:rPr>
              <w:t>Health</w:t>
            </w:r>
          </w:p>
        </w:tc>
        <w:tc>
          <w:tcPr>
            <w:tcW w:w="686" w:type="pct"/>
            <w:tcBorders>
              <w:bottom w:val="single" w:sz="4" w:space="0" w:color="808080"/>
            </w:tcBorders>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-1.8</w:t>
            </w:r>
          </w:p>
        </w:tc>
        <w:tc>
          <w:tcPr>
            <w:tcW w:w="687" w:type="pct"/>
            <w:tcBorders>
              <w:bottom w:val="single" w:sz="4" w:space="0" w:color="808080"/>
            </w:tcBorders>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-3.7</w:t>
            </w:r>
          </w:p>
        </w:tc>
        <w:tc>
          <w:tcPr>
            <w:tcW w:w="685" w:type="pct"/>
            <w:tcBorders>
              <w:bottom w:val="single" w:sz="4" w:space="0" w:color="808080"/>
            </w:tcBorders>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-3.6</w:t>
            </w:r>
          </w:p>
        </w:tc>
        <w:tc>
          <w:tcPr>
            <w:tcW w:w="687" w:type="pct"/>
            <w:tcBorders>
              <w:bottom w:val="single" w:sz="4" w:space="0" w:color="808080"/>
            </w:tcBorders>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5141BF">
              <w:rPr>
                <w:rFonts w:ascii="Calibri" w:hAnsi="Calibri"/>
                <w:i/>
                <w:szCs w:val="20"/>
              </w:rPr>
              <w:t>-2.7</w:t>
            </w:r>
          </w:p>
        </w:tc>
        <w:tc>
          <w:tcPr>
            <w:tcW w:w="636" w:type="pct"/>
            <w:tcBorders>
              <w:bottom w:val="single" w:sz="4" w:space="0" w:color="808080"/>
            </w:tcBorders>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5141BF">
              <w:rPr>
                <w:rFonts w:ascii="Calibri" w:hAnsi="Calibri"/>
                <w:b/>
                <w:i/>
                <w:szCs w:val="20"/>
              </w:rPr>
              <w:t>-11.7</w:t>
            </w:r>
          </w:p>
        </w:tc>
      </w:tr>
      <w:tr w:rsidR="005141BF" w:rsidRPr="005141BF"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pct"/>
            <w:shd w:val="clear" w:color="auto" w:fill="D7DDE9"/>
          </w:tcPr>
          <w:p w:rsidR="005141BF" w:rsidRPr="005141BF" w:rsidRDefault="005141BF" w:rsidP="005141BF">
            <w:pPr>
              <w:keepNext/>
              <w:keepLines/>
              <w:ind w:left="57" w:right="57"/>
              <w:rPr>
                <w:b/>
                <w:szCs w:val="20"/>
              </w:rPr>
            </w:pPr>
            <w:r w:rsidRPr="005141BF">
              <w:rPr>
                <w:b/>
                <w:szCs w:val="20"/>
              </w:rPr>
              <w:t>Total - departmental</w:t>
            </w:r>
          </w:p>
        </w:tc>
        <w:tc>
          <w:tcPr>
            <w:tcW w:w="686"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-29.1</w:t>
            </w:r>
          </w:p>
        </w:tc>
        <w:tc>
          <w:tcPr>
            <w:tcW w:w="687"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-54.6</w:t>
            </w:r>
          </w:p>
        </w:tc>
        <w:tc>
          <w:tcPr>
            <w:tcW w:w="685"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-57.2</w:t>
            </w:r>
          </w:p>
        </w:tc>
        <w:tc>
          <w:tcPr>
            <w:tcW w:w="687"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-57.0</w:t>
            </w:r>
          </w:p>
        </w:tc>
        <w:tc>
          <w:tcPr>
            <w:tcW w:w="636" w:type="pct"/>
            <w:shd w:val="clear" w:color="auto" w:fill="D7DDE9"/>
          </w:tcPr>
          <w:p w:rsidR="005141BF" w:rsidRPr="005141BF" w:rsidRDefault="005141BF" w:rsidP="005141BF">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5141BF">
              <w:rPr>
                <w:rFonts w:ascii="Calibri" w:hAnsi="Calibri"/>
                <w:b/>
                <w:i/>
                <w:szCs w:val="20"/>
              </w:rPr>
              <w:t>-197.9</w:t>
            </w:r>
          </w:p>
        </w:tc>
      </w:tr>
      <w:tr w:rsidR="005141BF" w:rsidRPr="005141BF" w:rsidTr="0001508D">
        <w:tc>
          <w:tcPr>
            <w:cnfStyle w:val="001000000000" w:firstRow="0" w:lastRow="0" w:firstColumn="1" w:lastColumn="0" w:oddVBand="0" w:evenVBand="0" w:oddHBand="0" w:evenHBand="0" w:firstRowFirstColumn="0" w:firstRowLastColumn="0" w:lastRowFirstColumn="0" w:lastRowLastColumn="0"/>
            <w:tcW w:w="1620" w:type="pct"/>
            <w:shd w:val="clear" w:color="auto" w:fill="D7DDE9"/>
          </w:tcPr>
          <w:p w:rsidR="005141BF" w:rsidRPr="005141BF" w:rsidRDefault="005141BF" w:rsidP="005141BF">
            <w:pPr>
              <w:keepNext/>
              <w:keepLines/>
              <w:ind w:left="57" w:right="57"/>
              <w:rPr>
                <w:b/>
                <w:szCs w:val="20"/>
              </w:rPr>
            </w:pPr>
            <w:r w:rsidRPr="005141BF">
              <w:rPr>
                <w:b/>
                <w:szCs w:val="20"/>
              </w:rPr>
              <w:t>Total</w:t>
            </w:r>
          </w:p>
        </w:tc>
        <w:tc>
          <w:tcPr>
            <w:tcW w:w="686" w:type="pct"/>
            <w:shd w:val="clear" w:color="auto" w:fill="D7DDE9"/>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141BF">
              <w:rPr>
                <w:rFonts w:ascii="Calibri" w:hAnsi="Calibri"/>
                <w:b/>
                <w:szCs w:val="20"/>
              </w:rPr>
              <w:t xml:space="preserve"> 51.2</w:t>
            </w:r>
          </w:p>
        </w:tc>
        <w:tc>
          <w:tcPr>
            <w:tcW w:w="687" w:type="pct"/>
            <w:shd w:val="clear" w:color="auto" w:fill="D7DDE9"/>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141BF">
              <w:rPr>
                <w:rFonts w:ascii="Calibri" w:hAnsi="Calibri"/>
                <w:b/>
                <w:szCs w:val="20"/>
              </w:rPr>
              <w:t>-1,738.1</w:t>
            </w:r>
          </w:p>
        </w:tc>
        <w:tc>
          <w:tcPr>
            <w:tcW w:w="685" w:type="pct"/>
            <w:shd w:val="clear" w:color="auto" w:fill="D7DDE9"/>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141BF">
              <w:rPr>
                <w:rFonts w:ascii="Calibri" w:hAnsi="Calibri"/>
                <w:b/>
                <w:szCs w:val="20"/>
              </w:rPr>
              <w:t>-2,172.2</w:t>
            </w:r>
          </w:p>
        </w:tc>
        <w:tc>
          <w:tcPr>
            <w:tcW w:w="687" w:type="pct"/>
            <w:shd w:val="clear" w:color="auto" w:fill="D7DDE9"/>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141BF">
              <w:rPr>
                <w:rFonts w:ascii="Calibri" w:hAnsi="Calibri"/>
                <w:b/>
                <w:szCs w:val="20"/>
              </w:rPr>
              <w:t>-2,185.5</w:t>
            </w:r>
          </w:p>
        </w:tc>
        <w:tc>
          <w:tcPr>
            <w:tcW w:w="636" w:type="pct"/>
            <w:shd w:val="clear" w:color="auto" w:fill="D7DDE9"/>
          </w:tcPr>
          <w:p w:rsidR="005141BF" w:rsidRPr="005141BF" w:rsidRDefault="005141BF" w:rsidP="005141BF">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141BF">
              <w:rPr>
                <w:rFonts w:ascii="Calibri" w:hAnsi="Calibri"/>
                <w:b/>
                <w:szCs w:val="20"/>
              </w:rPr>
              <w:t>-6,044.6</w:t>
            </w:r>
          </w:p>
        </w:tc>
      </w:tr>
    </w:tbl>
    <w:p w:rsidR="005141BF" w:rsidRPr="005141BF" w:rsidRDefault="005141BF" w:rsidP="000B5C96">
      <w:pPr>
        <w:pStyle w:val="Footnotes"/>
        <w:numPr>
          <w:ilvl w:val="0"/>
          <w:numId w:val="66"/>
        </w:numPr>
        <w:ind w:left="284" w:hanging="284"/>
      </w:pPr>
      <w:r w:rsidRPr="005141BF">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5141BF" w:rsidRPr="00E1316F" w:rsidRDefault="005141BF" w:rsidP="000B5C96">
      <w:pPr>
        <w:pStyle w:val="Footnotes"/>
        <w:numPr>
          <w:ilvl w:val="0"/>
          <w:numId w:val="66"/>
        </w:numPr>
        <w:ind w:left="284" w:hanging="284"/>
        <w:rPr>
          <w:rFonts w:ascii="Calibri" w:eastAsia="Times New Roman" w:hAnsi="Calibri"/>
          <w:lang w:eastAsia="en-AU"/>
        </w:rPr>
      </w:pPr>
      <w:r w:rsidRPr="00E1316F">
        <w:rPr>
          <w:rFonts w:ascii="Calibri" w:hAnsi="Calibri"/>
        </w:rPr>
        <w:t>Figures may not sum to totals due to rounding.</w:t>
      </w:r>
    </w:p>
    <w:p w:rsidR="005141BF" w:rsidRPr="005141BF" w:rsidRDefault="005141BF" w:rsidP="000B5C96">
      <w:pPr>
        <w:pStyle w:val="Footnotes"/>
        <w:numPr>
          <w:ilvl w:val="0"/>
          <w:numId w:val="33"/>
        </w:numPr>
        <w:ind w:left="284" w:hanging="284"/>
      </w:pPr>
      <w:r w:rsidRPr="005141BF">
        <w:tab/>
        <w:t>Indicates nil.</w:t>
      </w:r>
    </w:p>
    <w:p w:rsidR="00E8358C" w:rsidRDefault="00E8358C" w:rsidP="000B5C96">
      <w:pPr>
        <w:pStyle w:val="Footnotes"/>
        <w:numPr>
          <w:ilvl w:val="0"/>
          <w:numId w:val="66"/>
        </w:numPr>
        <w:sectPr w:rsidR="00E8358C" w:rsidSect="00E8358C">
          <w:headerReference w:type="even" r:id="rId153"/>
          <w:headerReference w:type="default" r:id="rId154"/>
          <w:footerReference w:type="even" r:id="rId155"/>
          <w:footerReference w:type="default" r:id="rId156"/>
          <w:headerReference w:type="first" r:id="rId157"/>
          <w:footerReference w:type="first" r:id="rId158"/>
          <w:pgSz w:w="11906" w:h="16838"/>
          <w:pgMar w:top="1361" w:right="1797" w:bottom="1474" w:left="1797" w:header="283" w:footer="454" w:gutter="0"/>
          <w:cols w:space="708"/>
          <w:docGrid w:linePitch="360"/>
        </w:sectPr>
      </w:pPr>
    </w:p>
    <w:p w:rsidR="00FE0CB0" w:rsidRPr="00FE0CB0" w:rsidRDefault="00FE0CB0" w:rsidP="007A4BF9">
      <w:pPr>
        <w:pStyle w:val="Heading5"/>
      </w:pPr>
      <w:bookmarkStart w:id="56" w:name="_Toc455655115"/>
      <w:bookmarkStart w:id="57" w:name="_Toc456766798"/>
      <w:bookmarkStart w:id="58" w:name="_Toc457819892"/>
      <w:bookmarkStart w:id="59" w:name="_Toc458015782"/>
      <w:bookmarkStart w:id="60" w:name="_Toc458090621"/>
      <w:r w:rsidRPr="00FE0CB0">
        <w:lastRenderedPageBreak/>
        <w:t>GRN015: Indigenous Rangers: Working on Country</w:t>
      </w:r>
      <w:bookmarkEnd w:id="56"/>
      <w:bookmarkEnd w:id="57"/>
      <w:bookmarkEnd w:id="58"/>
      <w:bookmarkEnd w:id="59"/>
      <w:bookmarkEnd w:id="60"/>
    </w:p>
    <w:p w:rsidR="00A353BA" w:rsidRDefault="00FE0CB0" w:rsidP="007A4BF9">
      <w:pPr>
        <w:pStyle w:val="BodyText"/>
      </w:pPr>
      <w:r>
        <w:rPr>
          <w:noProof/>
          <w:lang w:eastAsia="en-AU"/>
        </w:rPr>
        <w:drawing>
          <wp:inline distT="0" distB="0" distL="0" distR="0" wp14:anchorId="01F51A02" wp14:editId="32F3610C">
            <wp:extent cx="2696845" cy="572135"/>
            <wp:effectExtent l="0" t="0" r="8255" b="0"/>
            <wp:docPr id="448" name="Picture 44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FE0CB0" w:rsidRPr="00FE0CB0" w:rsidRDefault="00FE0CB0" w:rsidP="007A4BF9">
      <w:pPr>
        <w:pStyle w:val="Heading6"/>
        <w:rPr>
          <w:rFonts w:eastAsia="Calibri"/>
        </w:rPr>
      </w:pPr>
      <w:r w:rsidRPr="00FE0CB0">
        <w:rPr>
          <w:rFonts w:eastAsia="Calibri"/>
        </w:rPr>
        <w:t>Policy costing—during the caretaker period for the 2016 general election</w:t>
      </w:r>
    </w:p>
    <w:tbl>
      <w:tblPr>
        <w:tblStyle w:val="TableGrid19"/>
        <w:tblW w:w="8340" w:type="dxa"/>
        <w:tblLook w:val="04A0" w:firstRow="1" w:lastRow="0" w:firstColumn="1" w:lastColumn="0" w:noHBand="0" w:noVBand="1"/>
      </w:tblPr>
      <w:tblGrid>
        <w:gridCol w:w="3005"/>
        <w:gridCol w:w="5335"/>
      </w:tblGrid>
      <w:tr w:rsidR="00FE0CB0" w:rsidRPr="00AF49FE" w:rsidTr="000150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FE0CB0" w:rsidRPr="00AF49FE" w:rsidRDefault="00FE0CB0" w:rsidP="00AF49FE">
            <w:pPr>
              <w:pStyle w:val="PullOutBoxHeading"/>
              <w:rPr>
                <w:b/>
              </w:rPr>
            </w:pPr>
            <w:r w:rsidRPr="00AF49FE">
              <w:rPr>
                <w:b/>
              </w:rPr>
              <w:t>Name of proposal:</w:t>
            </w:r>
          </w:p>
        </w:tc>
        <w:tc>
          <w:tcPr>
            <w:tcW w:w="5335" w:type="dxa"/>
          </w:tcPr>
          <w:p w:rsidR="00FE0CB0" w:rsidRPr="00AF49FE" w:rsidRDefault="00FE0CB0" w:rsidP="00AF49FE">
            <w:pPr>
              <w:pStyle w:val="PullOutBoxHeading"/>
              <w:cnfStyle w:val="100000000000" w:firstRow="1" w:lastRow="0" w:firstColumn="0" w:lastColumn="0" w:oddVBand="0" w:evenVBand="0" w:oddHBand="0" w:evenHBand="0" w:firstRowFirstColumn="0" w:firstRowLastColumn="0" w:lastRowFirstColumn="0" w:lastRowLastColumn="0"/>
              <w:rPr>
                <w:b/>
              </w:rPr>
            </w:pPr>
            <w:r w:rsidRPr="00AF49FE">
              <w:rPr>
                <w:b/>
              </w:rPr>
              <w:t xml:space="preserve">Indigenous Rangers - Working on Country </w:t>
            </w:r>
          </w:p>
        </w:tc>
      </w:tr>
      <w:tr w:rsidR="00FE0CB0" w:rsidRPr="00FE0CB0"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E0CB0" w:rsidRPr="00FE0CB0" w:rsidRDefault="00FE0CB0" w:rsidP="00635389">
            <w:pPr>
              <w:pStyle w:val="PullOutBoxBodyText"/>
            </w:pPr>
            <w:r w:rsidRPr="00FE0CB0">
              <w:t>Summary of proposal:</w:t>
            </w:r>
          </w:p>
        </w:tc>
        <w:tc>
          <w:tcPr>
            <w:tcW w:w="5335" w:type="dxa"/>
          </w:tcPr>
          <w:p w:rsidR="00FE0CB0" w:rsidRPr="00FE0CB0" w:rsidRDefault="00FE0CB0" w:rsidP="00635389">
            <w:pPr>
              <w:pStyle w:val="PullOutBoxBodyText"/>
              <w:cnfStyle w:val="000000100000" w:firstRow="0" w:lastRow="0" w:firstColumn="0" w:lastColumn="0" w:oddVBand="0" w:evenVBand="0" w:oddHBand="1" w:evenHBand="0" w:firstRowFirstColumn="0" w:firstRowLastColumn="0" w:lastRowFirstColumn="0" w:lastRowLastColumn="0"/>
            </w:pPr>
            <w:r w:rsidRPr="00FE0CB0">
              <w:t>The proposal would double the annual funding provided for the Indigenous Ranger program and extend funding commitments to 15 year contracts.</w:t>
            </w:r>
          </w:p>
          <w:p w:rsidR="00FE0CB0" w:rsidRPr="00FE0CB0" w:rsidRDefault="00FE0CB0" w:rsidP="00635389">
            <w:pPr>
              <w:pStyle w:val="PullOutBoxBodyText"/>
              <w:cnfStyle w:val="000000100000" w:firstRow="0" w:lastRow="0" w:firstColumn="0" w:lastColumn="0" w:oddVBand="0" w:evenVBand="0" w:oddHBand="1" w:evenHBand="0" w:firstRowFirstColumn="0" w:firstRowLastColumn="0" w:lastRowFirstColumn="0" w:lastRowLastColumn="0"/>
            </w:pPr>
            <w:r w:rsidRPr="00FE0CB0">
              <w:t>The proposal would have effect from 1 September 2016.</w:t>
            </w:r>
          </w:p>
        </w:tc>
      </w:tr>
      <w:tr w:rsidR="00FE0CB0" w:rsidRPr="00FE0CB0" w:rsidTr="0001508D">
        <w:tc>
          <w:tcPr>
            <w:cnfStyle w:val="001000000000" w:firstRow="0" w:lastRow="0" w:firstColumn="1" w:lastColumn="0" w:oddVBand="0" w:evenVBand="0" w:oddHBand="0" w:evenHBand="0" w:firstRowFirstColumn="0" w:firstRowLastColumn="0" w:lastRowFirstColumn="0" w:lastRowLastColumn="0"/>
            <w:tcW w:w="3005" w:type="dxa"/>
          </w:tcPr>
          <w:p w:rsidR="00FE0CB0" w:rsidRPr="00FE0CB0" w:rsidRDefault="00FE0CB0" w:rsidP="00635389">
            <w:pPr>
              <w:pStyle w:val="PullOutBoxBodyText"/>
            </w:pPr>
            <w:r w:rsidRPr="00FE0CB0">
              <w:t>Person/party requesting costing:</w:t>
            </w:r>
          </w:p>
        </w:tc>
        <w:tc>
          <w:tcPr>
            <w:tcW w:w="5335" w:type="dxa"/>
          </w:tcPr>
          <w:p w:rsidR="00FE0CB0" w:rsidRPr="00FE0CB0" w:rsidRDefault="00FE0CB0" w:rsidP="00635389">
            <w:pPr>
              <w:pStyle w:val="PullOutBoxBodyText"/>
              <w:cnfStyle w:val="000000000000" w:firstRow="0" w:lastRow="0" w:firstColumn="0" w:lastColumn="0" w:oddVBand="0" w:evenVBand="0" w:oddHBand="0" w:evenHBand="0" w:firstRowFirstColumn="0" w:firstRowLastColumn="0" w:lastRowFirstColumn="0" w:lastRowLastColumn="0"/>
            </w:pPr>
            <w:r w:rsidRPr="00FE0CB0">
              <w:t>Senator Richard Di Natale, Australian Greens</w:t>
            </w:r>
          </w:p>
        </w:tc>
      </w:tr>
      <w:tr w:rsidR="00FE0CB0" w:rsidRPr="00FE0CB0"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E0CB0" w:rsidRPr="00FE0CB0" w:rsidRDefault="00FE0CB0" w:rsidP="00635389">
            <w:pPr>
              <w:pStyle w:val="PullOutBoxBodyText"/>
            </w:pPr>
            <w:r w:rsidRPr="00FE0CB0">
              <w:t>Date of public release of policy:</w:t>
            </w:r>
          </w:p>
        </w:tc>
        <w:tc>
          <w:tcPr>
            <w:tcW w:w="5335" w:type="dxa"/>
          </w:tcPr>
          <w:p w:rsidR="00FE0CB0" w:rsidRPr="00FE0CB0" w:rsidRDefault="00FE0CB0" w:rsidP="00635389">
            <w:pPr>
              <w:pStyle w:val="PullOutBoxBodyText"/>
              <w:cnfStyle w:val="000000100000" w:firstRow="0" w:lastRow="0" w:firstColumn="0" w:lastColumn="0" w:oddVBand="0" w:evenVBand="0" w:oddHBand="1" w:evenHBand="0" w:firstRowFirstColumn="0" w:firstRowLastColumn="0" w:lastRowFirstColumn="0" w:lastRowLastColumn="0"/>
            </w:pPr>
            <w:r w:rsidRPr="00FE0CB0">
              <w:t xml:space="preserve">8 June 2016  </w:t>
            </w:r>
          </w:p>
        </w:tc>
      </w:tr>
      <w:tr w:rsidR="00FE0CB0" w:rsidRPr="00FE0CB0" w:rsidTr="0001508D">
        <w:tc>
          <w:tcPr>
            <w:cnfStyle w:val="001000000000" w:firstRow="0" w:lastRow="0" w:firstColumn="1" w:lastColumn="0" w:oddVBand="0" w:evenVBand="0" w:oddHBand="0" w:evenHBand="0" w:firstRowFirstColumn="0" w:firstRowLastColumn="0" w:lastRowFirstColumn="0" w:lastRowLastColumn="0"/>
            <w:tcW w:w="3005" w:type="dxa"/>
          </w:tcPr>
          <w:p w:rsidR="00FE0CB0" w:rsidRPr="00FE0CB0" w:rsidRDefault="00FE0CB0" w:rsidP="00635389">
            <w:pPr>
              <w:pStyle w:val="PullOutBoxBodyText"/>
            </w:pPr>
            <w:r w:rsidRPr="00FE0CB0">
              <w:t>Date costing request received:</w:t>
            </w:r>
          </w:p>
        </w:tc>
        <w:tc>
          <w:tcPr>
            <w:tcW w:w="5335" w:type="dxa"/>
          </w:tcPr>
          <w:p w:rsidR="00FE0CB0" w:rsidRPr="00FE0CB0" w:rsidRDefault="00FE0CB0" w:rsidP="00635389">
            <w:pPr>
              <w:pStyle w:val="PullOutBoxBodyText"/>
              <w:cnfStyle w:val="000000000000" w:firstRow="0" w:lastRow="0" w:firstColumn="0" w:lastColumn="0" w:oddVBand="0" w:evenVBand="0" w:oddHBand="0" w:evenHBand="0" w:firstRowFirstColumn="0" w:firstRowLastColumn="0" w:lastRowFirstColumn="0" w:lastRowLastColumn="0"/>
            </w:pPr>
            <w:r w:rsidRPr="00FE0CB0">
              <w:t>24 June 2016</w:t>
            </w:r>
          </w:p>
        </w:tc>
      </w:tr>
      <w:tr w:rsidR="00FE0CB0" w:rsidRPr="00FE0CB0"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E0CB0" w:rsidRPr="00FE0CB0" w:rsidRDefault="00FE0CB0" w:rsidP="00635389">
            <w:pPr>
              <w:pStyle w:val="PullOutBoxBodyText"/>
            </w:pPr>
            <w:r w:rsidRPr="00FE0CB0">
              <w:t>Date costing completed:</w:t>
            </w:r>
          </w:p>
        </w:tc>
        <w:tc>
          <w:tcPr>
            <w:tcW w:w="5335" w:type="dxa"/>
          </w:tcPr>
          <w:p w:rsidR="00FE0CB0" w:rsidRPr="00FE0CB0" w:rsidRDefault="00FE0CB0" w:rsidP="00635389">
            <w:pPr>
              <w:pStyle w:val="PullOutBoxBodyText"/>
              <w:cnfStyle w:val="000000100000" w:firstRow="0" w:lastRow="0" w:firstColumn="0" w:lastColumn="0" w:oddVBand="0" w:evenVBand="0" w:oddHBand="1" w:evenHBand="0" w:firstRowFirstColumn="0" w:firstRowLastColumn="0" w:lastRowFirstColumn="0" w:lastRowLastColumn="0"/>
            </w:pPr>
            <w:r w:rsidRPr="00FE0CB0">
              <w:t>24 June 2016</w:t>
            </w:r>
          </w:p>
        </w:tc>
      </w:tr>
      <w:tr w:rsidR="00FE0CB0" w:rsidRPr="00FE0CB0" w:rsidTr="0001508D">
        <w:tc>
          <w:tcPr>
            <w:cnfStyle w:val="001000000000" w:firstRow="0" w:lastRow="0" w:firstColumn="1" w:lastColumn="0" w:oddVBand="0" w:evenVBand="0" w:oddHBand="0" w:evenHBand="0" w:firstRowFirstColumn="0" w:firstRowLastColumn="0" w:lastRowFirstColumn="0" w:lastRowLastColumn="0"/>
            <w:tcW w:w="3005" w:type="dxa"/>
          </w:tcPr>
          <w:p w:rsidR="00FE0CB0" w:rsidRPr="00FE0CB0" w:rsidRDefault="00FE0CB0" w:rsidP="00635389">
            <w:pPr>
              <w:pStyle w:val="PullOutBoxBodyText"/>
            </w:pPr>
            <w:r w:rsidRPr="00FE0CB0">
              <w:t>Expiry date for the costing:</w:t>
            </w:r>
          </w:p>
        </w:tc>
        <w:tc>
          <w:tcPr>
            <w:tcW w:w="5335" w:type="dxa"/>
          </w:tcPr>
          <w:p w:rsidR="00FE0CB0" w:rsidRPr="00FE0CB0" w:rsidRDefault="00FE0CB0" w:rsidP="00635389">
            <w:pPr>
              <w:pStyle w:val="PullOutBoxBodyText"/>
              <w:cnfStyle w:val="000000000000" w:firstRow="0" w:lastRow="0" w:firstColumn="0" w:lastColumn="0" w:oddVBand="0" w:evenVBand="0" w:oddHBand="0" w:evenHBand="0" w:firstRowFirstColumn="0" w:firstRowLastColumn="0" w:lastRowFirstColumn="0" w:lastRowLastColumn="0"/>
            </w:pPr>
            <w:r w:rsidRPr="00FE0CB0">
              <w:t>Release of the next economic and fiscal outlook report</w:t>
            </w:r>
          </w:p>
        </w:tc>
      </w:tr>
    </w:tbl>
    <w:p w:rsidR="00FE0CB0" w:rsidRPr="00905B06" w:rsidRDefault="00FE0CB0" w:rsidP="00905B06">
      <w:pPr>
        <w:pStyle w:val="CostingsH7"/>
      </w:pPr>
      <w:r w:rsidRPr="00905B06">
        <w:t>Costing overview</w:t>
      </w:r>
    </w:p>
    <w:p w:rsidR="00FE0CB0" w:rsidRPr="00FE0CB0" w:rsidRDefault="00FE0CB0" w:rsidP="000501F1">
      <w:pPr>
        <w:pStyle w:val="BodyText"/>
      </w:pPr>
      <w:r w:rsidRPr="00FE0CB0">
        <w:t>The proposal would be expected to decrease both the fiscal and underlying cash balances by $287.4 million over the 2016-17 Budget forward estimates period.  This impact is entirely due to an increase in administered expenses.  The proposal is not expected to have a material impact on departmental expenses as the proposal relates to an expansion of an existing program.</w:t>
      </w:r>
    </w:p>
    <w:p w:rsidR="00FE0CB0" w:rsidRPr="00FE0CB0" w:rsidRDefault="00FE0CB0" w:rsidP="000501F1">
      <w:pPr>
        <w:pStyle w:val="BodyText"/>
      </w:pPr>
      <w:r w:rsidRPr="00FE0CB0">
        <w:t>The proposal would have an ongoing impact that extends beyond the 2016-17 Budget forward estimates period with the annual decrease in the fiscal and underlying cash balances growing by around $1.5 million per year from the impact in 2019-20.</w:t>
      </w:r>
    </w:p>
    <w:p w:rsidR="00FE0CB0" w:rsidRPr="00FE0CB0" w:rsidRDefault="00FE0CB0" w:rsidP="000501F1">
      <w:pPr>
        <w:pStyle w:val="BodyText"/>
      </w:pPr>
      <w:r w:rsidRPr="00FE0CB0">
        <w:rPr>
          <w:lang w:eastAsia="en-AU"/>
        </w:rPr>
        <w:t>This costing is considered to be of high reliability as it is based on the doubling of current program expenditure estimates provided by the Department of the Prime Minister and Cabinet (PM&amp;C).</w:t>
      </w:r>
    </w:p>
    <w:p w:rsidR="00FE0CB0" w:rsidRPr="00FE0CB0" w:rsidRDefault="00FE0CB0" w:rsidP="00905B06">
      <w:pPr>
        <w:pStyle w:val="Caption"/>
      </w:pPr>
      <w:r w:rsidRPr="00FE0CB0">
        <w:lastRenderedPageBreak/>
        <w:t>Table 1: Financial implications (outturn prices)</w:t>
      </w:r>
      <w:r w:rsidRPr="00FE0CB0">
        <w:rPr>
          <w:vertAlign w:val="superscript"/>
        </w:rPr>
        <w:t>(a)(b)</w:t>
      </w:r>
    </w:p>
    <w:tbl>
      <w:tblPr>
        <w:tblStyle w:val="TableGrid19"/>
        <w:tblW w:w="4993" w:type="pct"/>
        <w:tblLook w:val="04A0" w:firstRow="1" w:lastRow="0" w:firstColumn="1" w:lastColumn="0" w:noHBand="0" w:noVBand="1"/>
      </w:tblPr>
      <w:tblGrid>
        <w:gridCol w:w="2645"/>
        <w:gridCol w:w="1134"/>
        <w:gridCol w:w="1133"/>
        <w:gridCol w:w="1133"/>
        <w:gridCol w:w="1133"/>
        <w:gridCol w:w="1132"/>
      </w:tblGrid>
      <w:tr w:rsidR="00FE0CB0" w:rsidRPr="00FE0CB0" w:rsidTr="000150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FE0CB0" w:rsidRPr="00FE0CB0" w:rsidRDefault="00FE0CB0" w:rsidP="00FE0CB0">
            <w:pPr>
              <w:keepNext/>
              <w:keepLines/>
              <w:spacing w:line="240" w:lineRule="auto"/>
              <w:ind w:left="57" w:right="57"/>
              <w:rPr>
                <w:sz w:val="20"/>
                <w:szCs w:val="20"/>
              </w:rPr>
            </w:pPr>
            <w:r w:rsidRPr="00FE0CB0">
              <w:rPr>
                <w:sz w:val="20"/>
                <w:szCs w:val="20"/>
              </w:rPr>
              <w:t>Impact on ($m)</w:t>
            </w:r>
          </w:p>
        </w:tc>
        <w:tc>
          <w:tcPr>
            <w:tcW w:w="682" w:type="pct"/>
            <w:vAlign w:val="center"/>
          </w:tcPr>
          <w:p w:rsidR="00FE0CB0" w:rsidRPr="00FE0CB0" w:rsidRDefault="00FE0CB0" w:rsidP="00FE0CB0">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FE0CB0">
              <w:rPr>
                <w:sz w:val="20"/>
                <w:szCs w:val="20"/>
              </w:rPr>
              <w:t>2016–17</w:t>
            </w:r>
          </w:p>
        </w:tc>
        <w:tc>
          <w:tcPr>
            <w:tcW w:w="682" w:type="pct"/>
            <w:vAlign w:val="center"/>
          </w:tcPr>
          <w:p w:rsidR="00FE0CB0" w:rsidRPr="00FE0CB0" w:rsidRDefault="00FE0CB0" w:rsidP="00FE0CB0">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FE0CB0">
              <w:rPr>
                <w:sz w:val="20"/>
                <w:szCs w:val="20"/>
              </w:rPr>
              <w:t>2017–18</w:t>
            </w:r>
          </w:p>
        </w:tc>
        <w:tc>
          <w:tcPr>
            <w:tcW w:w="682" w:type="pct"/>
            <w:vAlign w:val="center"/>
          </w:tcPr>
          <w:p w:rsidR="00FE0CB0" w:rsidRPr="00FE0CB0" w:rsidRDefault="00FE0CB0" w:rsidP="00FE0CB0">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FE0CB0">
              <w:rPr>
                <w:sz w:val="20"/>
                <w:szCs w:val="20"/>
              </w:rPr>
              <w:t>2018–19</w:t>
            </w:r>
          </w:p>
        </w:tc>
        <w:tc>
          <w:tcPr>
            <w:tcW w:w="682" w:type="pct"/>
            <w:vAlign w:val="center"/>
          </w:tcPr>
          <w:p w:rsidR="00FE0CB0" w:rsidRPr="00FE0CB0" w:rsidRDefault="00FE0CB0" w:rsidP="00FE0CB0">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FE0CB0">
              <w:rPr>
                <w:sz w:val="20"/>
                <w:szCs w:val="20"/>
              </w:rPr>
              <w:t>2019–20</w:t>
            </w:r>
          </w:p>
        </w:tc>
        <w:tc>
          <w:tcPr>
            <w:tcW w:w="681" w:type="pct"/>
            <w:vAlign w:val="center"/>
          </w:tcPr>
          <w:p w:rsidR="00FE0CB0" w:rsidRPr="00FE0CB0" w:rsidRDefault="00FE0CB0" w:rsidP="00FE0CB0">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FE0CB0">
              <w:rPr>
                <w:sz w:val="20"/>
                <w:szCs w:val="20"/>
              </w:rPr>
              <w:t>Total</w:t>
            </w:r>
          </w:p>
        </w:tc>
      </w:tr>
      <w:tr w:rsidR="00FE0CB0" w:rsidRPr="00FE0CB0"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Align w:val="center"/>
          </w:tcPr>
          <w:p w:rsidR="00FE0CB0" w:rsidRPr="00FE0CB0" w:rsidRDefault="00FE0CB0" w:rsidP="00FE0CB0">
            <w:pPr>
              <w:keepNext/>
              <w:keepLines/>
              <w:spacing w:line="240" w:lineRule="auto"/>
              <w:ind w:left="57" w:right="57"/>
              <w:rPr>
                <w:rFonts w:ascii="Calibri" w:hAnsi="Calibri"/>
                <w:sz w:val="20"/>
                <w:szCs w:val="20"/>
              </w:rPr>
            </w:pPr>
            <w:r w:rsidRPr="00FE0CB0">
              <w:rPr>
                <w:rFonts w:ascii="Calibri" w:hAnsi="Calibri"/>
                <w:sz w:val="20"/>
                <w:szCs w:val="20"/>
              </w:rPr>
              <w:t>Fiscal balance</w:t>
            </w:r>
          </w:p>
        </w:tc>
        <w:tc>
          <w:tcPr>
            <w:tcW w:w="682" w:type="pct"/>
            <w:vAlign w:val="center"/>
          </w:tcPr>
          <w:p w:rsidR="00FE0CB0" w:rsidRPr="00FE0CB0" w:rsidRDefault="00FE0CB0" w:rsidP="00FE0CB0">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E0CB0">
              <w:rPr>
                <w:rFonts w:ascii="Calibri" w:hAnsi="Calibri"/>
                <w:sz w:val="20"/>
                <w:szCs w:val="20"/>
              </w:rPr>
              <w:t xml:space="preserve">-51.0 </w:t>
            </w:r>
          </w:p>
        </w:tc>
        <w:tc>
          <w:tcPr>
            <w:tcW w:w="682" w:type="pct"/>
            <w:vAlign w:val="center"/>
          </w:tcPr>
          <w:p w:rsidR="00FE0CB0" w:rsidRPr="00FE0CB0" w:rsidRDefault="00FE0CB0" w:rsidP="00FE0CB0">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E0CB0">
              <w:rPr>
                <w:rFonts w:ascii="Calibri" w:hAnsi="Calibri"/>
                <w:sz w:val="20"/>
                <w:szCs w:val="20"/>
              </w:rPr>
              <w:t xml:space="preserve">-77.4 </w:t>
            </w:r>
          </w:p>
        </w:tc>
        <w:tc>
          <w:tcPr>
            <w:tcW w:w="682" w:type="pct"/>
            <w:vAlign w:val="center"/>
          </w:tcPr>
          <w:p w:rsidR="00FE0CB0" w:rsidRPr="00FE0CB0" w:rsidRDefault="00FE0CB0" w:rsidP="00FE0CB0">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E0CB0">
              <w:rPr>
                <w:rFonts w:ascii="Calibri" w:hAnsi="Calibri"/>
                <w:sz w:val="20"/>
                <w:szCs w:val="20"/>
              </w:rPr>
              <w:t xml:space="preserve">-78.9 </w:t>
            </w:r>
          </w:p>
        </w:tc>
        <w:tc>
          <w:tcPr>
            <w:tcW w:w="682" w:type="pct"/>
            <w:vAlign w:val="center"/>
          </w:tcPr>
          <w:p w:rsidR="00FE0CB0" w:rsidRPr="00FE0CB0" w:rsidRDefault="00FE0CB0" w:rsidP="00FE0CB0">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E0CB0">
              <w:rPr>
                <w:rFonts w:ascii="Calibri" w:hAnsi="Calibri"/>
                <w:sz w:val="20"/>
                <w:szCs w:val="20"/>
              </w:rPr>
              <w:t>-80.2</w:t>
            </w:r>
          </w:p>
        </w:tc>
        <w:tc>
          <w:tcPr>
            <w:tcW w:w="681" w:type="pct"/>
            <w:vAlign w:val="center"/>
          </w:tcPr>
          <w:p w:rsidR="00FE0CB0" w:rsidRPr="00FE0CB0" w:rsidRDefault="00FE0CB0" w:rsidP="00FE0CB0">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FE0CB0">
              <w:rPr>
                <w:rFonts w:ascii="Calibri" w:hAnsi="Calibri"/>
                <w:b/>
                <w:sz w:val="20"/>
                <w:szCs w:val="20"/>
              </w:rPr>
              <w:t xml:space="preserve">-287.4 </w:t>
            </w:r>
          </w:p>
        </w:tc>
      </w:tr>
      <w:tr w:rsidR="00FE0CB0" w:rsidRPr="00FE0CB0" w:rsidTr="0001508D">
        <w:tc>
          <w:tcPr>
            <w:cnfStyle w:val="001000000000" w:firstRow="0" w:lastRow="0" w:firstColumn="1" w:lastColumn="0" w:oddVBand="0" w:evenVBand="0" w:oddHBand="0" w:evenHBand="0" w:firstRowFirstColumn="0" w:firstRowLastColumn="0" w:lastRowFirstColumn="0" w:lastRowLastColumn="0"/>
            <w:tcW w:w="1591" w:type="pct"/>
            <w:vAlign w:val="center"/>
          </w:tcPr>
          <w:p w:rsidR="00FE0CB0" w:rsidRPr="00FE0CB0" w:rsidRDefault="00FE0CB0" w:rsidP="00FE0CB0">
            <w:pPr>
              <w:keepNext/>
              <w:keepLines/>
              <w:spacing w:line="240" w:lineRule="auto"/>
              <w:ind w:left="57" w:right="57"/>
              <w:rPr>
                <w:rFonts w:ascii="Calibri" w:hAnsi="Calibri"/>
                <w:sz w:val="20"/>
                <w:szCs w:val="20"/>
              </w:rPr>
            </w:pPr>
            <w:r w:rsidRPr="00FE0CB0">
              <w:rPr>
                <w:rFonts w:ascii="Calibri" w:hAnsi="Calibri"/>
                <w:sz w:val="20"/>
                <w:szCs w:val="20"/>
              </w:rPr>
              <w:t>Underlying cash balance</w:t>
            </w:r>
          </w:p>
        </w:tc>
        <w:tc>
          <w:tcPr>
            <w:tcW w:w="682" w:type="pct"/>
            <w:vAlign w:val="center"/>
          </w:tcPr>
          <w:p w:rsidR="00FE0CB0" w:rsidRPr="00FE0CB0" w:rsidRDefault="00FE0CB0" w:rsidP="00FE0CB0">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FE0CB0">
              <w:rPr>
                <w:rFonts w:ascii="Calibri" w:hAnsi="Calibri"/>
                <w:sz w:val="20"/>
                <w:szCs w:val="20"/>
              </w:rPr>
              <w:t xml:space="preserve">-51.0 </w:t>
            </w:r>
          </w:p>
        </w:tc>
        <w:tc>
          <w:tcPr>
            <w:tcW w:w="682" w:type="pct"/>
            <w:vAlign w:val="center"/>
          </w:tcPr>
          <w:p w:rsidR="00FE0CB0" w:rsidRPr="00FE0CB0" w:rsidRDefault="00FE0CB0" w:rsidP="00FE0CB0">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FE0CB0">
              <w:rPr>
                <w:rFonts w:ascii="Calibri" w:hAnsi="Calibri"/>
                <w:sz w:val="20"/>
                <w:szCs w:val="20"/>
              </w:rPr>
              <w:t xml:space="preserve">-77.4 </w:t>
            </w:r>
          </w:p>
        </w:tc>
        <w:tc>
          <w:tcPr>
            <w:tcW w:w="682" w:type="pct"/>
            <w:vAlign w:val="center"/>
          </w:tcPr>
          <w:p w:rsidR="00FE0CB0" w:rsidRPr="00FE0CB0" w:rsidRDefault="00FE0CB0" w:rsidP="00FE0CB0">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FE0CB0">
              <w:rPr>
                <w:rFonts w:ascii="Calibri" w:hAnsi="Calibri"/>
                <w:sz w:val="20"/>
                <w:szCs w:val="20"/>
              </w:rPr>
              <w:t xml:space="preserve">-78.9 </w:t>
            </w:r>
          </w:p>
        </w:tc>
        <w:tc>
          <w:tcPr>
            <w:tcW w:w="682" w:type="pct"/>
            <w:vAlign w:val="center"/>
          </w:tcPr>
          <w:p w:rsidR="00FE0CB0" w:rsidRPr="00FE0CB0" w:rsidRDefault="00FE0CB0" w:rsidP="00FE0CB0">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FE0CB0">
              <w:rPr>
                <w:rFonts w:ascii="Calibri" w:hAnsi="Calibri"/>
                <w:sz w:val="20"/>
                <w:szCs w:val="20"/>
              </w:rPr>
              <w:t>-80.2</w:t>
            </w:r>
          </w:p>
        </w:tc>
        <w:tc>
          <w:tcPr>
            <w:tcW w:w="681" w:type="pct"/>
            <w:vAlign w:val="center"/>
          </w:tcPr>
          <w:p w:rsidR="00FE0CB0" w:rsidRPr="00FE0CB0" w:rsidRDefault="00FE0CB0" w:rsidP="00FE0CB0">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FE0CB0">
              <w:rPr>
                <w:rFonts w:ascii="Calibri" w:hAnsi="Calibri"/>
                <w:b/>
                <w:sz w:val="20"/>
                <w:szCs w:val="20"/>
              </w:rPr>
              <w:t xml:space="preserve">-287.4 </w:t>
            </w:r>
          </w:p>
        </w:tc>
      </w:tr>
    </w:tbl>
    <w:p w:rsidR="00FE0CB0" w:rsidRPr="00FE0CB0" w:rsidRDefault="00FE0CB0" w:rsidP="000B5C96">
      <w:pPr>
        <w:pStyle w:val="Footnotes"/>
        <w:numPr>
          <w:ilvl w:val="0"/>
          <w:numId w:val="67"/>
        </w:numPr>
        <w:ind w:left="284" w:hanging="284"/>
      </w:pPr>
      <w:r w:rsidRPr="00FE0CB0">
        <w:t>A positive number represents an increase in the relevant budget balance, a negative number represents a decrease.</w:t>
      </w:r>
    </w:p>
    <w:p w:rsidR="00FE0CB0" w:rsidRPr="00FE0CB0" w:rsidRDefault="00FE0CB0" w:rsidP="000B5C96">
      <w:pPr>
        <w:pStyle w:val="Footnotes"/>
        <w:numPr>
          <w:ilvl w:val="0"/>
          <w:numId w:val="67"/>
        </w:numPr>
        <w:ind w:left="284" w:hanging="284"/>
      </w:pPr>
      <w:r w:rsidRPr="00FE0CB0">
        <w:t>Figures may not sum to totals due to rounding.</w:t>
      </w:r>
    </w:p>
    <w:p w:rsidR="00FE0CB0" w:rsidRPr="00905B06" w:rsidRDefault="00FE0CB0" w:rsidP="00905B06">
      <w:pPr>
        <w:pStyle w:val="CostingsH7"/>
      </w:pPr>
      <w:r w:rsidRPr="00905B06">
        <w:t>Key assumptions</w:t>
      </w:r>
    </w:p>
    <w:p w:rsidR="00FE0CB0" w:rsidRPr="00FE0CB0" w:rsidRDefault="00FE0CB0" w:rsidP="000501F1">
      <w:pPr>
        <w:pStyle w:val="BodyText"/>
      </w:pPr>
      <w:r w:rsidRPr="00FE0CB0">
        <w:t>In costing the proposal it has been assumed that additional funding in 2016-17 would be proportionate to the remaining period of the year following the 1 September 2016 commencement of the proposal.</w:t>
      </w:r>
    </w:p>
    <w:p w:rsidR="00FE0CB0" w:rsidRPr="00905B06" w:rsidRDefault="00FE0CB0" w:rsidP="00905B06">
      <w:pPr>
        <w:pStyle w:val="CostingsH7"/>
      </w:pPr>
      <w:r w:rsidRPr="00905B06">
        <w:t>Methodology</w:t>
      </w:r>
    </w:p>
    <w:p w:rsidR="00FE0CB0" w:rsidRPr="00FE0CB0" w:rsidRDefault="00FE0CB0" w:rsidP="000501F1">
      <w:pPr>
        <w:pStyle w:val="BodyText"/>
      </w:pPr>
      <w:r w:rsidRPr="00FE0CB0">
        <w:t xml:space="preserve">The impact of the proposal was derived as the difference between current program expenditure estimates and expenditure under the proposal, calculated by doubling current expenditure estimates. </w:t>
      </w:r>
    </w:p>
    <w:p w:rsidR="00FE0CB0" w:rsidRPr="00FE0CB0" w:rsidRDefault="00FE0CB0" w:rsidP="000501F1">
      <w:pPr>
        <w:pStyle w:val="BodyText"/>
      </w:pPr>
      <w:r w:rsidRPr="00FE0CB0">
        <w:t>The estimates for 2019-20 and beyond were derived by applying the appropriate indexation parameters.</w:t>
      </w:r>
    </w:p>
    <w:p w:rsidR="00FE0CB0" w:rsidRPr="00905B06" w:rsidRDefault="00FE0CB0" w:rsidP="00905B06">
      <w:pPr>
        <w:pStyle w:val="CostingsH7"/>
      </w:pPr>
      <w:r w:rsidRPr="00905B06">
        <w:t>Data sources</w:t>
      </w:r>
    </w:p>
    <w:p w:rsidR="00FE0CB0" w:rsidRDefault="00FE0CB0" w:rsidP="00FE0CB0">
      <w:pPr>
        <w:keepNext/>
        <w:keepLines/>
        <w:spacing w:before="114" w:after="114"/>
        <w:rPr>
          <w:rFonts w:ascii="Calibri" w:eastAsia="Calibri" w:hAnsi="Calibri" w:cs="Times New Roman"/>
        </w:rPr>
      </w:pPr>
      <w:r w:rsidRPr="00FE0CB0">
        <w:rPr>
          <w:rFonts w:ascii="Calibri" w:eastAsia="Calibri" w:hAnsi="Calibri" w:cs="Times New Roman"/>
        </w:rPr>
        <w:t>PM&amp;C provided program estimates over 2015-16 to 2018</w:t>
      </w:r>
      <w:r w:rsidRPr="00FE0CB0">
        <w:rPr>
          <w:rFonts w:ascii="Calibri" w:eastAsia="Calibri" w:hAnsi="Calibri" w:cs="Times New Roman"/>
        </w:rPr>
        <w:noBreakHyphen/>
        <w:t>19 and advice on program indexation arrangements.</w:t>
      </w:r>
    </w:p>
    <w:p w:rsidR="000501F1" w:rsidRDefault="000501F1" w:rsidP="000501F1">
      <w:pPr>
        <w:pStyle w:val="BodyText"/>
        <w:sectPr w:rsidR="000501F1" w:rsidSect="00E8358C">
          <w:pgSz w:w="11906" w:h="16838"/>
          <w:pgMar w:top="1361" w:right="1797" w:bottom="1474" w:left="1797" w:header="283" w:footer="454" w:gutter="0"/>
          <w:cols w:space="708"/>
          <w:docGrid w:linePitch="360"/>
        </w:sectPr>
      </w:pPr>
    </w:p>
    <w:p w:rsidR="00792F45" w:rsidRPr="00792F45" w:rsidRDefault="00792F45" w:rsidP="007A4BF9">
      <w:pPr>
        <w:pStyle w:val="Heading5"/>
      </w:pPr>
      <w:bookmarkStart w:id="61" w:name="_Toc455655117"/>
      <w:bookmarkStart w:id="62" w:name="_Toc456766799"/>
      <w:bookmarkStart w:id="63" w:name="_Toc457819893"/>
      <w:bookmarkStart w:id="64" w:name="_Toc458015783"/>
      <w:bookmarkStart w:id="65" w:name="_Toc458090622"/>
      <w:r w:rsidRPr="00792F45">
        <w:lastRenderedPageBreak/>
        <w:t>GRN016: Closing the Health Gap</w:t>
      </w:r>
      <w:bookmarkEnd w:id="61"/>
      <w:bookmarkEnd w:id="62"/>
      <w:bookmarkEnd w:id="63"/>
      <w:bookmarkEnd w:id="64"/>
      <w:bookmarkEnd w:id="65"/>
    </w:p>
    <w:p w:rsidR="00792F45" w:rsidRDefault="00792F45" w:rsidP="007A4BF9">
      <w:pPr>
        <w:pStyle w:val="BodyText"/>
        <w:rPr>
          <w:rFonts w:ascii="Calibri" w:eastAsia="Calibri" w:hAnsi="Calibri"/>
        </w:rPr>
      </w:pPr>
      <w:r>
        <w:rPr>
          <w:noProof/>
          <w:lang w:eastAsia="en-AU"/>
        </w:rPr>
        <w:drawing>
          <wp:inline distT="0" distB="0" distL="0" distR="0" wp14:anchorId="3DDEDB2D" wp14:editId="298B2D08">
            <wp:extent cx="2696845" cy="572135"/>
            <wp:effectExtent l="0" t="0" r="8255" b="0"/>
            <wp:docPr id="449" name="Picture 44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792F45" w:rsidRPr="00792F45" w:rsidRDefault="00792F45" w:rsidP="007A4BF9">
      <w:pPr>
        <w:pStyle w:val="Heading6"/>
        <w:rPr>
          <w:rFonts w:eastAsia="Calibri"/>
        </w:rPr>
      </w:pPr>
      <w:r w:rsidRPr="00792F45">
        <w:rPr>
          <w:rFonts w:eastAsia="Calibri"/>
        </w:rPr>
        <w:t>Policy costing—during the caretaker period for the 2016 general election</w:t>
      </w:r>
    </w:p>
    <w:tbl>
      <w:tblPr>
        <w:tblStyle w:val="Style17"/>
        <w:tblW w:w="8340" w:type="dxa"/>
        <w:tblLook w:val="04A0" w:firstRow="1" w:lastRow="0" w:firstColumn="1" w:lastColumn="0" w:noHBand="0" w:noVBand="1"/>
      </w:tblPr>
      <w:tblGrid>
        <w:gridCol w:w="3005"/>
        <w:gridCol w:w="5335"/>
      </w:tblGrid>
      <w:tr w:rsidR="00792F45" w:rsidRPr="00AF49FE" w:rsidTr="0001508D">
        <w:trPr>
          <w:cnfStyle w:val="100000000000" w:firstRow="1" w:lastRow="0" w:firstColumn="0" w:lastColumn="0" w:oddVBand="0" w:evenVBand="0" w:oddHBand="0" w:evenHBand="0" w:firstRowFirstColumn="0" w:firstRowLastColumn="0" w:lastRowFirstColumn="0" w:lastRowLastColumn="0"/>
        </w:trPr>
        <w:tc>
          <w:tcPr>
            <w:tcW w:w="3005" w:type="dxa"/>
          </w:tcPr>
          <w:p w:rsidR="00792F45" w:rsidRPr="00AF49FE" w:rsidRDefault="00792F45" w:rsidP="00AF49FE">
            <w:pPr>
              <w:pStyle w:val="PullOutBoxHeading"/>
              <w:rPr>
                <w:b/>
                <w:sz w:val="22"/>
              </w:rPr>
            </w:pPr>
            <w:r w:rsidRPr="00AF49FE">
              <w:rPr>
                <w:b/>
                <w:sz w:val="22"/>
              </w:rPr>
              <w:t>Name of proposal:</w:t>
            </w:r>
          </w:p>
        </w:tc>
        <w:tc>
          <w:tcPr>
            <w:tcW w:w="5335" w:type="dxa"/>
          </w:tcPr>
          <w:p w:rsidR="00792F45" w:rsidRPr="00AF49FE" w:rsidRDefault="00792F45" w:rsidP="00AF49FE">
            <w:pPr>
              <w:pStyle w:val="PullOutBoxHeading"/>
              <w:rPr>
                <w:b/>
                <w:sz w:val="22"/>
              </w:rPr>
            </w:pPr>
            <w:r w:rsidRPr="00AF49FE">
              <w:rPr>
                <w:b/>
                <w:sz w:val="22"/>
              </w:rPr>
              <w:t>Working to close the gap: Equitable and culturally safe health care</w:t>
            </w:r>
          </w:p>
        </w:tc>
      </w:tr>
      <w:tr w:rsidR="00792F45" w:rsidRPr="00792F45" w:rsidTr="0001508D">
        <w:tc>
          <w:tcPr>
            <w:tcW w:w="3005" w:type="dxa"/>
          </w:tcPr>
          <w:p w:rsidR="00792F45" w:rsidRPr="00792F45" w:rsidRDefault="00792F45" w:rsidP="00635389">
            <w:pPr>
              <w:pStyle w:val="PullOutBoxBodyText"/>
            </w:pPr>
            <w:r w:rsidRPr="00792F45">
              <w:t>Summary of proposal:</w:t>
            </w:r>
          </w:p>
        </w:tc>
        <w:tc>
          <w:tcPr>
            <w:tcW w:w="5335" w:type="dxa"/>
          </w:tcPr>
          <w:p w:rsidR="00792F45" w:rsidRPr="00792F45" w:rsidRDefault="00792F45" w:rsidP="00635389">
            <w:pPr>
              <w:pStyle w:val="PullOutBoxBodyText"/>
            </w:pPr>
            <w:r w:rsidRPr="00792F45">
              <w:t xml:space="preserve">The proposal would provide additional funding for key health programs through the provision of a number of funding commitments for eye, ear and kidney health and funding to support Aboriginal and Torres Strait Islander nurses and midwives.  A full list of commitments is at </w:t>
            </w:r>
            <w:r w:rsidRPr="00792F45">
              <w:rPr>
                <w:u w:val="single"/>
              </w:rPr>
              <w:t>Attachment A</w:t>
            </w:r>
            <w:r w:rsidRPr="00792F45">
              <w:t>.</w:t>
            </w:r>
          </w:p>
          <w:p w:rsidR="00792F45" w:rsidRPr="00792F45" w:rsidRDefault="00792F45" w:rsidP="00635389">
            <w:pPr>
              <w:pStyle w:val="PullOutBoxBodyText"/>
            </w:pPr>
            <w:r w:rsidRPr="00792F45">
              <w:t>The proposal would have effect from 1 September 2016.</w:t>
            </w:r>
          </w:p>
        </w:tc>
      </w:tr>
      <w:tr w:rsidR="00792F45" w:rsidRPr="00792F45" w:rsidTr="0001508D">
        <w:tc>
          <w:tcPr>
            <w:tcW w:w="3005" w:type="dxa"/>
          </w:tcPr>
          <w:p w:rsidR="00792F45" w:rsidRPr="00792F45" w:rsidRDefault="00792F45" w:rsidP="00635389">
            <w:pPr>
              <w:pStyle w:val="PullOutBoxBodyText"/>
            </w:pPr>
            <w:r w:rsidRPr="00792F45">
              <w:t>Person/party requesting costing:</w:t>
            </w:r>
          </w:p>
        </w:tc>
        <w:tc>
          <w:tcPr>
            <w:tcW w:w="5335" w:type="dxa"/>
          </w:tcPr>
          <w:p w:rsidR="00792F45" w:rsidRPr="00792F45" w:rsidRDefault="00792F45" w:rsidP="00635389">
            <w:pPr>
              <w:pStyle w:val="PullOutBoxBodyText"/>
            </w:pPr>
            <w:r w:rsidRPr="00792F45">
              <w:t>Senator Richard Di Natale, Australian Greens</w:t>
            </w:r>
          </w:p>
        </w:tc>
      </w:tr>
      <w:tr w:rsidR="00792F45" w:rsidRPr="00792F45" w:rsidTr="0001508D">
        <w:tc>
          <w:tcPr>
            <w:tcW w:w="3005" w:type="dxa"/>
          </w:tcPr>
          <w:p w:rsidR="00792F45" w:rsidRPr="00792F45" w:rsidRDefault="00792F45" w:rsidP="00635389">
            <w:pPr>
              <w:pStyle w:val="PullOutBoxBodyText"/>
            </w:pPr>
            <w:r w:rsidRPr="00792F45">
              <w:t>Date of public release of policy:</w:t>
            </w:r>
          </w:p>
        </w:tc>
        <w:tc>
          <w:tcPr>
            <w:tcW w:w="5335" w:type="dxa"/>
          </w:tcPr>
          <w:p w:rsidR="00792F45" w:rsidRPr="00792F45" w:rsidRDefault="00792F45" w:rsidP="00635389">
            <w:pPr>
              <w:pStyle w:val="PullOutBoxBodyText"/>
            </w:pPr>
            <w:r w:rsidRPr="00792F45">
              <w:t>8 June 2016</w:t>
            </w:r>
          </w:p>
        </w:tc>
      </w:tr>
      <w:tr w:rsidR="00792F45" w:rsidRPr="00792F45" w:rsidTr="0001508D">
        <w:tc>
          <w:tcPr>
            <w:tcW w:w="3005" w:type="dxa"/>
          </w:tcPr>
          <w:p w:rsidR="00792F45" w:rsidRPr="00792F45" w:rsidRDefault="00792F45" w:rsidP="00635389">
            <w:pPr>
              <w:pStyle w:val="PullOutBoxBodyText"/>
            </w:pPr>
            <w:r w:rsidRPr="00792F45">
              <w:t>Date costing request received:</w:t>
            </w:r>
          </w:p>
        </w:tc>
        <w:tc>
          <w:tcPr>
            <w:tcW w:w="5335" w:type="dxa"/>
          </w:tcPr>
          <w:p w:rsidR="00792F45" w:rsidRPr="00792F45" w:rsidRDefault="00792F45" w:rsidP="00635389">
            <w:pPr>
              <w:pStyle w:val="PullOutBoxBodyText"/>
            </w:pPr>
            <w:r w:rsidRPr="00792F45">
              <w:t>24 June 2016</w:t>
            </w:r>
          </w:p>
        </w:tc>
      </w:tr>
      <w:tr w:rsidR="00792F45" w:rsidRPr="00792F45" w:rsidTr="0001508D">
        <w:tc>
          <w:tcPr>
            <w:tcW w:w="3005" w:type="dxa"/>
          </w:tcPr>
          <w:p w:rsidR="00792F45" w:rsidRPr="00792F45" w:rsidRDefault="00792F45" w:rsidP="00635389">
            <w:pPr>
              <w:pStyle w:val="PullOutBoxBodyText"/>
            </w:pPr>
            <w:r w:rsidRPr="00792F45">
              <w:t>Date costing completed</w:t>
            </w:r>
          </w:p>
        </w:tc>
        <w:tc>
          <w:tcPr>
            <w:tcW w:w="5335" w:type="dxa"/>
          </w:tcPr>
          <w:p w:rsidR="00792F45" w:rsidRPr="00792F45" w:rsidRDefault="00792F45" w:rsidP="00635389">
            <w:pPr>
              <w:pStyle w:val="PullOutBoxBodyText"/>
            </w:pPr>
            <w:r w:rsidRPr="00792F45">
              <w:t>25 June 2016</w:t>
            </w:r>
          </w:p>
        </w:tc>
      </w:tr>
      <w:tr w:rsidR="00792F45" w:rsidRPr="00792F45" w:rsidTr="0001508D">
        <w:tc>
          <w:tcPr>
            <w:tcW w:w="3005" w:type="dxa"/>
          </w:tcPr>
          <w:p w:rsidR="00792F45" w:rsidRPr="00792F45" w:rsidRDefault="00792F45" w:rsidP="00635389">
            <w:pPr>
              <w:pStyle w:val="PullOutBoxBodyText"/>
            </w:pPr>
            <w:r w:rsidRPr="00792F45">
              <w:t>Expiry date for the costing:</w:t>
            </w:r>
          </w:p>
        </w:tc>
        <w:tc>
          <w:tcPr>
            <w:tcW w:w="5335" w:type="dxa"/>
          </w:tcPr>
          <w:p w:rsidR="00792F45" w:rsidRPr="00792F45" w:rsidRDefault="00792F45" w:rsidP="00635389">
            <w:pPr>
              <w:pStyle w:val="PullOutBoxBodyText"/>
            </w:pPr>
            <w:r w:rsidRPr="00792F45">
              <w:t>Release of the next economic and fiscal outlook report</w:t>
            </w:r>
          </w:p>
        </w:tc>
      </w:tr>
    </w:tbl>
    <w:p w:rsidR="00792F45" w:rsidRPr="00905B06" w:rsidRDefault="00792F45" w:rsidP="00905B06">
      <w:pPr>
        <w:pStyle w:val="CostingsH7"/>
      </w:pPr>
      <w:r w:rsidRPr="00905B06">
        <w:t>Costing overview</w:t>
      </w:r>
    </w:p>
    <w:p w:rsidR="00792F45" w:rsidRPr="00792F45" w:rsidRDefault="00792F45" w:rsidP="00ED1C32">
      <w:pPr>
        <w:pStyle w:val="BodyText"/>
      </w:pPr>
      <w:r w:rsidRPr="00792F45">
        <w:t>This proposal would be expected to decrease the fiscal and underlying cash balances by $175.7 million over the 2016-17 Budget forward estimates period.  This impact reflects an increase in administered expense of $154.1 million and an increase in departmental expenditure of $21.6 million over this period.</w:t>
      </w:r>
    </w:p>
    <w:p w:rsidR="00792F45" w:rsidRPr="00792F45" w:rsidRDefault="00792F45" w:rsidP="00ED1C32">
      <w:pPr>
        <w:pStyle w:val="BodyText"/>
      </w:pPr>
      <w:r w:rsidRPr="00792F45">
        <w:t xml:space="preserve">This proposal would have an ongoing impact that extends beyond the forward estimates period.  A breakdown of the proposal for the period 2016-17 to 2026-27 is at </w:t>
      </w:r>
      <w:r w:rsidRPr="00792F45">
        <w:rPr>
          <w:u w:val="single"/>
        </w:rPr>
        <w:t>Attachment B</w:t>
      </w:r>
      <w:r w:rsidRPr="00792F45">
        <w:t>.</w:t>
      </w:r>
    </w:p>
    <w:p w:rsidR="00792F45" w:rsidRPr="00792F45" w:rsidRDefault="00792F45" w:rsidP="00ED1C32">
      <w:pPr>
        <w:pStyle w:val="BodyText"/>
      </w:pPr>
      <w:r w:rsidRPr="00792F45">
        <w:t>This costing is considered to be of high reliability as it is based on specified capped amounts with a small demand-driven component based on an existing service.</w:t>
      </w:r>
    </w:p>
    <w:p w:rsidR="00792F45" w:rsidRPr="00792F45" w:rsidRDefault="00792F45" w:rsidP="00ED1C32">
      <w:pPr>
        <w:pStyle w:val="BodyText"/>
      </w:pPr>
      <w:r w:rsidRPr="00792F45">
        <w:t>The Parliamentary Budget Office (PBO) has not undertaken any analysis of whether or not the prescribed funding amounts are adequate to achieve the activities outlined.</w:t>
      </w:r>
    </w:p>
    <w:p w:rsidR="00792F45" w:rsidRPr="00792F45" w:rsidRDefault="00792F45" w:rsidP="00905B06">
      <w:pPr>
        <w:pStyle w:val="Caption"/>
      </w:pPr>
      <w:r w:rsidRPr="00792F45">
        <w:lastRenderedPageBreak/>
        <w:t>Table 1: Financial implications (outturn prices)</w:t>
      </w:r>
      <w:r w:rsidRPr="00792F45">
        <w:rPr>
          <w:vertAlign w:val="superscript"/>
        </w:rPr>
        <w:t>(a)(b)</w:t>
      </w:r>
    </w:p>
    <w:tbl>
      <w:tblPr>
        <w:tblStyle w:val="TableGrid20"/>
        <w:tblW w:w="4993" w:type="pct"/>
        <w:tblLook w:val="04A0" w:firstRow="1" w:lastRow="0" w:firstColumn="1" w:lastColumn="0" w:noHBand="0" w:noVBand="1"/>
      </w:tblPr>
      <w:tblGrid>
        <w:gridCol w:w="2645"/>
        <w:gridCol w:w="1134"/>
        <w:gridCol w:w="1133"/>
        <w:gridCol w:w="1133"/>
        <w:gridCol w:w="1133"/>
        <w:gridCol w:w="1132"/>
      </w:tblGrid>
      <w:tr w:rsidR="00792F45" w:rsidRPr="00792F45" w:rsidTr="000150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792F45" w:rsidRPr="00792F45" w:rsidRDefault="00792F45" w:rsidP="00792F45">
            <w:pPr>
              <w:keepNext/>
              <w:keepLines/>
              <w:spacing w:line="240" w:lineRule="auto"/>
              <w:ind w:left="57" w:right="57"/>
              <w:rPr>
                <w:szCs w:val="20"/>
              </w:rPr>
            </w:pPr>
            <w:r w:rsidRPr="00792F45">
              <w:rPr>
                <w:szCs w:val="20"/>
              </w:rPr>
              <w:t>Impact on ($m)</w:t>
            </w:r>
          </w:p>
        </w:tc>
        <w:tc>
          <w:tcPr>
            <w:tcW w:w="682" w:type="pct"/>
          </w:tcPr>
          <w:p w:rsidR="00792F45" w:rsidRPr="00792F45" w:rsidRDefault="00792F45" w:rsidP="00792F4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92F45">
              <w:rPr>
                <w:szCs w:val="20"/>
              </w:rPr>
              <w:t>2016–17</w:t>
            </w:r>
          </w:p>
        </w:tc>
        <w:tc>
          <w:tcPr>
            <w:tcW w:w="682" w:type="pct"/>
          </w:tcPr>
          <w:p w:rsidR="00792F45" w:rsidRPr="00792F45" w:rsidRDefault="00792F45" w:rsidP="00792F4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92F45">
              <w:rPr>
                <w:szCs w:val="20"/>
              </w:rPr>
              <w:t>2017–18</w:t>
            </w:r>
          </w:p>
        </w:tc>
        <w:tc>
          <w:tcPr>
            <w:tcW w:w="682" w:type="pct"/>
          </w:tcPr>
          <w:p w:rsidR="00792F45" w:rsidRPr="00792F45" w:rsidRDefault="00792F45" w:rsidP="00792F4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92F45">
              <w:rPr>
                <w:szCs w:val="20"/>
              </w:rPr>
              <w:t>2018–19</w:t>
            </w:r>
          </w:p>
        </w:tc>
        <w:tc>
          <w:tcPr>
            <w:tcW w:w="682" w:type="pct"/>
          </w:tcPr>
          <w:p w:rsidR="00792F45" w:rsidRPr="00792F45" w:rsidRDefault="00792F45" w:rsidP="00792F4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92F45">
              <w:rPr>
                <w:szCs w:val="20"/>
              </w:rPr>
              <w:t>2019–20</w:t>
            </w:r>
          </w:p>
        </w:tc>
        <w:tc>
          <w:tcPr>
            <w:tcW w:w="681" w:type="pct"/>
          </w:tcPr>
          <w:p w:rsidR="00792F45" w:rsidRPr="00792F45" w:rsidRDefault="00792F45" w:rsidP="00792F4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92F45">
              <w:rPr>
                <w:b/>
                <w:szCs w:val="20"/>
              </w:rPr>
              <w:t>Total</w:t>
            </w:r>
          </w:p>
        </w:tc>
      </w:tr>
      <w:tr w:rsidR="00792F45" w:rsidRPr="00792F45" w:rsidTr="000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792F45" w:rsidRPr="00792F45" w:rsidRDefault="00792F45" w:rsidP="00792F45">
            <w:pPr>
              <w:keepNext/>
              <w:keepLines/>
              <w:ind w:left="57" w:right="57"/>
              <w:rPr>
                <w:szCs w:val="20"/>
              </w:rPr>
            </w:pPr>
            <w:r w:rsidRPr="00792F45">
              <w:rPr>
                <w:szCs w:val="20"/>
              </w:rPr>
              <w:t>Fiscal balance</w:t>
            </w:r>
          </w:p>
        </w:tc>
        <w:tc>
          <w:tcPr>
            <w:tcW w:w="682" w:type="pct"/>
          </w:tcPr>
          <w:p w:rsidR="00792F45" w:rsidRPr="00792F45" w:rsidRDefault="00792F45" w:rsidP="00792F45">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792F45">
              <w:rPr>
                <w:rFonts w:ascii="Calibri" w:hAnsi="Calibri"/>
                <w:szCs w:val="20"/>
              </w:rPr>
              <w:t>-22.5</w:t>
            </w:r>
          </w:p>
        </w:tc>
        <w:tc>
          <w:tcPr>
            <w:tcW w:w="682" w:type="pct"/>
          </w:tcPr>
          <w:p w:rsidR="00792F45" w:rsidRPr="00792F45" w:rsidRDefault="00792F45" w:rsidP="00792F45">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792F45">
              <w:rPr>
                <w:rFonts w:ascii="Calibri" w:hAnsi="Calibri"/>
                <w:szCs w:val="20"/>
              </w:rPr>
              <w:t>-57.6</w:t>
            </w:r>
          </w:p>
        </w:tc>
        <w:tc>
          <w:tcPr>
            <w:tcW w:w="682" w:type="pct"/>
          </w:tcPr>
          <w:p w:rsidR="00792F45" w:rsidRPr="00792F45" w:rsidRDefault="00792F45" w:rsidP="00792F45">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792F45">
              <w:rPr>
                <w:rFonts w:ascii="Calibri" w:hAnsi="Calibri"/>
                <w:szCs w:val="20"/>
              </w:rPr>
              <w:t>-54.6</w:t>
            </w:r>
          </w:p>
        </w:tc>
        <w:tc>
          <w:tcPr>
            <w:tcW w:w="682" w:type="pct"/>
          </w:tcPr>
          <w:p w:rsidR="00792F45" w:rsidRPr="00792F45" w:rsidRDefault="00792F45" w:rsidP="00792F45">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792F45">
              <w:rPr>
                <w:rFonts w:ascii="Calibri" w:hAnsi="Calibri"/>
                <w:szCs w:val="20"/>
              </w:rPr>
              <w:t>-40.9</w:t>
            </w:r>
          </w:p>
        </w:tc>
        <w:tc>
          <w:tcPr>
            <w:tcW w:w="681" w:type="pct"/>
          </w:tcPr>
          <w:p w:rsidR="00792F45" w:rsidRPr="00792F45" w:rsidRDefault="00792F45" w:rsidP="00792F45">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792F45">
              <w:rPr>
                <w:rFonts w:ascii="Calibri" w:hAnsi="Calibri"/>
                <w:b/>
                <w:szCs w:val="20"/>
              </w:rPr>
              <w:t>-175.7</w:t>
            </w:r>
          </w:p>
        </w:tc>
      </w:tr>
      <w:tr w:rsidR="00792F45" w:rsidRPr="00792F45" w:rsidTr="0001508D">
        <w:tc>
          <w:tcPr>
            <w:cnfStyle w:val="001000000000" w:firstRow="0" w:lastRow="0" w:firstColumn="1" w:lastColumn="0" w:oddVBand="0" w:evenVBand="0" w:oddHBand="0" w:evenHBand="0" w:firstRowFirstColumn="0" w:firstRowLastColumn="0" w:lastRowFirstColumn="0" w:lastRowLastColumn="0"/>
            <w:tcW w:w="1591" w:type="pct"/>
          </w:tcPr>
          <w:p w:rsidR="00792F45" w:rsidRPr="00792F45" w:rsidRDefault="00792F45" w:rsidP="00792F45">
            <w:pPr>
              <w:keepNext/>
              <w:keepLines/>
              <w:ind w:left="57" w:right="57"/>
              <w:rPr>
                <w:szCs w:val="20"/>
              </w:rPr>
            </w:pPr>
            <w:r w:rsidRPr="00792F45">
              <w:rPr>
                <w:szCs w:val="20"/>
              </w:rPr>
              <w:t>Underlying cash balance</w:t>
            </w:r>
          </w:p>
        </w:tc>
        <w:tc>
          <w:tcPr>
            <w:tcW w:w="682" w:type="pct"/>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-22.5</w:t>
            </w:r>
          </w:p>
        </w:tc>
        <w:tc>
          <w:tcPr>
            <w:tcW w:w="682" w:type="pct"/>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-57.6</w:t>
            </w:r>
          </w:p>
        </w:tc>
        <w:tc>
          <w:tcPr>
            <w:tcW w:w="682" w:type="pct"/>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-54.6</w:t>
            </w:r>
          </w:p>
        </w:tc>
        <w:tc>
          <w:tcPr>
            <w:tcW w:w="682" w:type="pct"/>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-40.9</w:t>
            </w:r>
          </w:p>
        </w:tc>
        <w:tc>
          <w:tcPr>
            <w:tcW w:w="681" w:type="pct"/>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-175.7</w:t>
            </w:r>
          </w:p>
        </w:tc>
      </w:tr>
    </w:tbl>
    <w:p w:rsidR="00792F45" w:rsidRPr="00792F45" w:rsidRDefault="00792F45" w:rsidP="000B5C96">
      <w:pPr>
        <w:pStyle w:val="Footnotes"/>
        <w:numPr>
          <w:ilvl w:val="0"/>
          <w:numId w:val="68"/>
        </w:numPr>
        <w:ind w:left="284" w:hanging="284"/>
      </w:pPr>
      <w:r w:rsidRPr="00792F45">
        <w:t>A positive number represents an increase in the relevant budget balance; a negative number represents a decrease.</w:t>
      </w:r>
    </w:p>
    <w:p w:rsidR="00792F45" w:rsidRPr="00792F45" w:rsidRDefault="00792F45" w:rsidP="000B5C96">
      <w:pPr>
        <w:pStyle w:val="Footnotes"/>
        <w:numPr>
          <w:ilvl w:val="0"/>
          <w:numId w:val="68"/>
        </w:numPr>
        <w:ind w:left="284" w:hanging="284"/>
      </w:pPr>
      <w:r w:rsidRPr="00792F45">
        <w:t>Figures may not sum to totals due to rounding.</w:t>
      </w:r>
    </w:p>
    <w:p w:rsidR="00792F45" w:rsidRPr="00905B06" w:rsidRDefault="00792F45" w:rsidP="00905B06">
      <w:pPr>
        <w:pStyle w:val="CostingsH7"/>
      </w:pPr>
      <w:r w:rsidRPr="00905B06">
        <w:t>Key assumptions</w:t>
      </w:r>
    </w:p>
    <w:p w:rsidR="00792F45" w:rsidRPr="00792F45" w:rsidRDefault="00792F45" w:rsidP="00ED1C32">
      <w:pPr>
        <w:pStyle w:val="BodyText"/>
      </w:pPr>
      <w:r w:rsidRPr="00792F45">
        <w:t>It has been assumed that:</w:t>
      </w:r>
    </w:p>
    <w:p w:rsidR="00792F45" w:rsidRPr="00792F45" w:rsidRDefault="00792F45" w:rsidP="00ED1C32">
      <w:pPr>
        <w:pStyle w:val="ListBullet"/>
        <w:rPr>
          <w:lang w:eastAsia="en-AU"/>
        </w:rPr>
      </w:pPr>
      <w:r w:rsidRPr="00792F45">
        <w:rPr>
          <w:lang w:eastAsia="en-AU"/>
        </w:rPr>
        <w:t>the development of a National Aboriginal and Torres Strait Islander Nursing Workforce Strategy would occur in 2016-17 only</w:t>
      </w:r>
    </w:p>
    <w:p w:rsidR="00792F45" w:rsidRPr="00792F45" w:rsidRDefault="00792F45" w:rsidP="00ED1C32">
      <w:pPr>
        <w:pStyle w:val="ListBullet"/>
        <w:rPr>
          <w:lang w:eastAsia="en-AU"/>
        </w:rPr>
      </w:pPr>
      <w:r w:rsidRPr="00792F45">
        <w:rPr>
          <w:lang w:eastAsia="en-AU"/>
        </w:rPr>
        <w:t>while the proposal would commence on 1 September 2016, the full amount of funding could be utilised in 2016-17.</w:t>
      </w:r>
    </w:p>
    <w:p w:rsidR="00792F45" w:rsidRPr="00905B06" w:rsidRDefault="00792F45" w:rsidP="00905B06">
      <w:pPr>
        <w:pStyle w:val="CostingsH7"/>
      </w:pPr>
      <w:r w:rsidRPr="00905B06">
        <w:t>Methodology</w:t>
      </w:r>
    </w:p>
    <w:p w:rsidR="00792F45" w:rsidRPr="00792F45" w:rsidRDefault="00792F45" w:rsidP="00ED1C32">
      <w:pPr>
        <w:pStyle w:val="BodyText"/>
      </w:pPr>
      <w:r w:rsidRPr="00792F45">
        <w:t>The estimates for the cost of interpreters were based on the existing cost of similar services provided through Australian Hearing and the rollout of the National Disability Insurance Scheme (NDIS)</w:t>
      </w:r>
    </w:p>
    <w:p w:rsidR="00792F45" w:rsidRPr="00792F45" w:rsidRDefault="00792F45" w:rsidP="00ED1C32">
      <w:pPr>
        <w:pStyle w:val="BodyText"/>
      </w:pPr>
      <w:r w:rsidRPr="00792F45">
        <w:t>Otherwise, departmental expenditure estimates are accommodated within the capped funding amounts as specified in the request.  These estimates are based on other like programs and the estimates include the net effect of indexation parameters and the efficiency dividend, in accordance with the Department of Finance’s costing practices.</w:t>
      </w:r>
    </w:p>
    <w:p w:rsidR="00792F45" w:rsidRPr="00792F45" w:rsidRDefault="00792F45" w:rsidP="00ED1C32">
      <w:pPr>
        <w:pStyle w:val="BodyText"/>
      </w:pPr>
      <w:r w:rsidRPr="00792F45">
        <w:t>Administered expenditure estimates are the remainder of the capped funding amounts after allowing for the estimated departmental expenditure.</w:t>
      </w:r>
    </w:p>
    <w:p w:rsidR="00792F45" w:rsidRPr="00905B06" w:rsidRDefault="00792F45" w:rsidP="00905B06">
      <w:pPr>
        <w:pStyle w:val="CostingsH7"/>
      </w:pPr>
      <w:r w:rsidRPr="00905B06">
        <w:t>Data sources</w:t>
      </w:r>
    </w:p>
    <w:p w:rsidR="00792F45" w:rsidRPr="00792F45" w:rsidRDefault="00792F45" w:rsidP="00ED1C32">
      <w:pPr>
        <w:pStyle w:val="ListBullet"/>
        <w:rPr>
          <w:lang w:eastAsia="en-AU"/>
        </w:rPr>
      </w:pPr>
      <w:r w:rsidRPr="00792F45">
        <w:rPr>
          <w:lang w:eastAsia="en-AU"/>
        </w:rPr>
        <w:t>The Department of Finance provided indexation and efficiency dividend parameters.</w:t>
      </w:r>
    </w:p>
    <w:p w:rsidR="00792F45" w:rsidRPr="00792F45" w:rsidRDefault="00792F45" w:rsidP="00ED1C32">
      <w:pPr>
        <w:pStyle w:val="ListBullet"/>
        <w:rPr>
          <w:lang w:eastAsia="en-AU"/>
        </w:rPr>
      </w:pPr>
      <w:r w:rsidRPr="00792F45">
        <w:rPr>
          <w:lang w:eastAsia="en-AU"/>
        </w:rPr>
        <w:t>Information provided by the Congress of Aboriginal and Torres Strait Islander Nurses and Midwives (CATSINaM).</w:t>
      </w:r>
    </w:p>
    <w:p w:rsidR="00792F45" w:rsidRPr="00792F45" w:rsidRDefault="00792F45" w:rsidP="00ED1C32">
      <w:pPr>
        <w:pStyle w:val="ListBullet"/>
        <w:rPr>
          <w:lang w:eastAsia="en-AU"/>
        </w:rPr>
        <w:sectPr w:rsidR="00792F45" w:rsidRPr="00792F45" w:rsidSect="00E8358C">
          <w:headerReference w:type="even" r:id="rId159"/>
          <w:headerReference w:type="default" r:id="rId160"/>
          <w:footerReference w:type="even" r:id="rId161"/>
          <w:footerReference w:type="default" r:id="rId162"/>
          <w:pgSz w:w="11906" w:h="16838"/>
          <w:pgMar w:top="1361" w:right="1797" w:bottom="1474" w:left="1797" w:header="283" w:footer="454" w:gutter="0"/>
          <w:cols w:space="708"/>
          <w:docGrid w:linePitch="360"/>
        </w:sectPr>
      </w:pPr>
      <w:r w:rsidRPr="00792F45">
        <w:rPr>
          <w:lang w:eastAsia="en-AU"/>
        </w:rPr>
        <w:t>Australian Hearing (administered by the Department of Health) provided their expenditure on interpreter services.</w:t>
      </w:r>
    </w:p>
    <w:p w:rsidR="00792F45" w:rsidRPr="00792F45" w:rsidRDefault="00792F45" w:rsidP="007A4BF9">
      <w:pPr>
        <w:pStyle w:val="Heading6"/>
        <w:rPr>
          <w:rFonts w:eastAsia="Calibri"/>
        </w:rPr>
      </w:pPr>
      <w:r w:rsidRPr="00792F45">
        <w:rPr>
          <w:rFonts w:eastAsia="Calibri"/>
        </w:rPr>
        <w:lastRenderedPageBreak/>
        <w:t>Attachment A: Working to close the gap: Equitable and culturally safe health care—proposal details</w:t>
      </w:r>
    </w:p>
    <w:p w:rsidR="00792F45" w:rsidRPr="00792F45" w:rsidRDefault="00792F45" w:rsidP="005077ED">
      <w:pPr>
        <w:pStyle w:val="CostingsH7"/>
        <w:tabs>
          <w:tab w:val="left" w:pos="0"/>
        </w:tabs>
        <w:rPr>
          <w:rFonts w:eastAsia="Calibri"/>
        </w:rPr>
      </w:pPr>
      <w:r w:rsidRPr="00792F45">
        <w:rPr>
          <w:rFonts w:eastAsia="Calibri"/>
        </w:rPr>
        <w:t>Blindness prevention and closing the gap in eye health</w:t>
      </w:r>
    </w:p>
    <w:p w:rsidR="00792F45" w:rsidRPr="00792F45" w:rsidRDefault="00792F45" w:rsidP="00C11265">
      <w:pPr>
        <w:pStyle w:val="BodyText"/>
      </w:pPr>
      <w:r w:rsidRPr="00792F45">
        <w:t>Working to limit preventable blindness (capped funding amounts from 1 September 2016):</w:t>
      </w:r>
    </w:p>
    <w:p w:rsidR="00792F45" w:rsidRPr="00792F45" w:rsidRDefault="00792F45" w:rsidP="00C11265">
      <w:pPr>
        <w:pStyle w:val="ListBullet"/>
        <w:rPr>
          <w:lang w:eastAsia="en-AU"/>
        </w:rPr>
      </w:pPr>
      <w:r w:rsidRPr="00792F45">
        <w:rPr>
          <w:lang w:eastAsia="en-AU"/>
        </w:rPr>
        <w:t>$10 million over four years (2016-17 to 2019-20) for an awareness campaign to encourage eye examinations and awareness of risk factors</w:t>
      </w:r>
    </w:p>
    <w:p w:rsidR="00792F45" w:rsidRPr="00792F45" w:rsidRDefault="00792F45" w:rsidP="00C11265">
      <w:pPr>
        <w:pStyle w:val="ListBullet"/>
        <w:rPr>
          <w:lang w:eastAsia="en-AU"/>
        </w:rPr>
      </w:pPr>
      <w:r w:rsidRPr="00792F45">
        <w:rPr>
          <w:lang w:eastAsia="en-AU"/>
        </w:rPr>
        <w:t>$12 million over four years (2016-17 to 2019-20) to develop a comprehensive national eye health and vision strategy</w:t>
      </w:r>
    </w:p>
    <w:p w:rsidR="00792F45" w:rsidRPr="00792F45" w:rsidRDefault="00792F45" w:rsidP="00C11265">
      <w:pPr>
        <w:pStyle w:val="ListBullet"/>
        <w:rPr>
          <w:lang w:eastAsia="en-AU"/>
        </w:rPr>
      </w:pPr>
      <w:r w:rsidRPr="00792F45">
        <w:rPr>
          <w:lang w:eastAsia="en-AU"/>
        </w:rPr>
        <w:t>$13 million over four years (2016-17 to 2019-20) for monitoring and research of national eye health and vision care.</w:t>
      </w:r>
    </w:p>
    <w:p w:rsidR="00792F45" w:rsidRPr="00792F45" w:rsidRDefault="00792F45" w:rsidP="00792F45">
      <w:pPr>
        <w:keepLines/>
        <w:spacing w:after="113"/>
        <w:rPr>
          <w:rFonts w:ascii="Calibri" w:eastAsia="Times New Roman" w:hAnsi="Calibri" w:cs="Times New Roman"/>
          <w:spacing w:val="-1"/>
          <w:lang w:eastAsia="en-AU"/>
        </w:rPr>
      </w:pPr>
      <w:r w:rsidRPr="00792F45">
        <w:rPr>
          <w:rFonts w:ascii="Calibri" w:eastAsia="Times New Roman" w:hAnsi="Calibri" w:cs="Times New Roman"/>
          <w:spacing w:val="-1"/>
          <w:lang w:eastAsia="en-AU"/>
        </w:rPr>
        <w:t xml:space="preserve">Implementing the recommendations of the </w:t>
      </w:r>
      <w:r w:rsidRPr="00C11265">
        <w:rPr>
          <w:rFonts w:cs="Times New Roman"/>
          <w:i/>
          <w:spacing w:val="-1"/>
        </w:rPr>
        <w:t>Roadmap to Close the Gap for Vision</w:t>
      </w:r>
      <w:r w:rsidRPr="00792F45">
        <w:rPr>
          <w:rFonts w:ascii="Calibri" w:eastAsia="Times New Roman" w:hAnsi="Calibri" w:cs="Times New Roman"/>
          <w:spacing w:val="-1"/>
          <w:lang w:eastAsia="en-AU"/>
        </w:rPr>
        <w:t xml:space="preserve"> by providing capped funding of $10.22 million over five years (2016-17 to 2020-21), and ongoing funding of $2.92 million annually from 2021-22.</w:t>
      </w:r>
    </w:p>
    <w:p w:rsidR="00792F45" w:rsidRPr="00792F45" w:rsidRDefault="00792F45" w:rsidP="005077ED">
      <w:pPr>
        <w:pStyle w:val="CostingsH7"/>
        <w:rPr>
          <w:rFonts w:eastAsia="Calibri"/>
        </w:rPr>
      </w:pPr>
      <w:r w:rsidRPr="00792F45">
        <w:rPr>
          <w:rFonts w:eastAsia="Calibri"/>
        </w:rPr>
        <w:t>Hearing health</w:t>
      </w:r>
    </w:p>
    <w:p w:rsidR="00792F45" w:rsidRPr="00792F45" w:rsidRDefault="00792F45" w:rsidP="00C11265">
      <w:pPr>
        <w:pStyle w:val="BodyText"/>
      </w:pPr>
      <w:r w:rsidRPr="00792F45">
        <w:t>Improving hearing health (capped funding amounts from 1 July 2017):</w:t>
      </w:r>
    </w:p>
    <w:p w:rsidR="00792F45" w:rsidRPr="00792F45" w:rsidRDefault="00792F45" w:rsidP="00C11265">
      <w:pPr>
        <w:pStyle w:val="ListBullet"/>
        <w:rPr>
          <w:lang w:eastAsia="en-AU"/>
        </w:rPr>
      </w:pPr>
      <w:r w:rsidRPr="00792F45">
        <w:rPr>
          <w:lang w:eastAsia="en-AU"/>
        </w:rPr>
        <w:t>$2 million in 2017-18 for a national database to track children with a hearing impairment</w:t>
      </w:r>
    </w:p>
    <w:p w:rsidR="00792F45" w:rsidRPr="00792F45" w:rsidRDefault="00792F45" w:rsidP="00C11265">
      <w:pPr>
        <w:pStyle w:val="ListBullet"/>
        <w:rPr>
          <w:lang w:eastAsia="en-AU"/>
        </w:rPr>
      </w:pPr>
      <w:r w:rsidRPr="00792F45">
        <w:rPr>
          <w:lang w:eastAsia="en-AU"/>
        </w:rPr>
        <w:t>$15 million per annum ongoing for early evidence-based language and communication intervention for all children with hearing impairment prior to them starting school</w:t>
      </w:r>
    </w:p>
    <w:p w:rsidR="00792F45" w:rsidRPr="00792F45" w:rsidRDefault="00792F45" w:rsidP="00C11265">
      <w:pPr>
        <w:pStyle w:val="ListBullet"/>
        <w:rPr>
          <w:lang w:eastAsia="en-AU"/>
        </w:rPr>
      </w:pPr>
      <w:r w:rsidRPr="00792F45">
        <w:rPr>
          <w:lang w:eastAsia="en-AU"/>
        </w:rPr>
        <w:t>$4 million per annum ongoing for sound field systems for new classrooms, and in all existing classrooms where there is a significant population of Aboriginal and Torres Strait Islander children</w:t>
      </w:r>
    </w:p>
    <w:p w:rsidR="00792F45" w:rsidRPr="00792F45" w:rsidRDefault="00792F45" w:rsidP="00C11265">
      <w:pPr>
        <w:pStyle w:val="ListBullet"/>
        <w:rPr>
          <w:lang w:eastAsia="en-AU"/>
        </w:rPr>
      </w:pPr>
      <w:r w:rsidRPr="00792F45">
        <w:rPr>
          <w:lang w:eastAsia="en-AU"/>
        </w:rPr>
        <w:t>$2.5 million in 2017-18 and 2018-19 for an exemplar multidisciplinary project to address incidence of otitis media in Aboriginal and Torres Strait Islander communities</w:t>
      </w:r>
    </w:p>
    <w:p w:rsidR="00792F45" w:rsidRPr="00792F45" w:rsidRDefault="00792F45" w:rsidP="00C11265">
      <w:pPr>
        <w:pStyle w:val="ListBullet"/>
        <w:rPr>
          <w:lang w:eastAsia="en-AU"/>
        </w:rPr>
      </w:pPr>
      <w:r w:rsidRPr="00792F45">
        <w:rPr>
          <w:lang w:eastAsia="en-AU"/>
        </w:rPr>
        <w:t>Council of Australian Governments to prioritise hearing screenings and follow-up from all Aboriginal and Torres Strait Islander children from remote communities</w:t>
      </w:r>
    </w:p>
    <w:p w:rsidR="00792F45" w:rsidRPr="00792F45" w:rsidRDefault="00792F45" w:rsidP="00C11265">
      <w:pPr>
        <w:pStyle w:val="ListBullet"/>
        <w:rPr>
          <w:lang w:eastAsia="en-AU"/>
        </w:rPr>
      </w:pPr>
      <w:r w:rsidRPr="00792F45">
        <w:rPr>
          <w:lang w:eastAsia="en-AU"/>
        </w:rPr>
        <w:t>$30 million fund over three years (2016-17 to 2018-19) for induction programs for teachers posted to schools in Aboriginal and Torres Strait Island communities</w:t>
      </w:r>
    </w:p>
    <w:p w:rsidR="00792F45" w:rsidRPr="00792F45" w:rsidRDefault="00792F45" w:rsidP="00C11265">
      <w:pPr>
        <w:pStyle w:val="ListBullet"/>
        <w:rPr>
          <w:lang w:eastAsia="en-AU"/>
        </w:rPr>
      </w:pPr>
      <w:r w:rsidRPr="00792F45">
        <w:rPr>
          <w:lang w:eastAsia="en-AU"/>
        </w:rPr>
        <w:t xml:space="preserve">to improve support for people with hearing impairment accessing the NDIS by providing: </w:t>
      </w:r>
    </w:p>
    <w:p w:rsidR="00792F45" w:rsidRPr="00792F45" w:rsidRDefault="00792F45" w:rsidP="00C11265">
      <w:pPr>
        <w:pStyle w:val="ListBullet2"/>
        <w:rPr>
          <w:lang w:eastAsia="en-AU"/>
        </w:rPr>
      </w:pPr>
      <w:r w:rsidRPr="00792F45">
        <w:rPr>
          <w:lang w:eastAsia="en-AU"/>
        </w:rPr>
        <w:t>$2 million in 2017-18 and 2018-19 to develop an accreditation scheme to identify clinicians with the ability to provide appropriate services to adults with complex hearing rehabilitation needs</w:t>
      </w:r>
    </w:p>
    <w:p w:rsidR="00792F45" w:rsidRPr="00792F45" w:rsidRDefault="00792F45" w:rsidP="00C11265">
      <w:pPr>
        <w:pStyle w:val="ListBullet2"/>
        <w:rPr>
          <w:lang w:eastAsia="en-AU"/>
        </w:rPr>
      </w:pPr>
      <w:r w:rsidRPr="00792F45">
        <w:rPr>
          <w:lang w:eastAsia="en-AU"/>
        </w:rPr>
        <w:t>demand-driven funding for interpreters where needed for NDIS participants with hearing disabilities.</w:t>
      </w:r>
    </w:p>
    <w:p w:rsidR="00792F45" w:rsidRPr="00792F45" w:rsidRDefault="00792F45" w:rsidP="005077ED">
      <w:pPr>
        <w:pStyle w:val="CostingsH7"/>
        <w:rPr>
          <w:rFonts w:eastAsia="Calibri"/>
        </w:rPr>
      </w:pPr>
      <w:r w:rsidRPr="00792F45">
        <w:rPr>
          <w:rFonts w:eastAsia="Calibri"/>
        </w:rPr>
        <w:lastRenderedPageBreak/>
        <w:t>Kidney health</w:t>
      </w:r>
    </w:p>
    <w:p w:rsidR="00792F45" w:rsidRPr="00792F45" w:rsidRDefault="00792F45" w:rsidP="00792F45">
      <w:pPr>
        <w:spacing w:before="114" w:after="120"/>
        <w:rPr>
          <w:rFonts w:ascii="Calibri" w:eastAsia="Calibri" w:hAnsi="Calibri" w:cs="Times New Roman"/>
        </w:rPr>
      </w:pPr>
      <w:r w:rsidRPr="00792F45">
        <w:rPr>
          <w:rFonts w:ascii="Calibri" w:eastAsia="Calibri" w:hAnsi="Calibri" w:cs="Times New Roman"/>
        </w:rPr>
        <w:t xml:space="preserve">Implementing recommendations in the </w:t>
      </w:r>
      <w:r w:rsidRPr="00C11265">
        <w:rPr>
          <w:rFonts w:cs="Times New Roman"/>
          <w:i/>
          <w:spacing w:val="-1"/>
        </w:rPr>
        <w:t>Kidney Health Australia 2016-17 budget submission</w:t>
      </w:r>
      <w:r w:rsidRPr="00792F45">
        <w:rPr>
          <w:rFonts w:ascii="Calibri" w:eastAsia="Calibri" w:hAnsi="Calibri" w:cs="Times New Roman"/>
          <w:i/>
        </w:rPr>
        <w:t xml:space="preserve"> </w:t>
      </w:r>
      <w:r w:rsidRPr="00792F45">
        <w:rPr>
          <w:rFonts w:ascii="Calibri" w:eastAsia="Calibri" w:hAnsi="Calibri" w:cs="Times New Roman"/>
        </w:rPr>
        <w:t>(capped funding from 1 September 2016) by funding a national strategy on chronic kidney disease, involving:</w:t>
      </w:r>
    </w:p>
    <w:p w:rsidR="00792F45" w:rsidRPr="00792F45" w:rsidRDefault="00792F45" w:rsidP="00C11265">
      <w:pPr>
        <w:pStyle w:val="ListBullet"/>
        <w:rPr>
          <w:lang w:eastAsia="en-AU"/>
        </w:rPr>
      </w:pPr>
      <w:r w:rsidRPr="00792F45">
        <w:rPr>
          <w:lang w:eastAsia="en-AU"/>
        </w:rPr>
        <w:t>$2 million over two years (2016-17 to 2017-18) for a taskforce to develop a national Action Plan on Aboriginal and Torres Strait Islander chronic kidney disease</w:t>
      </w:r>
    </w:p>
    <w:p w:rsidR="00792F45" w:rsidRPr="00792F45" w:rsidRDefault="00792F45" w:rsidP="00C11265">
      <w:pPr>
        <w:pStyle w:val="ListBullet"/>
        <w:rPr>
          <w:lang w:eastAsia="en-AU"/>
        </w:rPr>
      </w:pPr>
      <w:r w:rsidRPr="00792F45">
        <w:rPr>
          <w:lang w:eastAsia="en-AU"/>
        </w:rPr>
        <w:t>$4 million over four years (2016-17 to 2019-20) for education and training for the Aboriginal and Torres Strait Islander health workforce</w:t>
      </w:r>
    </w:p>
    <w:p w:rsidR="00792F45" w:rsidRPr="00792F45" w:rsidRDefault="00792F45" w:rsidP="00C11265">
      <w:pPr>
        <w:pStyle w:val="ListBullet"/>
        <w:rPr>
          <w:lang w:eastAsia="en-AU"/>
        </w:rPr>
      </w:pPr>
      <w:r w:rsidRPr="00792F45">
        <w:rPr>
          <w:lang w:eastAsia="en-AU"/>
        </w:rPr>
        <w:t>$4 million over four years (2016-17 to 2019-20) for appropriate patient support services in remote and regional locations.</w:t>
      </w:r>
    </w:p>
    <w:p w:rsidR="00792F45" w:rsidRPr="00792F45" w:rsidRDefault="00792F45" w:rsidP="005077ED">
      <w:pPr>
        <w:pStyle w:val="CostingsH7"/>
        <w:rPr>
          <w:rFonts w:eastAsia="Calibri"/>
        </w:rPr>
      </w:pPr>
      <w:r w:rsidRPr="00792F45">
        <w:rPr>
          <w:rFonts w:eastAsia="Calibri"/>
        </w:rPr>
        <w:t>Aboriginal and Torres Strait Islander Nurses and Midwives</w:t>
      </w:r>
    </w:p>
    <w:p w:rsidR="00792F45" w:rsidRPr="00792F45" w:rsidRDefault="00792F45" w:rsidP="00C11265">
      <w:pPr>
        <w:pStyle w:val="BodyText"/>
      </w:pPr>
      <w:r w:rsidRPr="00792F45">
        <w:t>Providing capped funding from 1 July 2017 of:</w:t>
      </w:r>
    </w:p>
    <w:p w:rsidR="00792F45" w:rsidRPr="00792F45" w:rsidRDefault="00792F45" w:rsidP="00C11265">
      <w:pPr>
        <w:pStyle w:val="ListBullet"/>
        <w:rPr>
          <w:lang w:eastAsia="en-AU"/>
        </w:rPr>
      </w:pPr>
      <w:r w:rsidRPr="00792F45">
        <w:rPr>
          <w:lang w:eastAsia="en-AU"/>
        </w:rPr>
        <w:t>$1 million in 2017-18 for the development of a National Aboriginal and Torres Strait Islander Nursing Workforce Strategy</w:t>
      </w:r>
    </w:p>
    <w:p w:rsidR="00792F45" w:rsidRPr="00792F45" w:rsidRDefault="00792F45" w:rsidP="00C11265">
      <w:pPr>
        <w:pStyle w:val="ListBullet"/>
        <w:rPr>
          <w:lang w:eastAsia="en-AU"/>
        </w:rPr>
      </w:pPr>
      <w:r w:rsidRPr="00792F45">
        <w:rPr>
          <w:lang w:eastAsia="en-AU"/>
        </w:rPr>
        <w:t>$12.54 million over three years (2017-18 to 2019-20) to support students</w:t>
      </w:r>
    </w:p>
    <w:p w:rsidR="00792F45" w:rsidRPr="00792F45" w:rsidRDefault="00792F45" w:rsidP="00C11265">
      <w:pPr>
        <w:pStyle w:val="ListBullet"/>
        <w:rPr>
          <w:lang w:eastAsia="en-AU"/>
        </w:rPr>
      </w:pPr>
      <w:r w:rsidRPr="00792F45">
        <w:rPr>
          <w:lang w:eastAsia="en-AU"/>
        </w:rPr>
        <w:t>$412,672 over three years (2017-18 to 2019-20) for a mentoring program</w:t>
      </w:r>
    </w:p>
    <w:p w:rsidR="00792F45" w:rsidRPr="00792F45" w:rsidRDefault="00792F45" w:rsidP="00C11265">
      <w:pPr>
        <w:pStyle w:val="ListBullet"/>
        <w:rPr>
          <w:lang w:eastAsia="en-AU"/>
        </w:rPr>
      </w:pPr>
      <w:r w:rsidRPr="00792F45">
        <w:rPr>
          <w:lang w:eastAsia="en-AU"/>
        </w:rPr>
        <w:t>$2.9 million over three years (2017-18 to 2019-20) for a Leaders in Indigenous Nursing and Midwifery Education (LINMEN) program</w:t>
      </w:r>
    </w:p>
    <w:p w:rsidR="00792F45" w:rsidRPr="00792F45" w:rsidRDefault="00792F45" w:rsidP="00C11265">
      <w:pPr>
        <w:pStyle w:val="ListBullet"/>
        <w:rPr>
          <w:lang w:eastAsia="en-AU"/>
        </w:rPr>
      </w:pPr>
      <w:r w:rsidRPr="00792F45">
        <w:rPr>
          <w:lang w:eastAsia="en-AU"/>
        </w:rPr>
        <w:t>$2.75 million over three years (2017-18 to 2019-20) for CATSINaM.</w:t>
      </w:r>
    </w:p>
    <w:p w:rsidR="00792F45" w:rsidRPr="00792F45" w:rsidRDefault="00792F45" w:rsidP="00792F45">
      <w:pPr>
        <w:spacing w:before="113" w:line="260" w:lineRule="atLeast"/>
        <w:rPr>
          <w:rFonts w:ascii="Calibri" w:eastAsia="Calibri" w:hAnsi="Calibri" w:cs="Times New Roman"/>
          <w:sz w:val="20"/>
          <w:szCs w:val="20"/>
        </w:rPr>
      </w:pPr>
    </w:p>
    <w:p w:rsidR="00792F45" w:rsidRPr="00792F45" w:rsidRDefault="00792F45" w:rsidP="003F188E">
      <w:pPr>
        <w:spacing w:before="113" w:line="260" w:lineRule="atLeast"/>
        <w:rPr>
          <w:rFonts w:ascii="Calibri" w:eastAsia="Calibri" w:hAnsi="Calibri" w:cs="Times New Roman"/>
          <w:sz w:val="20"/>
          <w:szCs w:val="20"/>
          <w:highlight w:val="yellow"/>
        </w:rPr>
        <w:sectPr w:rsidR="00792F45" w:rsidRPr="00792F45" w:rsidSect="00E8358C">
          <w:headerReference w:type="even" r:id="rId163"/>
          <w:headerReference w:type="default" r:id="rId164"/>
          <w:footerReference w:type="even" r:id="rId165"/>
          <w:footerReference w:type="default" r:id="rId166"/>
          <w:headerReference w:type="first" r:id="rId167"/>
          <w:footerReference w:type="first" r:id="rId168"/>
          <w:pgSz w:w="11906" w:h="16838"/>
          <w:pgMar w:top="1361" w:right="1797" w:bottom="1474" w:left="1797" w:header="283" w:footer="454" w:gutter="0"/>
          <w:cols w:space="708"/>
          <w:docGrid w:linePitch="360"/>
        </w:sectPr>
      </w:pPr>
    </w:p>
    <w:p w:rsidR="00792F45" w:rsidRPr="00792F45" w:rsidRDefault="00792F45" w:rsidP="007A4BF9">
      <w:pPr>
        <w:pStyle w:val="Heading6"/>
        <w:rPr>
          <w:rFonts w:eastAsia="Calibri"/>
        </w:rPr>
      </w:pPr>
      <w:r w:rsidRPr="00792F45">
        <w:rPr>
          <w:rFonts w:eastAsia="Calibri"/>
        </w:rPr>
        <w:lastRenderedPageBreak/>
        <w:t>Attachment B: Working to close the gap: Equitable and culturally safe health care—financial implications</w:t>
      </w:r>
    </w:p>
    <w:p w:rsidR="00792F45" w:rsidRPr="00792F45" w:rsidRDefault="00792F45" w:rsidP="00905B06">
      <w:pPr>
        <w:pStyle w:val="Caption"/>
      </w:pPr>
      <w:r w:rsidRPr="00792F45">
        <w:t>Table B1: Working to close the gap: Equitable and culturally safe health care—Financial implications (outturn prices)</w:t>
      </w:r>
      <w:r w:rsidRPr="00792F45">
        <w:rPr>
          <w:vertAlign w:val="superscript"/>
        </w:rPr>
        <w:t>(a)(b)</w:t>
      </w:r>
    </w:p>
    <w:tbl>
      <w:tblPr>
        <w:tblStyle w:val="TableGrid20"/>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792F45" w:rsidRPr="00792F45" w:rsidTr="0001508D">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792F45" w:rsidRPr="00792F45" w:rsidRDefault="00792F45" w:rsidP="00792F45">
            <w:pPr>
              <w:keepNext/>
              <w:keepLines/>
              <w:ind w:left="57" w:right="57"/>
              <w:rPr>
                <w:szCs w:val="20"/>
              </w:rPr>
            </w:pPr>
            <w:r w:rsidRPr="00792F45">
              <w:rPr>
                <w:szCs w:val="20"/>
              </w:rPr>
              <w:t>($m)</w:t>
            </w:r>
          </w:p>
        </w:tc>
        <w:tc>
          <w:tcPr>
            <w:tcW w:w="326"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2016–17</w:t>
            </w:r>
          </w:p>
        </w:tc>
        <w:tc>
          <w:tcPr>
            <w:tcW w:w="325"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2017–18</w:t>
            </w:r>
          </w:p>
        </w:tc>
        <w:tc>
          <w:tcPr>
            <w:tcW w:w="325"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2018–19</w:t>
            </w:r>
          </w:p>
        </w:tc>
        <w:tc>
          <w:tcPr>
            <w:tcW w:w="325"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2019–20</w:t>
            </w:r>
          </w:p>
        </w:tc>
        <w:tc>
          <w:tcPr>
            <w:tcW w:w="327"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Total to 2019–20</w:t>
            </w:r>
          </w:p>
        </w:tc>
        <w:tc>
          <w:tcPr>
            <w:tcW w:w="325"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2020–21</w:t>
            </w:r>
          </w:p>
        </w:tc>
        <w:tc>
          <w:tcPr>
            <w:tcW w:w="325"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2021–22</w:t>
            </w:r>
          </w:p>
        </w:tc>
        <w:tc>
          <w:tcPr>
            <w:tcW w:w="325"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2022–23</w:t>
            </w:r>
          </w:p>
        </w:tc>
        <w:tc>
          <w:tcPr>
            <w:tcW w:w="325"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2023–24</w:t>
            </w:r>
          </w:p>
        </w:tc>
        <w:tc>
          <w:tcPr>
            <w:tcW w:w="325"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2024–25</w:t>
            </w:r>
          </w:p>
        </w:tc>
        <w:tc>
          <w:tcPr>
            <w:tcW w:w="325"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2025–26</w:t>
            </w:r>
          </w:p>
        </w:tc>
        <w:tc>
          <w:tcPr>
            <w:tcW w:w="325"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92F45">
              <w:rPr>
                <w:rFonts w:ascii="Calibri" w:hAnsi="Calibri"/>
                <w:szCs w:val="20"/>
              </w:rPr>
              <w:t>2026–27</w:t>
            </w:r>
          </w:p>
        </w:tc>
        <w:tc>
          <w:tcPr>
            <w:tcW w:w="326" w:type="pct"/>
            <w:shd w:val="clear" w:color="auto" w:fill="D7DDE9"/>
          </w:tcPr>
          <w:p w:rsidR="00792F45" w:rsidRPr="00792F45" w:rsidRDefault="00792F45" w:rsidP="00792F45">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Total to 2026–27</w:t>
            </w:r>
          </w:p>
        </w:tc>
      </w:tr>
      <w:tr w:rsidR="00792F45" w:rsidRPr="00792F45" w:rsidTr="0001508D">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792F45" w:rsidRPr="00792F45" w:rsidRDefault="00792F45" w:rsidP="00792F45">
            <w:pPr>
              <w:keepNext/>
              <w:keepLines/>
              <w:ind w:left="57" w:right="57"/>
              <w:rPr>
                <w:b/>
                <w:szCs w:val="20"/>
              </w:rPr>
            </w:pPr>
            <w:r w:rsidRPr="00792F45">
              <w:rPr>
                <w:b/>
                <w:szCs w:val="20"/>
              </w:rPr>
              <w:t>Impact on fiscal and underlying cash balances</w:t>
            </w:r>
          </w:p>
        </w:tc>
      </w:tr>
      <w:tr w:rsidR="00792F45" w:rsidRPr="00792F45" w:rsidTr="0001508D">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792F45" w:rsidRPr="00792F45" w:rsidRDefault="00792F45" w:rsidP="00792F45">
            <w:pPr>
              <w:keepNext/>
              <w:keepLines/>
              <w:ind w:left="57" w:right="57"/>
              <w:rPr>
                <w:b/>
                <w:szCs w:val="20"/>
              </w:rPr>
            </w:pPr>
            <w:r w:rsidRPr="00792F45">
              <w:rPr>
                <w:b/>
                <w:szCs w:val="20"/>
              </w:rPr>
              <w:t>Blindness prevention and closing the gap in eye health</w:t>
            </w:r>
          </w:p>
        </w:tc>
      </w:tr>
      <w:tr w:rsidR="00792F45" w:rsidRPr="00792F45" w:rsidTr="0001508D">
        <w:trPr>
          <w:cantSplit/>
        </w:trPr>
        <w:tc>
          <w:tcPr>
            <w:cnfStyle w:val="001000000000" w:firstRow="0" w:lastRow="0" w:firstColumn="1" w:lastColumn="0" w:oddVBand="0" w:evenVBand="0" w:oddHBand="0" w:evenHBand="0" w:firstRowFirstColumn="0" w:firstRowLastColumn="0" w:lastRowFirstColumn="0" w:lastRowLastColumn="0"/>
            <w:tcW w:w="771" w:type="pct"/>
          </w:tcPr>
          <w:p w:rsidR="00792F45" w:rsidRPr="00792F45" w:rsidRDefault="00792F45" w:rsidP="00792F45">
            <w:pPr>
              <w:keepNext/>
              <w:keepLines/>
              <w:ind w:left="57" w:right="57"/>
              <w:rPr>
                <w:szCs w:val="20"/>
              </w:rPr>
            </w:pPr>
            <w:r w:rsidRPr="00792F45">
              <w:rPr>
                <w:szCs w:val="20"/>
              </w:rPr>
              <w:t>Administered</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-6.4</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-7.1</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-7.8</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-8.5</w:t>
            </w:r>
          </w:p>
        </w:tc>
        <w:tc>
          <w:tcPr>
            <w:tcW w:w="327"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-29.7</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-2.9</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-2.9</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-2.9</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-2.9</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-2.9</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-2.9</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-2.9</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-49.8</w:t>
            </w:r>
          </w:p>
        </w:tc>
      </w:tr>
      <w:tr w:rsidR="00792F45" w:rsidRPr="00792F45" w:rsidTr="0001508D">
        <w:trPr>
          <w:cantSplit/>
        </w:trPr>
        <w:tc>
          <w:tcPr>
            <w:cnfStyle w:val="001000000000" w:firstRow="0" w:lastRow="0" w:firstColumn="1" w:lastColumn="0" w:oddVBand="0" w:evenVBand="0" w:oddHBand="0" w:evenHBand="0" w:firstRowFirstColumn="0" w:firstRowLastColumn="0" w:lastRowFirstColumn="0" w:lastRowLastColumn="0"/>
            <w:tcW w:w="771" w:type="pct"/>
          </w:tcPr>
          <w:p w:rsidR="00792F45" w:rsidRPr="00792F45" w:rsidRDefault="00792F45" w:rsidP="00792F45">
            <w:pPr>
              <w:keepNext/>
              <w:keepLines/>
              <w:ind w:left="57" w:right="57"/>
              <w:rPr>
                <w:szCs w:val="20"/>
              </w:rPr>
            </w:pPr>
            <w:r w:rsidRPr="00792F45">
              <w:rPr>
                <w:szCs w:val="20"/>
              </w:rPr>
              <w:t>Departmental</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-3.1</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-3.1</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-3.1</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-3.2</w:t>
            </w:r>
          </w:p>
        </w:tc>
        <w:tc>
          <w:tcPr>
            <w:tcW w:w="327"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-12.6</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-0.1</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-0.1</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-0.1</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-0.1</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-0.1</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-0.1</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-0.1</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-12.9</w:t>
            </w:r>
          </w:p>
        </w:tc>
      </w:tr>
      <w:tr w:rsidR="00792F45" w:rsidRPr="00792F45" w:rsidTr="0001508D">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792F45" w:rsidRPr="00792F45" w:rsidRDefault="00792F45" w:rsidP="00792F45">
            <w:pPr>
              <w:keepNext/>
              <w:keepLines/>
              <w:ind w:left="57" w:right="57"/>
              <w:rPr>
                <w:b/>
                <w:szCs w:val="20"/>
              </w:rPr>
            </w:pPr>
            <w:r w:rsidRPr="00792F45">
              <w:rPr>
                <w:b/>
                <w:szCs w:val="20"/>
              </w:rPr>
              <w:t>Hearing health</w:t>
            </w:r>
          </w:p>
        </w:tc>
      </w:tr>
      <w:tr w:rsidR="00792F45" w:rsidRPr="00792F45" w:rsidTr="0001508D">
        <w:trPr>
          <w:cantSplit/>
        </w:trPr>
        <w:tc>
          <w:tcPr>
            <w:cnfStyle w:val="001000000000" w:firstRow="0" w:lastRow="0" w:firstColumn="1" w:lastColumn="0" w:oddVBand="0" w:evenVBand="0" w:oddHBand="0" w:evenHBand="0" w:firstRowFirstColumn="0" w:firstRowLastColumn="0" w:lastRowFirstColumn="0" w:lastRowLastColumn="0"/>
            <w:tcW w:w="771" w:type="pct"/>
          </w:tcPr>
          <w:p w:rsidR="00792F45" w:rsidRPr="00792F45" w:rsidRDefault="00792F45" w:rsidP="00792F45">
            <w:pPr>
              <w:keepNext/>
              <w:keepLines/>
              <w:ind w:left="57" w:right="57"/>
              <w:rPr>
                <w:szCs w:val="20"/>
              </w:rPr>
            </w:pPr>
            <w:r w:rsidRPr="00792F45">
              <w:rPr>
                <w:szCs w:val="20"/>
              </w:rPr>
              <w:t>Administered</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-9.8</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-35.2</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-33.6</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-19.3</w:t>
            </w:r>
          </w:p>
        </w:tc>
        <w:tc>
          <w:tcPr>
            <w:tcW w:w="327"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-97.9</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-19.3</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-19.3</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-19.4</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-19.4</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-19.4</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-19.4</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-19.4</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-233.6</w:t>
            </w:r>
          </w:p>
        </w:tc>
      </w:tr>
      <w:tr w:rsidR="00792F45" w:rsidRPr="00792F45" w:rsidTr="0001508D">
        <w:trPr>
          <w:cantSplit/>
        </w:trPr>
        <w:tc>
          <w:tcPr>
            <w:cnfStyle w:val="001000000000" w:firstRow="0" w:lastRow="0" w:firstColumn="1" w:lastColumn="0" w:oddVBand="0" w:evenVBand="0" w:oddHBand="0" w:evenHBand="0" w:firstRowFirstColumn="0" w:firstRowLastColumn="0" w:lastRowFirstColumn="0" w:lastRowLastColumn="0"/>
            <w:tcW w:w="771" w:type="pct"/>
          </w:tcPr>
          <w:p w:rsidR="00792F45" w:rsidRPr="00792F45" w:rsidRDefault="00792F45" w:rsidP="00792F45">
            <w:pPr>
              <w:keepNext/>
              <w:keepLines/>
              <w:ind w:left="57" w:right="57"/>
              <w:rPr>
                <w:szCs w:val="20"/>
              </w:rPr>
            </w:pPr>
            <w:r w:rsidRPr="00792F45">
              <w:rPr>
                <w:szCs w:val="20"/>
              </w:rPr>
              <w:t>Departmental</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-0.2</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-0.7</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-0.6</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-0.4</w:t>
            </w:r>
          </w:p>
        </w:tc>
        <w:tc>
          <w:tcPr>
            <w:tcW w:w="327"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-1.9</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-0.4</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-0.4</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-0.4</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-0.4</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-0.4</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-0.4</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-0.4</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-4.4</w:t>
            </w:r>
          </w:p>
        </w:tc>
      </w:tr>
      <w:tr w:rsidR="00792F45" w:rsidRPr="00792F45" w:rsidTr="0001508D">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792F45" w:rsidRPr="00792F45" w:rsidRDefault="00792F45" w:rsidP="00792F45">
            <w:pPr>
              <w:keepNext/>
              <w:keepLines/>
              <w:ind w:left="57" w:right="57"/>
              <w:rPr>
                <w:b/>
                <w:szCs w:val="20"/>
              </w:rPr>
            </w:pPr>
            <w:r w:rsidRPr="00792F45">
              <w:rPr>
                <w:b/>
                <w:szCs w:val="20"/>
              </w:rPr>
              <w:t>Kidney health</w:t>
            </w:r>
          </w:p>
        </w:tc>
      </w:tr>
      <w:tr w:rsidR="00792F45" w:rsidRPr="00792F45" w:rsidTr="0001508D">
        <w:trPr>
          <w:cantSplit/>
        </w:trPr>
        <w:tc>
          <w:tcPr>
            <w:cnfStyle w:val="001000000000" w:firstRow="0" w:lastRow="0" w:firstColumn="1" w:lastColumn="0" w:oddVBand="0" w:evenVBand="0" w:oddHBand="0" w:evenHBand="0" w:firstRowFirstColumn="0" w:firstRowLastColumn="0" w:lastRowFirstColumn="0" w:lastRowLastColumn="0"/>
            <w:tcW w:w="771" w:type="pct"/>
          </w:tcPr>
          <w:p w:rsidR="00792F45" w:rsidRPr="00792F45" w:rsidRDefault="00792F45" w:rsidP="00792F45">
            <w:pPr>
              <w:keepNext/>
              <w:keepLines/>
              <w:ind w:left="57" w:right="57"/>
              <w:rPr>
                <w:szCs w:val="20"/>
              </w:rPr>
            </w:pPr>
            <w:r w:rsidRPr="00792F45">
              <w:rPr>
                <w:szCs w:val="20"/>
              </w:rPr>
              <w:t>Administered</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-2.0</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-2.0</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-2.0</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-2.0</w:t>
            </w:r>
          </w:p>
        </w:tc>
        <w:tc>
          <w:tcPr>
            <w:tcW w:w="327"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-7.9</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-7.9</w:t>
            </w:r>
          </w:p>
        </w:tc>
      </w:tr>
      <w:tr w:rsidR="00792F45" w:rsidRPr="00792F45" w:rsidTr="0001508D">
        <w:trPr>
          <w:cantSplit/>
        </w:trPr>
        <w:tc>
          <w:tcPr>
            <w:cnfStyle w:val="001000000000" w:firstRow="0" w:lastRow="0" w:firstColumn="1" w:lastColumn="0" w:oddVBand="0" w:evenVBand="0" w:oddHBand="0" w:evenHBand="0" w:firstRowFirstColumn="0" w:firstRowLastColumn="0" w:lastRowFirstColumn="0" w:lastRowLastColumn="0"/>
            <w:tcW w:w="771" w:type="pct"/>
          </w:tcPr>
          <w:p w:rsidR="00792F45" w:rsidRPr="00792F45" w:rsidRDefault="00792F45" w:rsidP="00792F45">
            <w:pPr>
              <w:keepNext/>
              <w:keepLines/>
              <w:ind w:left="57" w:right="57"/>
              <w:rPr>
                <w:szCs w:val="20"/>
              </w:rPr>
            </w:pPr>
            <w:r w:rsidRPr="00792F45">
              <w:rPr>
                <w:szCs w:val="20"/>
              </w:rPr>
              <w:t>Departmental</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-1.0</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-1.0</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7"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-2.1</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-2.1</w:t>
            </w:r>
          </w:p>
        </w:tc>
      </w:tr>
      <w:tr w:rsidR="00792F45" w:rsidRPr="00792F45" w:rsidTr="0001508D">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792F45" w:rsidRPr="00792F45" w:rsidRDefault="00792F45" w:rsidP="00792F45">
            <w:pPr>
              <w:keepNext/>
              <w:keepLines/>
              <w:ind w:left="57" w:right="57"/>
              <w:rPr>
                <w:b/>
                <w:szCs w:val="20"/>
              </w:rPr>
            </w:pPr>
            <w:r w:rsidRPr="00792F45">
              <w:rPr>
                <w:b/>
                <w:szCs w:val="20"/>
              </w:rPr>
              <w:t>Aboriginal and Torres Strait Islander Nurses and Midwives</w:t>
            </w:r>
          </w:p>
        </w:tc>
      </w:tr>
      <w:tr w:rsidR="00792F45" w:rsidRPr="00792F45" w:rsidTr="0001508D">
        <w:trPr>
          <w:cantSplit/>
        </w:trPr>
        <w:tc>
          <w:tcPr>
            <w:cnfStyle w:val="001000000000" w:firstRow="0" w:lastRow="0" w:firstColumn="1" w:lastColumn="0" w:oddVBand="0" w:evenVBand="0" w:oddHBand="0" w:evenHBand="0" w:firstRowFirstColumn="0" w:firstRowLastColumn="0" w:lastRowFirstColumn="0" w:lastRowLastColumn="0"/>
            <w:tcW w:w="771" w:type="pct"/>
          </w:tcPr>
          <w:p w:rsidR="00792F45" w:rsidRPr="00792F45" w:rsidRDefault="00792F45" w:rsidP="00792F45">
            <w:pPr>
              <w:keepNext/>
              <w:keepLines/>
              <w:ind w:left="57" w:right="57"/>
              <w:rPr>
                <w:szCs w:val="20"/>
              </w:rPr>
            </w:pPr>
            <w:r w:rsidRPr="00792F45">
              <w:rPr>
                <w:szCs w:val="20"/>
              </w:rPr>
              <w:t>Administered</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-6.2</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-6.2</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-6.2</w:t>
            </w:r>
          </w:p>
        </w:tc>
        <w:tc>
          <w:tcPr>
            <w:tcW w:w="327"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-18.6</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-18.6</w:t>
            </w:r>
          </w:p>
        </w:tc>
      </w:tr>
      <w:tr w:rsidR="00792F45" w:rsidRPr="00792F45" w:rsidTr="0001508D">
        <w:trPr>
          <w:cantSplit/>
        </w:trPr>
        <w:tc>
          <w:tcPr>
            <w:cnfStyle w:val="001000000000" w:firstRow="0" w:lastRow="0" w:firstColumn="1" w:lastColumn="0" w:oddVBand="0" w:evenVBand="0" w:oddHBand="0" w:evenHBand="0" w:firstRowFirstColumn="0" w:firstRowLastColumn="0" w:lastRowFirstColumn="0" w:lastRowLastColumn="0"/>
            <w:tcW w:w="771" w:type="pct"/>
          </w:tcPr>
          <w:p w:rsidR="00792F45" w:rsidRPr="00792F45" w:rsidRDefault="00792F45" w:rsidP="00792F45">
            <w:pPr>
              <w:keepNext/>
              <w:keepLines/>
              <w:ind w:left="57" w:right="57"/>
              <w:rPr>
                <w:szCs w:val="20"/>
              </w:rPr>
            </w:pPr>
            <w:r w:rsidRPr="00792F45">
              <w:rPr>
                <w:szCs w:val="20"/>
              </w:rPr>
              <w:t>Departmental</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-2.3</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-1.3</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-1.3</w:t>
            </w:r>
          </w:p>
        </w:tc>
        <w:tc>
          <w:tcPr>
            <w:tcW w:w="327"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-5.0</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5"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92F45">
              <w:rPr>
                <w:rFonts w:ascii="Calibri" w:hAnsi="Calibri"/>
                <w:i/>
                <w:szCs w:val="20"/>
              </w:rPr>
              <w:t>-</w:t>
            </w:r>
          </w:p>
        </w:tc>
        <w:tc>
          <w:tcPr>
            <w:tcW w:w="326" w:type="pct"/>
          </w:tcPr>
          <w:p w:rsidR="00792F45" w:rsidRPr="00792F45" w:rsidRDefault="00792F45" w:rsidP="00792F45">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92F45">
              <w:rPr>
                <w:rFonts w:ascii="Calibri" w:hAnsi="Calibri"/>
                <w:b/>
                <w:i/>
                <w:szCs w:val="20"/>
              </w:rPr>
              <w:t>-5.0</w:t>
            </w:r>
          </w:p>
        </w:tc>
      </w:tr>
      <w:tr w:rsidR="00792F45" w:rsidRPr="00792F45" w:rsidTr="0001508D">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792F45" w:rsidRPr="00792F45" w:rsidRDefault="00792F45" w:rsidP="00B06EFC">
            <w:pPr>
              <w:ind w:left="57" w:right="57"/>
              <w:rPr>
                <w:b/>
                <w:szCs w:val="20"/>
              </w:rPr>
            </w:pPr>
            <w:r w:rsidRPr="00792F45">
              <w:rPr>
                <w:b/>
                <w:szCs w:val="20"/>
              </w:rPr>
              <w:t>Total</w:t>
            </w:r>
          </w:p>
        </w:tc>
        <w:tc>
          <w:tcPr>
            <w:tcW w:w="326"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-22.5</w:t>
            </w:r>
          </w:p>
        </w:tc>
        <w:tc>
          <w:tcPr>
            <w:tcW w:w="325"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-57.6</w:t>
            </w:r>
          </w:p>
        </w:tc>
        <w:tc>
          <w:tcPr>
            <w:tcW w:w="325"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-54.6</w:t>
            </w:r>
          </w:p>
        </w:tc>
        <w:tc>
          <w:tcPr>
            <w:tcW w:w="325"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-40.9</w:t>
            </w:r>
          </w:p>
        </w:tc>
        <w:tc>
          <w:tcPr>
            <w:tcW w:w="327"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-175.7</w:t>
            </w:r>
          </w:p>
        </w:tc>
        <w:tc>
          <w:tcPr>
            <w:tcW w:w="325"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-22.7</w:t>
            </w:r>
          </w:p>
        </w:tc>
        <w:tc>
          <w:tcPr>
            <w:tcW w:w="325"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-22.7</w:t>
            </w:r>
          </w:p>
        </w:tc>
        <w:tc>
          <w:tcPr>
            <w:tcW w:w="325"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-22.8</w:t>
            </w:r>
          </w:p>
        </w:tc>
        <w:tc>
          <w:tcPr>
            <w:tcW w:w="325"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-22.8</w:t>
            </w:r>
          </w:p>
        </w:tc>
        <w:tc>
          <w:tcPr>
            <w:tcW w:w="325"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-22.8</w:t>
            </w:r>
          </w:p>
        </w:tc>
        <w:tc>
          <w:tcPr>
            <w:tcW w:w="325"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-22.8</w:t>
            </w:r>
          </w:p>
        </w:tc>
        <w:tc>
          <w:tcPr>
            <w:tcW w:w="325"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-22.8</w:t>
            </w:r>
          </w:p>
        </w:tc>
        <w:tc>
          <w:tcPr>
            <w:tcW w:w="326" w:type="pct"/>
            <w:shd w:val="clear" w:color="auto" w:fill="D7DDE9"/>
          </w:tcPr>
          <w:p w:rsidR="00792F45" w:rsidRPr="00792F45" w:rsidRDefault="00792F45" w:rsidP="00B06EFC">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92F45">
              <w:rPr>
                <w:rFonts w:ascii="Calibri" w:hAnsi="Calibri"/>
                <w:b/>
                <w:szCs w:val="20"/>
              </w:rPr>
              <w:t>-334.3</w:t>
            </w:r>
          </w:p>
        </w:tc>
      </w:tr>
    </w:tbl>
    <w:p w:rsidR="003F188E" w:rsidRDefault="00792F45" w:rsidP="000B5C96">
      <w:pPr>
        <w:pStyle w:val="Footnotes"/>
        <w:keepNext/>
        <w:keepLines/>
        <w:numPr>
          <w:ilvl w:val="0"/>
          <w:numId w:val="69"/>
        </w:numPr>
        <w:ind w:left="284" w:hanging="284"/>
      </w:pPr>
      <w:r w:rsidRPr="003F188E">
        <w:lastRenderedPageBreak/>
        <w:t>A positive number indicates an increase in revenue or decrease in expenses or net capital investment in accrual and cash terms.  A negative number indicates a decrease in revenue or an increase in expenses or net capital investment in accrual and cash terms.</w:t>
      </w:r>
    </w:p>
    <w:p w:rsidR="00792F45" w:rsidRPr="003F188E" w:rsidRDefault="00792F45" w:rsidP="000B5C96">
      <w:pPr>
        <w:pStyle w:val="Footnotes"/>
        <w:keepNext/>
        <w:keepLines/>
        <w:numPr>
          <w:ilvl w:val="0"/>
          <w:numId w:val="69"/>
        </w:numPr>
        <w:ind w:left="284" w:hanging="284"/>
      </w:pPr>
      <w:r w:rsidRPr="003F188E">
        <w:t>Figures may not sum to totals due to rounding.</w:t>
      </w:r>
    </w:p>
    <w:p w:rsidR="00792F45" w:rsidRPr="00792F45" w:rsidRDefault="00792F45" w:rsidP="00B06EFC">
      <w:pPr>
        <w:pStyle w:val="Footnotes"/>
        <w:keepNext/>
        <w:keepLines/>
        <w:numPr>
          <w:ilvl w:val="0"/>
          <w:numId w:val="0"/>
        </w:numPr>
        <w:ind w:left="284" w:hanging="284"/>
      </w:pPr>
      <w:r w:rsidRPr="00792F45">
        <w:t>..</w:t>
      </w:r>
      <w:r w:rsidR="00B06EFC">
        <w:tab/>
      </w:r>
      <w:r w:rsidRPr="00792F45">
        <w:tab/>
        <w:t>Not zero but rounded to zero.</w:t>
      </w:r>
    </w:p>
    <w:p w:rsidR="00792F45" w:rsidRPr="00792F45" w:rsidRDefault="00792F45" w:rsidP="000B5C96">
      <w:pPr>
        <w:pStyle w:val="Footnotes"/>
        <w:numPr>
          <w:ilvl w:val="0"/>
          <w:numId w:val="33"/>
        </w:numPr>
        <w:ind w:left="284" w:hanging="284"/>
      </w:pPr>
      <w:r w:rsidRPr="00792F45">
        <w:tab/>
        <w:t>Indicates nil.</w:t>
      </w:r>
    </w:p>
    <w:p w:rsidR="003F188E" w:rsidRDefault="003F188E" w:rsidP="000B5C96">
      <w:pPr>
        <w:pStyle w:val="Footnotes"/>
        <w:numPr>
          <w:ilvl w:val="0"/>
          <w:numId w:val="69"/>
        </w:numPr>
        <w:sectPr w:rsidR="003F188E" w:rsidSect="00A97AC4">
          <w:headerReference w:type="even" r:id="rId169"/>
          <w:headerReference w:type="default" r:id="rId170"/>
          <w:footerReference w:type="even" r:id="rId171"/>
          <w:footerReference w:type="default" r:id="rId172"/>
          <w:pgSz w:w="16839" w:h="11907" w:orient="landscape" w:code="9"/>
          <w:pgMar w:top="1361" w:right="1797" w:bottom="1474" w:left="1797" w:header="283" w:footer="454" w:gutter="0"/>
          <w:cols w:space="708"/>
          <w:docGrid w:linePitch="360"/>
        </w:sectPr>
      </w:pPr>
    </w:p>
    <w:p w:rsidR="00E06EB4" w:rsidRPr="00E06EB4" w:rsidRDefault="00E06EB4" w:rsidP="007A4BF9">
      <w:pPr>
        <w:pStyle w:val="Heading5"/>
      </w:pPr>
      <w:bookmarkStart w:id="66" w:name="_Toc455655071"/>
      <w:bookmarkStart w:id="67" w:name="_Toc456766800"/>
      <w:bookmarkStart w:id="68" w:name="_Toc457819894"/>
      <w:bookmarkStart w:id="69" w:name="_Toc458015784"/>
      <w:bookmarkStart w:id="70" w:name="_Toc458090623"/>
      <w:r w:rsidRPr="00E06EB4">
        <w:lastRenderedPageBreak/>
        <w:t>GRN017: Accelerating the Electric Vehicle Revolution</w:t>
      </w:r>
      <w:bookmarkEnd w:id="66"/>
      <w:bookmarkEnd w:id="67"/>
      <w:bookmarkEnd w:id="68"/>
      <w:bookmarkEnd w:id="69"/>
      <w:bookmarkEnd w:id="70"/>
    </w:p>
    <w:p w:rsidR="00792F45" w:rsidRDefault="00E06EB4" w:rsidP="007A4BF9">
      <w:pPr>
        <w:pStyle w:val="BodyText"/>
        <w:rPr>
          <w:rFonts w:ascii="Calibri" w:eastAsia="Calibri" w:hAnsi="Calibri"/>
        </w:rPr>
      </w:pPr>
      <w:r>
        <w:rPr>
          <w:noProof/>
          <w:lang w:eastAsia="en-AU"/>
        </w:rPr>
        <w:drawing>
          <wp:inline distT="0" distB="0" distL="0" distR="0" wp14:anchorId="5B4B6405" wp14:editId="76490508">
            <wp:extent cx="2696845" cy="572135"/>
            <wp:effectExtent l="0" t="0" r="8255" b="0"/>
            <wp:docPr id="451" name="Picture 45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E06EB4" w:rsidRPr="00E06EB4" w:rsidRDefault="00E06EB4" w:rsidP="007A4BF9">
      <w:pPr>
        <w:pStyle w:val="Heading6"/>
        <w:rPr>
          <w:rFonts w:eastAsia="Calibri"/>
        </w:rPr>
      </w:pPr>
      <w:r w:rsidRPr="00E06EB4">
        <w:rPr>
          <w:rFonts w:eastAsia="Calibri"/>
        </w:rPr>
        <w:t>Policy costing—during the caretaker period for the 2016 general election</w:t>
      </w:r>
    </w:p>
    <w:tbl>
      <w:tblPr>
        <w:tblStyle w:val="TableGrid21"/>
        <w:tblW w:w="8340" w:type="dxa"/>
        <w:tblLayout w:type="fixed"/>
        <w:tblCellMar>
          <w:left w:w="108" w:type="dxa"/>
          <w:right w:w="108" w:type="dxa"/>
        </w:tblCellMar>
        <w:tblLook w:val="04A0" w:firstRow="1" w:lastRow="0" w:firstColumn="1" w:lastColumn="0" w:noHBand="0" w:noVBand="1"/>
      </w:tblPr>
      <w:tblGrid>
        <w:gridCol w:w="3005"/>
        <w:gridCol w:w="5335"/>
      </w:tblGrid>
      <w:tr w:rsidR="00E06EB4" w:rsidRPr="00AF49FE" w:rsidTr="007A24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E06EB4" w:rsidRPr="00AF49FE" w:rsidRDefault="00E06EB4" w:rsidP="00AF49FE">
            <w:pPr>
              <w:pStyle w:val="PullOutBoxHeading"/>
              <w:rPr>
                <w:b/>
              </w:rPr>
            </w:pPr>
            <w:r w:rsidRPr="00AF49FE">
              <w:rPr>
                <w:b/>
              </w:rPr>
              <w:t>Name of proposal:</w:t>
            </w:r>
          </w:p>
        </w:tc>
        <w:tc>
          <w:tcPr>
            <w:tcW w:w="5335" w:type="dxa"/>
          </w:tcPr>
          <w:p w:rsidR="00E06EB4" w:rsidRPr="00AF49FE" w:rsidRDefault="00E06EB4" w:rsidP="00AF49FE">
            <w:pPr>
              <w:pStyle w:val="PullOutBoxHeading"/>
              <w:cnfStyle w:val="100000000000" w:firstRow="1" w:lastRow="0" w:firstColumn="0" w:lastColumn="0" w:oddVBand="0" w:evenVBand="0" w:oddHBand="0" w:evenHBand="0" w:firstRowFirstColumn="0" w:firstRowLastColumn="0" w:lastRowFirstColumn="0" w:lastRowLastColumn="0"/>
              <w:rPr>
                <w:b/>
              </w:rPr>
            </w:pPr>
            <w:r w:rsidRPr="00AF49FE">
              <w:rPr>
                <w:b/>
              </w:rPr>
              <w:t>Accelerating the Electric Vehicle Revolution</w:t>
            </w:r>
          </w:p>
        </w:tc>
      </w:tr>
      <w:tr w:rsidR="00E06EB4" w:rsidRPr="00E06EB4" w:rsidTr="007A2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E06EB4" w:rsidRPr="00E06EB4" w:rsidRDefault="00E06EB4" w:rsidP="00635389">
            <w:pPr>
              <w:pStyle w:val="PullOutBoxBodyText"/>
            </w:pPr>
            <w:r w:rsidRPr="00E06EB4">
              <w:t>Summary of proposal:</w:t>
            </w:r>
          </w:p>
        </w:tc>
        <w:tc>
          <w:tcPr>
            <w:tcW w:w="5335" w:type="dxa"/>
          </w:tcPr>
          <w:p w:rsidR="00E06EB4" w:rsidRPr="00E06EB4" w:rsidRDefault="00E06EB4" w:rsidP="00635389">
            <w:pPr>
              <w:pStyle w:val="PullOutBoxBodyText"/>
              <w:cnfStyle w:val="000000100000" w:firstRow="0" w:lastRow="0" w:firstColumn="0" w:lastColumn="0" w:oddVBand="0" w:evenVBand="0" w:oddHBand="1" w:evenHBand="0" w:firstRowFirstColumn="0" w:firstRowLastColumn="0" w:lastRowFirstColumn="0" w:lastRowLastColumn="0"/>
            </w:pPr>
            <w:r w:rsidRPr="00E06EB4">
              <w:t>The proposal has two components:</w:t>
            </w:r>
          </w:p>
          <w:p w:rsidR="00E06EB4" w:rsidRPr="00E06EB4" w:rsidRDefault="00E06EB4" w:rsidP="00635389">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E06EB4">
              <w:rPr>
                <w:u w:val="single"/>
              </w:rPr>
              <w:t>Component 1: Free electric vehicle registration</w:t>
            </w:r>
          </w:p>
          <w:p w:rsidR="00E06EB4" w:rsidRPr="00E06EB4" w:rsidRDefault="00E06EB4" w:rsidP="00635389">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E06EB4">
              <w:rPr>
                <w:rFonts w:eastAsia="Palatino Linotype"/>
              </w:rPr>
              <w:t>This component would pay state registration fees for five years when someone purchases a new electric vehicle</w:t>
            </w:r>
            <w:r w:rsidRPr="00E06EB4">
              <w:t xml:space="preserve"> </w:t>
            </w:r>
            <w:r w:rsidRPr="00E06EB4">
              <w:rPr>
                <w:rFonts w:eastAsia="Palatino Linotype"/>
              </w:rPr>
              <w:t>and all new electric vehicles purchased prior to 30 June 2021 would be eligible for access to the scheme.</w:t>
            </w:r>
            <w:r w:rsidRPr="00E06EB4">
              <w:rPr>
                <w:u w:val="single"/>
              </w:rPr>
              <w:t xml:space="preserve"> </w:t>
            </w:r>
          </w:p>
          <w:p w:rsidR="00E06EB4" w:rsidRPr="00E06EB4" w:rsidRDefault="00E06EB4" w:rsidP="00635389">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E06EB4">
              <w:rPr>
                <w:u w:val="single"/>
              </w:rPr>
              <w:t>Component 2: Building electric vehicle charging infrastructure</w:t>
            </w:r>
          </w:p>
          <w:p w:rsidR="00E06EB4" w:rsidRPr="00E06EB4" w:rsidRDefault="00E06EB4" w:rsidP="00635389">
            <w:pPr>
              <w:pStyle w:val="PullOutBoxBodyText"/>
              <w:cnfStyle w:val="000000100000" w:firstRow="0" w:lastRow="0" w:firstColumn="0" w:lastColumn="0" w:oddVBand="0" w:evenVBand="0" w:oddHBand="1" w:evenHBand="0" w:firstRowFirstColumn="0" w:firstRowLastColumn="0" w:lastRowFirstColumn="0" w:lastRowLastColumn="0"/>
              <w:rPr>
                <w:rFonts w:eastAsia="Palatino Linotype"/>
                <w:b/>
              </w:rPr>
            </w:pPr>
            <w:r w:rsidRPr="00E06EB4">
              <w:rPr>
                <w:rFonts w:eastAsia="Palatino Linotype"/>
              </w:rPr>
              <w:t>This component would provide:</w:t>
            </w:r>
          </w:p>
          <w:p w:rsidR="00E06EB4" w:rsidRPr="00E06EB4" w:rsidRDefault="00E06EB4" w:rsidP="00635389">
            <w:pPr>
              <w:pStyle w:val="PullOutBoxBullet"/>
              <w:cnfStyle w:val="000000100000" w:firstRow="0" w:lastRow="0" w:firstColumn="0" w:lastColumn="0" w:oddVBand="0" w:evenVBand="0" w:oddHBand="1" w:evenHBand="0" w:firstRowFirstColumn="0" w:firstRowLastColumn="0" w:lastRowFirstColumn="0" w:lastRowLastColumn="0"/>
              <w:rPr>
                <w:rFonts w:eastAsia="Palatino Linotype"/>
              </w:rPr>
            </w:pPr>
            <w:r w:rsidRPr="00E06EB4">
              <w:rPr>
                <w:rFonts w:eastAsia="Palatino Linotype"/>
              </w:rPr>
              <w:t xml:space="preserve">a $150 million grants program over the </w:t>
            </w:r>
            <w:r w:rsidRPr="00E06EB4">
              <w:t>2016</w:t>
            </w:r>
            <w:r w:rsidRPr="00E06EB4">
              <w:noBreakHyphen/>
              <w:t>17 Budget forward estimates period</w:t>
            </w:r>
            <w:r w:rsidRPr="00E06EB4">
              <w:rPr>
                <w:rFonts w:eastAsia="Palatino Linotype"/>
              </w:rPr>
              <w:t xml:space="preserve"> for the installation of electric vehicle  charging infrastructure for local governments (pools, sporting ovals, parks, libraries, council buildings), private companies managing publicly accessible parking (shopping centres) and state governments for public car parks (railway car parks).  This program will subsidise the purchase and installation costs for a fast charge roadside station, up to a cap of $45,000 per station.</w:t>
            </w:r>
          </w:p>
          <w:p w:rsidR="00E06EB4" w:rsidRPr="00E06EB4" w:rsidRDefault="00E06EB4" w:rsidP="00635389">
            <w:pPr>
              <w:pStyle w:val="PullOutBoxBullet"/>
              <w:cnfStyle w:val="000000100000" w:firstRow="0" w:lastRow="0" w:firstColumn="0" w:lastColumn="0" w:oddVBand="0" w:evenVBand="0" w:oddHBand="1" w:evenHBand="0" w:firstRowFirstColumn="0" w:firstRowLastColumn="0" w:lastRowFirstColumn="0" w:lastRowLastColumn="0"/>
              <w:rPr>
                <w:b/>
              </w:rPr>
            </w:pPr>
            <w:r w:rsidRPr="00E06EB4">
              <w:rPr>
                <w:rFonts w:eastAsia="Palatino Linotype"/>
              </w:rPr>
              <w:t xml:space="preserve">a $50 million grants program over the 2016-17 Budget forward estimates period for a non-government organisation (NGO) fleet ‘gap’ subsidy (eg home care nurses, Red Cross) to upgrade their passenger vehicle fleet to electric cars.  </w:t>
            </w:r>
          </w:p>
          <w:p w:rsidR="00E06EB4" w:rsidRPr="00E06EB4" w:rsidRDefault="00E06EB4" w:rsidP="00635389">
            <w:pPr>
              <w:pStyle w:val="PullOutBoxBodyText"/>
              <w:cnfStyle w:val="000000100000" w:firstRow="0" w:lastRow="0" w:firstColumn="0" w:lastColumn="0" w:oddVBand="0" w:evenVBand="0" w:oddHBand="1" w:evenHBand="0" w:firstRowFirstColumn="0" w:firstRowLastColumn="0" w:lastRowFirstColumn="0" w:lastRowLastColumn="0"/>
              <w:rPr>
                <w:rFonts w:eastAsia="Palatino Linotype"/>
                <w:b/>
              </w:rPr>
            </w:pPr>
            <w:r w:rsidRPr="00E06EB4">
              <w:rPr>
                <w:rFonts w:eastAsia="Palatino Linotype"/>
              </w:rPr>
              <w:t>Departmental expenses for this proposal would be additional to the capped funding amounts.</w:t>
            </w:r>
          </w:p>
          <w:p w:rsidR="00E06EB4" w:rsidRPr="00E06EB4" w:rsidRDefault="00E06EB4" w:rsidP="00635389">
            <w:pPr>
              <w:pStyle w:val="PullOutBoxBodyText"/>
              <w:cnfStyle w:val="000000100000" w:firstRow="0" w:lastRow="0" w:firstColumn="0" w:lastColumn="0" w:oddVBand="0" w:evenVBand="0" w:oddHBand="1" w:evenHBand="0" w:firstRowFirstColumn="0" w:firstRowLastColumn="0" w:lastRowFirstColumn="0" w:lastRowLastColumn="0"/>
            </w:pPr>
            <w:r w:rsidRPr="00E06EB4">
              <w:rPr>
                <w:rFonts w:eastAsia="Palatino Linotype"/>
              </w:rPr>
              <w:t>This proposal would commence on 1 January 2017.</w:t>
            </w:r>
          </w:p>
        </w:tc>
      </w:tr>
      <w:tr w:rsidR="00E06EB4" w:rsidRPr="00E06EB4" w:rsidTr="007A24E1">
        <w:tc>
          <w:tcPr>
            <w:cnfStyle w:val="001000000000" w:firstRow="0" w:lastRow="0" w:firstColumn="1" w:lastColumn="0" w:oddVBand="0" w:evenVBand="0" w:oddHBand="0" w:evenHBand="0" w:firstRowFirstColumn="0" w:firstRowLastColumn="0" w:lastRowFirstColumn="0" w:lastRowLastColumn="0"/>
            <w:tcW w:w="3005" w:type="dxa"/>
          </w:tcPr>
          <w:p w:rsidR="00E06EB4" w:rsidRPr="00E06EB4" w:rsidRDefault="00E06EB4" w:rsidP="00635389">
            <w:pPr>
              <w:pStyle w:val="PullOutBoxBodyText"/>
            </w:pPr>
            <w:r w:rsidRPr="00E06EB4">
              <w:t>Person/party requesting costing:</w:t>
            </w:r>
          </w:p>
        </w:tc>
        <w:tc>
          <w:tcPr>
            <w:tcW w:w="5335" w:type="dxa"/>
          </w:tcPr>
          <w:p w:rsidR="00E06EB4" w:rsidRPr="00E06EB4" w:rsidRDefault="00E06EB4" w:rsidP="00635389">
            <w:pPr>
              <w:pStyle w:val="PullOutBoxBodyText"/>
              <w:cnfStyle w:val="000000000000" w:firstRow="0" w:lastRow="0" w:firstColumn="0" w:lastColumn="0" w:oddVBand="0" w:evenVBand="0" w:oddHBand="0" w:evenHBand="0" w:firstRowFirstColumn="0" w:firstRowLastColumn="0" w:lastRowFirstColumn="0" w:lastRowLastColumn="0"/>
            </w:pPr>
            <w:r w:rsidRPr="00E06EB4">
              <w:t>Senator Richard Di Natale, Australian Greens</w:t>
            </w:r>
          </w:p>
        </w:tc>
      </w:tr>
      <w:tr w:rsidR="00E06EB4" w:rsidRPr="00E06EB4" w:rsidTr="007A2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E06EB4" w:rsidRPr="00E06EB4" w:rsidRDefault="00E06EB4" w:rsidP="00635389">
            <w:pPr>
              <w:pStyle w:val="PullOutBoxBodyText"/>
            </w:pPr>
            <w:r w:rsidRPr="00E06EB4">
              <w:t>Date of public release of policy:</w:t>
            </w:r>
          </w:p>
        </w:tc>
        <w:tc>
          <w:tcPr>
            <w:tcW w:w="5335" w:type="dxa"/>
          </w:tcPr>
          <w:p w:rsidR="00E06EB4" w:rsidRPr="00E06EB4" w:rsidRDefault="00E06EB4" w:rsidP="00635389">
            <w:pPr>
              <w:pStyle w:val="PullOutBoxBodyText"/>
              <w:cnfStyle w:val="000000100000" w:firstRow="0" w:lastRow="0" w:firstColumn="0" w:lastColumn="0" w:oddVBand="0" w:evenVBand="0" w:oddHBand="1" w:evenHBand="0" w:firstRowFirstColumn="0" w:firstRowLastColumn="0" w:lastRowFirstColumn="0" w:lastRowLastColumn="0"/>
            </w:pPr>
            <w:r w:rsidRPr="00E06EB4">
              <w:t>18 May 2016</w:t>
            </w:r>
          </w:p>
        </w:tc>
      </w:tr>
      <w:tr w:rsidR="00E06EB4" w:rsidRPr="00E06EB4" w:rsidTr="007A24E1">
        <w:tc>
          <w:tcPr>
            <w:cnfStyle w:val="001000000000" w:firstRow="0" w:lastRow="0" w:firstColumn="1" w:lastColumn="0" w:oddVBand="0" w:evenVBand="0" w:oddHBand="0" w:evenHBand="0" w:firstRowFirstColumn="0" w:firstRowLastColumn="0" w:lastRowFirstColumn="0" w:lastRowLastColumn="0"/>
            <w:tcW w:w="3005" w:type="dxa"/>
          </w:tcPr>
          <w:p w:rsidR="00E06EB4" w:rsidRPr="00E06EB4" w:rsidRDefault="00E06EB4" w:rsidP="00635389">
            <w:pPr>
              <w:pStyle w:val="PullOutBoxBodyText"/>
            </w:pPr>
            <w:r w:rsidRPr="00E06EB4">
              <w:lastRenderedPageBreak/>
              <w:t>Date costing request received:</w:t>
            </w:r>
          </w:p>
        </w:tc>
        <w:tc>
          <w:tcPr>
            <w:tcW w:w="5335" w:type="dxa"/>
          </w:tcPr>
          <w:p w:rsidR="00E06EB4" w:rsidRPr="00E06EB4" w:rsidRDefault="00E06EB4" w:rsidP="00635389">
            <w:pPr>
              <w:pStyle w:val="PullOutBoxBodyText"/>
              <w:cnfStyle w:val="000000000000" w:firstRow="0" w:lastRow="0" w:firstColumn="0" w:lastColumn="0" w:oddVBand="0" w:evenVBand="0" w:oddHBand="0" w:evenHBand="0" w:firstRowFirstColumn="0" w:firstRowLastColumn="0" w:lastRowFirstColumn="0" w:lastRowLastColumn="0"/>
            </w:pPr>
            <w:r w:rsidRPr="00E06EB4">
              <w:t>24 June 2016</w:t>
            </w:r>
          </w:p>
        </w:tc>
      </w:tr>
      <w:tr w:rsidR="00E06EB4" w:rsidRPr="00E06EB4" w:rsidTr="007A2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E06EB4" w:rsidRPr="00E06EB4" w:rsidRDefault="00E06EB4" w:rsidP="00635389">
            <w:pPr>
              <w:pStyle w:val="PullOutBoxBodyText"/>
            </w:pPr>
            <w:r w:rsidRPr="00E06EB4">
              <w:t>Date costing completed</w:t>
            </w:r>
          </w:p>
        </w:tc>
        <w:tc>
          <w:tcPr>
            <w:tcW w:w="5335" w:type="dxa"/>
          </w:tcPr>
          <w:p w:rsidR="00E06EB4" w:rsidRPr="00E06EB4" w:rsidRDefault="00E06EB4" w:rsidP="00635389">
            <w:pPr>
              <w:pStyle w:val="PullOutBoxBodyText"/>
              <w:cnfStyle w:val="000000100000" w:firstRow="0" w:lastRow="0" w:firstColumn="0" w:lastColumn="0" w:oddVBand="0" w:evenVBand="0" w:oddHBand="1" w:evenHBand="0" w:firstRowFirstColumn="0" w:firstRowLastColumn="0" w:lastRowFirstColumn="0" w:lastRowLastColumn="0"/>
            </w:pPr>
            <w:r w:rsidRPr="00E06EB4">
              <w:t>25 June 2016</w:t>
            </w:r>
          </w:p>
        </w:tc>
      </w:tr>
      <w:tr w:rsidR="00E06EB4" w:rsidRPr="00E06EB4" w:rsidTr="007A24E1">
        <w:tc>
          <w:tcPr>
            <w:cnfStyle w:val="001000000000" w:firstRow="0" w:lastRow="0" w:firstColumn="1" w:lastColumn="0" w:oddVBand="0" w:evenVBand="0" w:oddHBand="0" w:evenHBand="0" w:firstRowFirstColumn="0" w:firstRowLastColumn="0" w:lastRowFirstColumn="0" w:lastRowLastColumn="0"/>
            <w:tcW w:w="3005" w:type="dxa"/>
          </w:tcPr>
          <w:p w:rsidR="00E06EB4" w:rsidRPr="00E06EB4" w:rsidRDefault="00E06EB4" w:rsidP="00635389">
            <w:pPr>
              <w:pStyle w:val="PullOutBoxBodyText"/>
            </w:pPr>
            <w:r w:rsidRPr="00E06EB4">
              <w:t>Expiry date for the costing:</w:t>
            </w:r>
          </w:p>
        </w:tc>
        <w:tc>
          <w:tcPr>
            <w:tcW w:w="5335" w:type="dxa"/>
          </w:tcPr>
          <w:p w:rsidR="00E06EB4" w:rsidRPr="00E06EB4" w:rsidRDefault="00E06EB4" w:rsidP="00635389">
            <w:pPr>
              <w:pStyle w:val="PullOutBoxBodyText"/>
              <w:cnfStyle w:val="000000000000" w:firstRow="0" w:lastRow="0" w:firstColumn="0" w:lastColumn="0" w:oddVBand="0" w:evenVBand="0" w:oddHBand="0" w:evenHBand="0" w:firstRowFirstColumn="0" w:firstRowLastColumn="0" w:lastRowFirstColumn="0" w:lastRowLastColumn="0"/>
            </w:pPr>
            <w:r w:rsidRPr="00E06EB4">
              <w:t>Release of the next economic and fiscal outlook report</w:t>
            </w:r>
          </w:p>
        </w:tc>
      </w:tr>
    </w:tbl>
    <w:p w:rsidR="00E06EB4" w:rsidRPr="00905B06" w:rsidRDefault="00E06EB4" w:rsidP="00905B06">
      <w:pPr>
        <w:pStyle w:val="CostingsH7"/>
      </w:pPr>
      <w:r w:rsidRPr="00905B06">
        <w:t>Costing overview</w:t>
      </w:r>
    </w:p>
    <w:p w:rsidR="00E06EB4" w:rsidRPr="00E06EB4" w:rsidRDefault="00E06EB4" w:rsidP="00C11265">
      <w:pPr>
        <w:pStyle w:val="BodyText"/>
      </w:pPr>
      <w:r w:rsidRPr="00E06EB4">
        <w:t xml:space="preserve">This proposal would be expected to decrease the fiscal balance by $216.0 million and the underlying cash balance by $214.4 million over the 2016-17 Budget forward estimates period.  In fiscal balance terms, this reflects an increase in administered expenses of $213.4 million and departmental expenses of $2.6 million.  </w:t>
      </w:r>
    </w:p>
    <w:p w:rsidR="00E06EB4" w:rsidRPr="00E06EB4" w:rsidRDefault="00E06EB4" w:rsidP="00C11265">
      <w:pPr>
        <w:pStyle w:val="BodyText"/>
      </w:pPr>
      <w:r w:rsidRPr="00E06EB4">
        <w:t xml:space="preserve">This proposal would have an impact beyond the 2016-17 Budget forward estimates.  A breakdown of the financial impacts over the period 2016-17 to 2026-27 and by component has been provided at </w:t>
      </w:r>
      <w:r w:rsidRPr="00E06EB4">
        <w:rPr>
          <w:u w:val="single"/>
        </w:rPr>
        <w:t>Attachment A</w:t>
      </w:r>
      <w:r w:rsidRPr="00E06EB4">
        <w:t>.</w:t>
      </w:r>
    </w:p>
    <w:p w:rsidR="00E06EB4" w:rsidRPr="00E06EB4" w:rsidRDefault="00E06EB4" w:rsidP="00C11265">
      <w:pPr>
        <w:pStyle w:val="BodyText"/>
      </w:pPr>
      <w:r w:rsidRPr="00E06EB4">
        <w:t>This proposal has a different impact on the fiscal and underlying cash balances due to a lag between when electric vehicles are registered and when state and territory governments would lodge claims for payments from the Commonwealth Government.</w:t>
      </w:r>
    </w:p>
    <w:p w:rsidR="00E06EB4" w:rsidRPr="00E06EB4" w:rsidRDefault="00E06EB4" w:rsidP="00C11265">
      <w:pPr>
        <w:pStyle w:val="BodyText"/>
      </w:pPr>
      <w:r w:rsidRPr="00E06EB4">
        <w:t>The costing is considered to be of high reliability.  The administered expenses estimates for the proposal are as specified in the request and the departmental costs are based on similar programs.</w:t>
      </w:r>
    </w:p>
    <w:p w:rsidR="00E06EB4" w:rsidRPr="00E06EB4" w:rsidRDefault="00E06EB4" w:rsidP="00905B06">
      <w:pPr>
        <w:pStyle w:val="Caption"/>
      </w:pPr>
      <w:r w:rsidRPr="00E06EB4">
        <w:t>Table 1: Financial implications (outturn prices)</w:t>
      </w:r>
      <w:r w:rsidRPr="00E06EB4">
        <w:rPr>
          <w:vertAlign w:val="superscript"/>
        </w:rPr>
        <w:t>(a)(b)</w:t>
      </w:r>
    </w:p>
    <w:tbl>
      <w:tblPr>
        <w:tblStyle w:val="TableGrid21"/>
        <w:tblW w:w="4993" w:type="pct"/>
        <w:tblLook w:val="04A0" w:firstRow="1" w:lastRow="0" w:firstColumn="1" w:lastColumn="0" w:noHBand="0" w:noVBand="1"/>
      </w:tblPr>
      <w:tblGrid>
        <w:gridCol w:w="2645"/>
        <w:gridCol w:w="1134"/>
        <w:gridCol w:w="1133"/>
        <w:gridCol w:w="1133"/>
        <w:gridCol w:w="1133"/>
        <w:gridCol w:w="1132"/>
      </w:tblGrid>
      <w:tr w:rsidR="00E06EB4" w:rsidRPr="00E06EB4" w:rsidTr="007A24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E06EB4" w:rsidRPr="00E06EB4" w:rsidRDefault="00E06EB4" w:rsidP="00E06EB4">
            <w:pPr>
              <w:keepNext/>
              <w:keepLines/>
              <w:spacing w:line="240" w:lineRule="auto"/>
              <w:ind w:left="57" w:right="57"/>
              <w:rPr>
                <w:sz w:val="20"/>
                <w:szCs w:val="20"/>
              </w:rPr>
            </w:pPr>
            <w:r w:rsidRPr="00E06EB4">
              <w:rPr>
                <w:sz w:val="20"/>
                <w:szCs w:val="20"/>
              </w:rPr>
              <w:t>Impact on ($m)</w:t>
            </w:r>
          </w:p>
        </w:tc>
        <w:tc>
          <w:tcPr>
            <w:tcW w:w="682" w:type="pct"/>
          </w:tcPr>
          <w:p w:rsidR="00E06EB4" w:rsidRPr="00E06EB4" w:rsidRDefault="00E06EB4" w:rsidP="00E06EB4">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06EB4">
              <w:rPr>
                <w:sz w:val="20"/>
                <w:szCs w:val="20"/>
              </w:rPr>
              <w:t>2016–17</w:t>
            </w:r>
          </w:p>
        </w:tc>
        <w:tc>
          <w:tcPr>
            <w:tcW w:w="682" w:type="pct"/>
          </w:tcPr>
          <w:p w:rsidR="00E06EB4" w:rsidRPr="00E06EB4" w:rsidRDefault="00E06EB4" w:rsidP="00E06EB4">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06EB4">
              <w:rPr>
                <w:sz w:val="20"/>
                <w:szCs w:val="20"/>
              </w:rPr>
              <w:t>2017–18</w:t>
            </w:r>
          </w:p>
        </w:tc>
        <w:tc>
          <w:tcPr>
            <w:tcW w:w="682" w:type="pct"/>
          </w:tcPr>
          <w:p w:rsidR="00E06EB4" w:rsidRPr="00E06EB4" w:rsidRDefault="00E06EB4" w:rsidP="00E06EB4">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06EB4">
              <w:rPr>
                <w:sz w:val="20"/>
                <w:szCs w:val="20"/>
              </w:rPr>
              <w:t>2018–19</w:t>
            </w:r>
          </w:p>
        </w:tc>
        <w:tc>
          <w:tcPr>
            <w:tcW w:w="682" w:type="pct"/>
          </w:tcPr>
          <w:p w:rsidR="00E06EB4" w:rsidRPr="00E06EB4" w:rsidRDefault="00E06EB4" w:rsidP="00E06EB4">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06EB4">
              <w:rPr>
                <w:sz w:val="20"/>
                <w:szCs w:val="20"/>
              </w:rPr>
              <w:t>2019–20</w:t>
            </w:r>
          </w:p>
        </w:tc>
        <w:tc>
          <w:tcPr>
            <w:tcW w:w="681" w:type="pct"/>
          </w:tcPr>
          <w:p w:rsidR="00E06EB4" w:rsidRPr="00E06EB4" w:rsidRDefault="00E06EB4" w:rsidP="00E06EB4">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06EB4">
              <w:rPr>
                <w:sz w:val="20"/>
                <w:szCs w:val="20"/>
              </w:rPr>
              <w:t>Total</w:t>
            </w:r>
          </w:p>
        </w:tc>
      </w:tr>
      <w:tr w:rsidR="00E06EB4" w:rsidRPr="00E06EB4" w:rsidTr="007A2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E06EB4" w:rsidRPr="00E06EB4" w:rsidRDefault="00E06EB4" w:rsidP="00E06EB4">
            <w:pPr>
              <w:keepNext/>
              <w:keepLines/>
              <w:spacing w:line="240" w:lineRule="auto"/>
              <w:ind w:left="57" w:right="57"/>
              <w:rPr>
                <w:rFonts w:ascii="Calibri" w:hAnsi="Calibri"/>
                <w:sz w:val="20"/>
                <w:szCs w:val="20"/>
              </w:rPr>
            </w:pPr>
            <w:r w:rsidRPr="00E06EB4">
              <w:rPr>
                <w:rFonts w:ascii="Calibri" w:hAnsi="Calibri"/>
                <w:sz w:val="20"/>
                <w:szCs w:val="20"/>
              </w:rPr>
              <w:t>Fiscal balance</w:t>
            </w:r>
          </w:p>
        </w:tc>
        <w:tc>
          <w:tcPr>
            <w:tcW w:w="682" w:type="pct"/>
            <w:vAlign w:val="bottom"/>
          </w:tcPr>
          <w:p w:rsidR="00E06EB4" w:rsidRPr="00E06EB4" w:rsidRDefault="00E06EB4" w:rsidP="00E06EB4">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06EB4">
              <w:rPr>
                <w:rFonts w:ascii="Calibri" w:hAnsi="Calibri"/>
                <w:sz w:val="20"/>
                <w:szCs w:val="20"/>
              </w:rPr>
              <w:t>-51.0</w:t>
            </w:r>
          </w:p>
        </w:tc>
        <w:tc>
          <w:tcPr>
            <w:tcW w:w="682" w:type="pct"/>
            <w:vAlign w:val="bottom"/>
          </w:tcPr>
          <w:p w:rsidR="00E06EB4" w:rsidRPr="00E06EB4" w:rsidRDefault="00E06EB4" w:rsidP="00E06EB4">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06EB4">
              <w:rPr>
                <w:rFonts w:ascii="Calibri" w:hAnsi="Calibri"/>
                <w:sz w:val="20"/>
                <w:szCs w:val="20"/>
              </w:rPr>
              <w:t>-53.0</w:t>
            </w:r>
          </w:p>
        </w:tc>
        <w:tc>
          <w:tcPr>
            <w:tcW w:w="682" w:type="pct"/>
            <w:vAlign w:val="bottom"/>
          </w:tcPr>
          <w:p w:rsidR="00E06EB4" w:rsidRPr="00E06EB4" w:rsidRDefault="00E06EB4" w:rsidP="00E06EB4">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06EB4">
              <w:rPr>
                <w:rFonts w:ascii="Calibri" w:hAnsi="Calibri"/>
                <w:sz w:val="20"/>
                <w:szCs w:val="20"/>
              </w:rPr>
              <w:t>-54.9</w:t>
            </w:r>
          </w:p>
        </w:tc>
        <w:tc>
          <w:tcPr>
            <w:tcW w:w="682" w:type="pct"/>
            <w:vAlign w:val="bottom"/>
          </w:tcPr>
          <w:p w:rsidR="00E06EB4" w:rsidRPr="00E06EB4" w:rsidRDefault="00E06EB4" w:rsidP="00E06EB4">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06EB4">
              <w:rPr>
                <w:rFonts w:ascii="Calibri" w:hAnsi="Calibri"/>
                <w:sz w:val="20"/>
                <w:szCs w:val="20"/>
              </w:rPr>
              <w:t>-57.1</w:t>
            </w:r>
          </w:p>
        </w:tc>
        <w:tc>
          <w:tcPr>
            <w:tcW w:w="681" w:type="pct"/>
            <w:vAlign w:val="bottom"/>
          </w:tcPr>
          <w:p w:rsidR="00E06EB4" w:rsidRPr="00E06EB4" w:rsidRDefault="00E06EB4" w:rsidP="00E06EB4">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E06EB4">
              <w:rPr>
                <w:rFonts w:ascii="Calibri" w:hAnsi="Calibri"/>
                <w:b/>
                <w:sz w:val="20"/>
                <w:szCs w:val="20"/>
              </w:rPr>
              <w:t>-216.0</w:t>
            </w:r>
          </w:p>
        </w:tc>
      </w:tr>
      <w:tr w:rsidR="00E06EB4" w:rsidRPr="00E06EB4" w:rsidTr="007A24E1">
        <w:tc>
          <w:tcPr>
            <w:cnfStyle w:val="001000000000" w:firstRow="0" w:lastRow="0" w:firstColumn="1" w:lastColumn="0" w:oddVBand="0" w:evenVBand="0" w:oddHBand="0" w:evenHBand="0" w:firstRowFirstColumn="0" w:firstRowLastColumn="0" w:lastRowFirstColumn="0" w:lastRowLastColumn="0"/>
            <w:tcW w:w="1591" w:type="pct"/>
          </w:tcPr>
          <w:p w:rsidR="00E06EB4" w:rsidRPr="00E06EB4" w:rsidRDefault="00E06EB4" w:rsidP="00E06EB4">
            <w:pPr>
              <w:keepNext/>
              <w:keepLines/>
              <w:spacing w:line="240" w:lineRule="auto"/>
              <w:ind w:left="57" w:right="57"/>
              <w:rPr>
                <w:rFonts w:ascii="Calibri" w:hAnsi="Calibri"/>
                <w:sz w:val="20"/>
                <w:szCs w:val="20"/>
              </w:rPr>
            </w:pPr>
            <w:r w:rsidRPr="00E06EB4">
              <w:rPr>
                <w:rFonts w:ascii="Calibri" w:hAnsi="Calibri"/>
                <w:sz w:val="20"/>
                <w:szCs w:val="20"/>
              </w:rPr>
              <w:t>Underlying cash balance</w:t>
            </w:r>
          </w:p>
        </w:tc>
        <w:tc>
          <w:tcPr>
            <w:tcW w:w="682" w:type="pct"/>
            <w:vAlign w:val="bottom"/>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-50.9</w:t>
            </w:r>
          </w:p>
        </w:tc>
        <w:tc>
          <w:tcPr>
            <w:tcW w:w="682" w:type="pct"/>
            <w:vAlign w:val="bottom"/>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-52.6</w:t>
            </w:r>
          </w:p>
        </w:tc>
        <w:tc>
          <w:tcPr>
            <w:tcW w:w="682" w:type="pct"/>
            <w:vAlign w:val="bottom"/>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-54.4</w:t>
            </w:r>
          </w:p>
        </w:tc>
        <w:tc>
          <w:tcPr>
            <w:tcW w:w="682" w:type="pct"/>
            <w:vAlign w:val="bottom"/>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-56.5</w:t>
            </w:r>
          </w:p>
        </w:tc>
        <w:tc>
          <w:tcPr>
            <w:tcW w:w="681" w:type="pct"/>
            <w:vAlign w:val="bottom"/>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06EB4">
              <w:rPr>
                <w:rFonts w:ascii="Calibri" w:hAnsi="Calibri"/>
                <w:b/>
                <w:sz w:val="20"/>
                <w:szCs w:val="20"/>
              </w:rPr>
              <w:t>-214.4</w:t>
            </w:r>
          </w:p>
        </w:tc>
      </w:tr>
    </w:tbl>
    <w:p w:rsidR="00E06EB4" w:rsidRPr="00E06EB4" w:rsidRDefault="00E06EB4" w:rsidP="000B5C96">
      <w:pPr>
        <w:pStyle w:val="Footnotes"/>
        <w:numPr>
          <w:ilvl w:val="0"/>
          <w:numId w:val="70"/>
        </w:numPr>
        <w:ind w:left="284" w:hanging="284"/>
      </w:pPr>
      <w:r w:rsidRPr="00E06EB4">
        <w:t>A positive number indicates an increase in the relevant budget balance, a negative number a decrease.</w:t>
      </w:r>
    </w:p>
    <w:p w:rsidR="00E06EB4" w:rsidRPr="00E06EB4" w:rsidRDefault="00E06EB4" w:rsidP="000B5C96">
      <w:pPr>
        <w:pStyle w:val="Footnotes"/>
        <w:numPr>
          <w:ilvl w:val="0"/>
          <w:numId w:val="70"/>
        </w:numPr>
        <w:ind w:left="284" w:hanging="284"/>
      </w:pPr>
      <w:r w:rsidRPr="00E06EB4">
        <w:t>Figures may not sum to total due to rounding.</w:t>
      </w:r>
    </w:p>
    <w:p w:rsidR="00E06EB4" w:rsidRPr="00905B06" w:rsidRDefault="00E06EB4" w:rsidP="00905B06">
      <w:pPr>
        <w:pStyle w:val="CostingsH7"/>
      </w:pPr>
      <w:r w:rsidRPr="00905B06">
        <w:t>Key assumptions</w:t>
      </w:r>
    </w:p>
    <w:p w:rsidR="00E06EB4" w:rsidRPr="00C11265" w:rsidRDefault="00E06EB4" w:rsidP="00C11265">
      <w:pPr>
        <w:pStyle w:val="CostingsH8"/>
        <w:rPr>
          <w:rFonts w:eastAsia="Calibri"/>
          <w:b w:val="0"/>
          <w:color w:val="auto"/>
          <w:sz w:val="22"/>
          <w:szCs w:val="22"/>
          <w:u w:val="single"/>
        </w:rPr>
      </w:pPr>
      <w:r w:rsidRPr="00C11265">
        <w:rPr>
          <w:rFonts w:eastAsia="Calibri"/>
          <w:b w:val="0"/>
          <w:color w:val="auto"/>
          <w:sz w:val="22"/>
          <w:szCs w:val="22"/>
          <w:u w:val="single"/>
        </w:rPr>
        <w:t>Component 1: Free electric vehicle registration</w:t>
      </w:r>
    </w:p>
    <w:p w:rsidR="00E06EB4" w:rsidRPr="00E06EB4" w:rsidRDefault="00E06EB4" w:rsidP="00885276">
      <w:pPr>
        <w:pStyle w:val="BodyText"/>
      </w:pPr>
      <w:r w:rsidRPr="00E06EB4">
        <w:t>In costing this component, the following assumptions have been made:</w:t>
      </w:r>
    </w:p>
    <w:p w:rsidR="00E06EB4" w:rsidRPr="00E06EB4" w:rsidRDefault="00E06EB4" w:rsidP="00885276">
      <w:pPr>
        <w:pStyle w:val="ListBullet"/>
        <w:rPr>
          <w:lang w:eastAsia="en-AU"/>
        </w:rPr>
      </w:pPr>
      <w:r w:rsidRPr="00E06EB4">
        <w:rPr>
          <w:lang w:eastAsia="en-AU"/>
        </w:rPr>
        <w:t>Growth in electric vehicle sales would broadly be consistent with historic growth.</w:t>
      </w:r>
    </w:p>
    <w:p w:rsidR="00E06EB4" w:rsidRPr="00E06EB4" w:rsidRDefault="00E06EB4" w:rsidP="00885276">
      <w:pPr>
        <w:pStyle w:val="ListBullet"/>
        <w:rPr>
          <w:lang w:eastAsia="en-AU"/>
        </w:rPr>
      </w:pPr>
      <w:r w:rsidRPr="00E06EB4">
        <w:rPr>
          <w:lang w:eastAsia="en-AU"/>
        </w:rPr>
        <w:t>The Commonwealth Government would make payments directly to state and territory governments for the registration of electric vehicles.</w:t>
      </w:r>
    </w:p>
    <w:p w:rsidR="00E06EB4" w:rsidRPr="00E06EB4" w:rsidRDefault="00E06EB4" w:rsidP="00885276">
      <w:pPr>
        <w:pStyle w:val="ListBullet"/>
        <w:rPr>
          <w:lang w:eastAsia="en-AU"/>
        </w:rPr>
      </w:pPr>
      <w:r w:rsidRPr="00E06EB4">
        <w:rPr>
          <w:lang w:eastAsia="en-AU"/>
        </w:rPr>
        <w:t>Departmental costs per recipient would be in line with similar rebate schemes.</w:t>
      </w:r>
    </w:p>
    <w:p w:rsidR="00E06EB4" w:rsidRPr="00E06EB4" w:rsidRDefault="00E06EB4" w:rsidP="00885276">
      <w:pPr>
        <w:pStyle w:val="ListBullet"/>
        <w:rPr>
          <w:lang w:eastAsia="en-AU"/>
        </w:rPr>
      </w:pPr>
      <w:r w:rsidRPr="00E06EB4">
        <w:rPr>
          <w:lang w:eastAsia="en-AU"/>
        </w:rPr>
        <w:lastRenderedPageBreak/>
        <w:t>The average cost of registration is based on a passenger vehicle of 1,504 kg or less registered for private use and excluding costs associated with compulsory third-party insurance and one-off charges such as licence plate costs.</w:t>
      </w:r>
    </w:p>
    <w:p w:rsidR="00E06EB4" w:rsidRPr="00E06EB4" w:rsidRDefault="00E06EB4" w:rsidP="00885276">
      <w:pPr>
        <w:pStyle w:val="ListBullet"/>
        <w:rPr>
          <w:lang w:eastAsia="en-AU"/>
        </w:rPr>
      </w:pPr>
      <w:r w:rsidRPr="00E06EB4">
        <w:rPr>
          <w:lang w:eastAsia="en-AU"/>
        </w:rPr>
        <w:t>On average, there would be a three-month lag between the registration of an electric vehicle and payments being made by the Commonwealth Government.</w:t>
      </w:r>
    </w:p>
    <w:p w:rsidR="00E06EB4" w:rsidRPr="00C11265" w:rsidRDefault="00E06EB4" w:rsidP="00C11265">
      <w:pPr>
        <w:pStyle w:val="CostingsH8"/>
        <w:rPr>
          <w:rFonts w:eastAsia="Calibri"/>
          <w:b w:val="0"/>
          <w:color w:val="auto"/>
          <w:sz w:val="22"/>
          <w:szCs w:val="22"/>
          <w:u w:val="single"/>
        </w:rPr>
      </w:pPr>
      <w:r w:rsidRPr="00C11265">
        <w:rPr>
          <w:rFonts w:eastAsia="Calibri"/>
          <w:b w:val="0"/>
          <w:color w:val="auto"/>
          <w:sz w:val="22"/>
          <w:szCs w:val="22"/>
          <w:u w:val="single"/>
        </w:rPr>
        <w:t xml:space="preserve">Component 2: Building electric vehicle charging infrastructure </w:t>
      </w:r>
    </w:p>
    <w:p w:rsidR="00E06EB4" w:rsidRPr="00E06EB4" w:rsidRDefault="00E06EB4" w:rsidP="00885276">
      <w:pPr>
        <w:pStyle w:val="ListBullet"/>
      </w:pPr>
      <w:r w:rsidRPr="00E06EB4">
        <w:t xml:space="preserve">While the component would commence on 1 January </w:t>
      </w:r>
      <w:r w:rsidR="0060256F" w:rsidRPr="00E06EB4">
        <w:t>201</w:t>
      </w:r>
      <w:r w:rsidR="0060256F">
        <w:t>7</w:t>
      </w:r>
      <w:r w:rsidRPr="00E06EB4">
        <w:t>, it has been assumed that the full 2016-17 funding allocation could be delivered within the year.</w:t>
      </w:r>
    </w:p>
    <w:p w:rsidR="00E06EB4" w:rsidRPr="00905B06" w:rsidRDefault="00E06EB4" w:rsidP="00905B06">
      <w:pPr>
        <w:pStyle w:val="CostingsH7"/>
      </w:pPr>
      <w:r w:rsidRPr="00905B06">
        <w:t>Methodology</w:t>
      </w:r>
    </w:p>
    <w:p w:rsidR="00E06EB4" w:rsidRPr="00C11265" w:rsidRDefault="00E06EB4" w:rsidP="00C11265">
      <w:pPr>
        <w:pStyle w:val="CostingsH8"/>
        <w:rPr>
          <w:rFonts w:eastAsia="Calibri"/>
          <w:b w:val="0"/>
          <w:color w:val="auto"/>
          <w:sz w:val="22"/>
          <w:szCs w:val="22"/>
          <w:u w:val="single"/>
        </w:rPr>
      </w:pPr>
      <w:r w:rsidRPr="00C11265">
        <w:rPr>
          <w:rFonts w:eastAsia="Calibri"/>
          <w:b w:val="0"/>
          <w:color w:val="auto"/>
          <w:sz w:val="22"/>
          <w:szCs w:val="22"/>
          <w:u w:val="single"/>
        </w:rPr>
        <w:t>Component 1: Free electric vehicle registration</w:t>
      </w:r>
    </w:p>
    <w:p w:rsidR="00E06EB4" w:rsidRPr="00E06EB4" w:rsidRDefault="00E06EB4" w:rsidP="00885276">
      <w:pPr>
        <w:pStyle w:val="BodyText"/>
        <w:rPr>
          <w:b/>
          <w:bCs/>
        </w:rPr>
      </w:pPr>
      <w:r w:rsidRPr="00E06EB4">
        <w:t>Historic electric vehicle sales numbers have been projected and multiplied by the average motor vehicle registration costs.</w:t>
      </w:r>
    </w:p>
    <w:p w:rsidR="00E06EB4" w:rsidRPr="00C11265" w:rsidRDefault="00E06EB4" w:rsidP="00C11265">
      <w:pPr>
        <w:pStyle w:val="CostingsH8"/>
        <w:rPr>
          <w:rFonts w:eastAsia="Calibri"/>
          <w:b w:val="0"/>
          <w:color w:val="auto"/>
          <w:sz w:val="22"/>
          <w:szCs w:val="22"/>
          <w:u w:val="single"/>
        </w:rPr>
      </w:pPr>
      <w:r w:rsidRPr="00C11265">
        <w:rPr>
          <w:rFonts w:eastAsia="Calibri"/>
          <w:b w:val="0"/>
          <w:color w:val="auto"/>
          <w:sz w:val="22"/>
          <w:szCs w:val="22"/>
          <w:u w:val="single"/>
        </w:rPr>
        <w:t xml:space="preserve">Component 2: Building electric vehicle charging infrastructure </w:t>
      </w:r>
    </w:p>
    <w:p w:rsidR="00E06EB4" w:rsidRPr="00E06EB4" w:rsidRDefault="00E06EB4" w:rsidP="00885276">
      <w:pPr>
        <w:pStyle w:val="BodyText"/>
      </w:pPr>
      <w:r w:rsidRPr="00E06EB4">
        <w:t>Administered expenditure estimates are as specified in the request.   The departmental expenditure estimates are in addition to capped amounts, as specified, and are based on other like initiatives and estimates account for the net effect of indexation parameters and the efficiency dividend, in accordance with the Department of Finance’s costing practices.</w:t>
      </w:r>
    </w:p>
    <w:p w:rsidR="00E06EB4" w:rsidRPr="00905B06" w:rsidRDefault="00E06EB4" w:rsidP="00905B06">
      <w:pPr>
        <w:pStyle w:val="CostingsH7"/>
      </w:pPr>
      <w:r w:rsidRPr="00905B06">
        <w:t>Data sources</w:t>
      </w:r>
    </w:p>
    <w:p w:rsidR="00E06EB4" w:rsidRPr="00E06EB4" w:rsidRDefault="00E06EB4" w:rsidP="00885276">
      <w:pPr>
        <w:pStyle w:val="ListBullet"/>
        <w:rPr>
          <w:lang w:eastAsia="en-AU"/>
        </w:rPr>
      </w:pPr>
      <w:r w:rsidRPr="00E06EB4">
        <w:rPr>
          <w:lang w:eastAsia="en-AU"/>
        </w:rPr>
        <w:t>The Department of Industry, Innovation and Science provided historic data on electric vehicle sales.</w:t>
      </w:r>
    </w:p>
    <w:p w:rsidR="00E06EB4" w:rsidRPr="00E06EB4" w:rsidRDefault="00E06EB4" w:rsidP="00885276">
      <w:pPr>
        <w:pStyle w:val="ListBullet"/>
        <w:rPr>
          <w:lang w:eastAsia="en-AU"/>
        </w:rPr>
        <w:sectPr w:rsidR="00E06EB4" w:rsidRPr="00E06EB4" w:rsidSect="00A97AC4">
          <w:headerReference w:type="even" r:id="rId173"/>
          <w:headerReference w:type="default" r:id="rId174"/>
          <w:footerReference w:type="even" r:id="rId175"/>
          <w:footerReference w:type="default" r:id="rId176"/>
          <w:headerReference w:type="first" r:id="rId177"/>
          <w:footerReference w:type="first" r:id="rId178"/>
          <w:pgSz w:w="11906" w:h="16838"/>
          <w:pgMar w:top="1361" w:right="1797" w:bottom="1474" w:left="1797" w:header="283" w:footer="454" w:gutter="0"/>
          <w:cols w:space="708"/>
          <w:docGrid w:linePitch="360"/>
        </w:sectPr>
      </w:pPr>
      <w:r w:rsidRPr="00E06EB4">
        <w:rPr>
          <w:lang w:eastAsia="en-AU"/>
        </w:rPr>
        <w:t>The Department of Finance provided efficiency dividend and indexation parameters.</w:t>
      </w:r>
    </w:p>
    <w:p w:rsidR="00E06EB4" w:rsidRPr="00E06EB4" w:rsidRDefault="00E06EB4" w:rsidP="007A4BF9">
      <w:pPr>
        <w:pStyle w:val="Heading6"/>
        <w:rPr>
          <w:rFonts w:eastAsia="Calibri"/>
        </w:rPr>
      </w:pPr>
      <w:r w:rsidRPr="00E06EB4">
        <w:rPr>
          <w:rFonts w:eastAsia="Calibri"/>
        </w:rPr>
        <w:lastRenderedPageBreak/>
        <w:t>Attachment A: Accelerating the Electric Vehicle Revolution—financial implications</w:t>
      </w:r>
    </w:p>
    <w:p w:rsidR="00E06EB4" w:rsidRPr="00E06EB4" w:rsidRDefault="00E06EB4" w:rsidP="00905B06">
      <w:pPr>
        <w:pStyle w:val="Caption"/>
      </w:pPr>
      <w:r w:rsidRPr="00E06EB4">
        <w:t>Table A1: Accelerating the Electric Vehicle Revolution—Fiscal balance</w:t>
      </w:r>
      <w:r w:rsidRPr="00E06EB4">
        <w:rPr>
          <w:vertAlign w:val="superscript"/>
        </w:rPr>
        <w:t>(a)(b)</w:t>
      </w:r>
    </w:p>
    <w:tbl>
      <w:tblPr>
        <w:tblStyle w:val="TableGrid21"/>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E06EB4" w:rsidRPr="00E06EB4" w:rsidRDefault="00E06EB4" w:rsidP="00E06EB4">
            <w:pPr>
              <w:keepNext/>
              <w:keepLines/>
              <w:spacing w:line="240" w:lineRule="auto"/>
              <w:ind w:left="57" w:right="57"/>
              <w:rPr>
                <w:rFonts w:ascii="Calibri" w:hAnsi="Calibri"/>
                <w:sz w:val="20"/>
                <w:szCs w:val="20"/>
              </w:rPr>
            </w:pPr>
            <w:r w:rsidRPr="00E06EB4">
              <w:rPr>
                <w:rFonts w:ascii="Calibri" w:hAnsi="Calibri"/>
                <w:sz w:val="20"/>
                <w:szCs w:val="20"/>
              </w:rPr>
              <w:t>($m)</w:t>
            </w:r>
          </w:p>
        </w:tc>
        <w:tc>
          <w:tcPr>
            <w:tcW w:w="326"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2016–17</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2017–18</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2018–19</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2019–20</w:t>
            </w:r>
          </w:p>
        </w:tc>
        <w:tc>
          <w:tcPr>
            <w:tcW w:w="327"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06EB4">
              <w:rPr>
                <w:rFonts w:ascii="Calibri" w:hAnsi="Calibri"/>
                <w:b/>
                <w:sz w:val="20"/>
              </w:rPr>
              <w:t>Total to 2019–20</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2020–21</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2021–22</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2022–23</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2023–24</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2024–25</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2025–26</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2026–27</w:t>
            </w:r>
          </w:p>
        </w:tc>
        <w:tc>
          <w:tcPr>
            <w:tcW w:w="326"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06EB4">
              <w:rPr>
                <w:rFonts w:ascii="Calibri" w:hAnsi="Calibri"/>
                <w:b/>
                <w:sz w:val="20"/>
              </w:rPr>
              <w:t>Total to 2026–27</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E06EB4" w:rsidRPr="00E06EB4" w:rsidRDefault="00E06EB4" w:rsidP="00E06EB4">
            <w:pPr>
              <w:keepNext/>
              <w:keepLines/>
              <w:spacing w:line="240" w:lineRule="auto"/>
              <w:ind w:left="57" w:right="57"/>
              <w:rPr>
                <w:rFonts w:ascii="Calibri" w:hAnsi="Calibri"/>
              </w:rPr>
            </w:pPr>
            <w:r w:rsidRPr="00E06EB4">
              <w:rPr>
                <w:rFonts w:ascii="Calibri" w:hAnsi="Calibri"/>
              </w:rPr>
              <w:t>Administered</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-50.5</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-52.4</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-54.2</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-56.3</w:t>
            </w:r>
          </w:p>
        </w:tc>
        <w:tc>
          <w:tcPr>
            <w:tcW w:w="327"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-213.4</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-8.8</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-7.9</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-6.5</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-4.8</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-2.6</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-244.0</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E06EB4" w:rsidRPr="00E06EB4" w:rsidRDefault="00E06EB4" w:rsidP="00E06EB4">
            <w:pPr>
              <w:keepNext/>
              <w:keepLines/>
              <w:spacing w:line="240" w:lineRule="auto"/>
              <w:ind w:left="57" w:right="57"/>
              <w:rPr>
                <w:rFonts w:ascii="Calibri" w:hAnsi="Calibri"/>
              </w:rPr>
            </w:pPr>
            <w:r w:rsidRPr="00E06EB4">
              <w:rPr>
                <w:rFonts w:ascii="Calibri" w:hAnsi="Calibri"/>
              </w:rPr>
              <w:t>Departmental</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-0.5</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-0.7</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-0.7</w:t>
            </w:r>
          </w:p>
        </w:tc>
        <w:tc>
          <w:tcPr>
            <w:tcW w:w="327"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-2.6</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-0.4</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-0.5</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-0.5</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-0.2</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-5.3</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E06EB4" w:rsidRPr="00E06EB4" w:rsidRDefault="00E06EB4" w:rsidP="00E06EB4">
            <w:pPr>
              <w:keepNext/>
              <w:keepLines/>
              <w:spacing w:line="240" w:lineRule="auto"/>
              <w:ind w:left="57" w:right="57"/>
              <w:rPr>
                <w:rFonts w:ascii="Calibri" w:hAnsi="Calibri"/>
                <w:b/>
              </w:rPr>
            </w:pPr>
            <w:r w:rsidRPr="00E06EB4">
              <w:rPr>
                <w:rFonts w:ascii="Calibri" w:hAnsi="Calibri"/>
                <w:b/>
              </w:rPr>
              <w:t>Total</w:t>
            </w:r>
          </w:p>
        </w:tc>
        <w:tc>
          <w:tcPr>
            <w:tcW w:w="326"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-51.0</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-53.0</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-54.9</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-57.1</w:t>
            </w:r>
          </w:p>
        </w:tc>
        <w:tc>
          <w:tcPr>
            <w:tcW w:w="327"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-216.0</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-9.2</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-8.4</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-7.0</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-5.3</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-3.2</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-0.2</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w:t>
            </w:r>
          </w:p>
        </w:tc>
        <w:tc>
          <w:tcPr>
            <w:tcW w:w="326"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-249.3</w:t>
            </w:r>
          </w:p>
        </w:tc>
      </w:tr>
    </w:tbl>
    <w:p w:rsidR="00E06EB4" w:rsidRDefault="00E06EB4" w:rsidP="000B5C96">
      <w:pPr>
        <w:pStyle w:val="Footnotes"/>
        <w:numPr>
          <w:ilvl w:val="0"/>
          <w:numId w:val="71"/>
        </w:numPr>
        <w:ind w:left="284" w:hanging="284"/>
      </w:pPr>
      <w:r w:rsidRPr="00E06EB4">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E06EB4" w:rsidRPr="00E06EB4" w:rsidRDefault="00E06EB4" w:rsidP="00AA28C3">
      <w:pPr>
        <w:pStyle w:val="Footnotes"/>
      </w:pPr>
      <w:r w:rsidRPr="00E06EB4">
        <w:t>Figures may not sum to totals due to rounding.</w:t>
      </w:r>
    </w:p>
    <w:p w:rsidR="00E06EB4" w:rsidRPr="00E06EB4" w:rsidRDefault="00E06EB4" w:rsidP="000B5C96">
      <w:pPr>
        <w:pStyle w:val="Footnotes"/>
        <w:numPr>
          <w:ilvl w:val="0"/>
          <w:numId w:val="33"/>
        </w:numPr>
        <w:ind w:left="284" w:hanging="284"/>
      </w:pPr>
      <w:r w:rsidRPr="00E06EB4">
        <w:tab/>
        <w:t>Indicates nil.</w:t>
      </w:r>
    </w:p>
    <w:p w:rsidR="00E06EB4" w:rsidRPr="00E06EB4" w:rsidRDefault="00E06EB4" w:rsidP="00905B06">
      <w:pPr>
        <w:pStyle w:val="Caption"/>
      </w:pPr>
      <w:r w:rsidRPr="00E06EB4">
        <w:t>Table A2: Accelerating the Electric Vehicle Revolution—Underlying cash balance</w:t>
      </w:r>
      <w:r w:rsidRPr="00E06EB4">
        <w:rPr>
          <w:vertAlign w:val="superscript"/>
        </w:rPr>
        <w:t>(a)(b)</w:t>
      </w:r>
    </w:p>
    <w:tbl>
      <w:tblPr>
        <w:tblStyle w:val="TableGrid21"/>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E06EB4" w:rsidRPr="00E06EB4" w:rsidRDefault="00E06EB4" w:rsidP="00E06EB4">
            <w:pPr>
              <w:keepNext/>
              <w:keepLines/>
              <w:spacing w:line="240" w:lineRule="auto"/>
              <w:ind w:left="57" w:right="57"/>
              <w:rPr>
                <w:rFonts w:ascii="Calibri" w:hAnsi="Calibri"/>
                <w:sz w:val="20"/>
                <w:szCs w:val="20"/>
              </w:rPr>
            </w:pPr>
            <w:r w:rsidRPr="00E06EB4">
              <w:rPr>
                <w:rFonts w:ascii="Calibri" w:hAnsi="Calibri"/>
                <w:sz w:val="20"/>
                <w:szCs w:val="20"/>
              </w:rPr>
              <w:t>($m)</w:t>
            </w:r>
          </w:p>
        </w:tc>
        <w:tc>
          <w:tcPr>
            <w:tcW w:w="326"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2016–17</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2017–18</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2018–19</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2019–20</w:t>
            </w:r>
          </w:p>
        </w:tc>
        <w:tc>
          <w:tcPr>
            <w:tcW w:w="327"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06EB4">
              <w:rPr>
                <w:rFonts w:ascii="Calibri" w:hAnsi="Calibri"/>
                <w:b/>
                <w:sz w:val="20"/>
              </w:rPr>
              <w:t>Total to 2019–20</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2020–21</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2021–22</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2022–23</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2023–24</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2024–25</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2025–26</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2026–27</w:t>
            </w:r>
          </w:p>
        </w:tc>
        <w:tc>
          <w:tcPr>
            <w:tcW w:w="326"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06EB4">
              <w:rPr>
                <w:rFonts w:ascii="Calibri" w:hAnsi="Calibri"/>
                <w:b/>
                <w:sz w:val="20"/>
              </w:rPr>
              <w:t>Total to 2026–27</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E06EB4" w:rsidRPr="00E06EB4" w:rsidRDefault="00E06EB4" w:rsidP="00E06EB4">
            <w:pPr>
              <w:keepNext/>
              <w:keepLines/>
              <w:spacing w:line="240" w:lineRule="auto"/>
              <w:ind w:left="57" w:right="57"/>
              <w:rPr>
                <w:rFonts w:ascii="Calibri" w:hAnsi="Calibri"/>
              </w:rPr>
            </w:pPr>
            <w:r w:rsidRPr="00E06EB4">
              <w:rPr>
                <w:rFonts w:ascii="Calibri" w:hAnsi="Calibri"/>
              </w:rPr>
              <w:t>Administered</w:t>
            </w:r>
          </w:p>
        </w:tc>
        <w:tc>
          <w:tcPr>
            <w:tcW w:w="326"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-50.4</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-51.9</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-53.7</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-55.8</w:t>
            </w:r>
          </w:p>
        </w:tc>
        <w:tc>
          <w:tcPr>
            <w:tcW w:w="327"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-211.8</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-8.2</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-8.1</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-6.9</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-5.2</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-3.1</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w:t>
            </w:r>
          </w:p>
        </w:tc>
        <w:tc>
          <w:tcPr>
            <w:tcW w:w="326"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-244.0</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E06EB4" w:rsidRPr="00E06EB4" w:rsidRDefault="00E06EB4" w:rsidP="00E06EB4">
            <w:pPr>
              <w:keepNext/>
              <w:keepLines/>
              <w:spacing w:line="240" w:lineRule="auto"/>
              <w:ind w:left="57" w:right="57"/>
              <w:rPr>
                <w:rFonts w:ascii="Calibri" w:hAnsi="Calibri"/>
              </w:rPr>
            </w:pPr>
            <w:r w:rsidRPr="00E06EB4">
              <w:rPr>
                <w:rFonts w:ascii="Calibri" w:hAnsi="Calibri"/>
              </w:rPr>
              <w:t>Departmental</w:t>
            </w:r>
          </w:p>
        </w:tc>
        <w:tc>
          <w:tcPr>
            <w:tcW w:w="326"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-0.5</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-0.7</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-0.7</w:t>
            </w:r>
          </w:p>
        </w:tc>
        <w:tc>
          <w:tcPr>
            <w:tcW w:w="327"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-2.6</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-0.4</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-0.5</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-0.5</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-0.2</w:t>
            </w:r>
          </w:p>
        </w:tc>
        <w:tc>
          <w:tcPr>
            <w:tcW w:w="325"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w:t>
            </w:r>
          </w:p>
        </w:tc>
        <w:tc>
          <w:tcPr>
            <w:tcW w:w="326"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-5.3</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E06EB4" w:rsidRPr="00E06EB4" w:rsidRDefault="00E06EB4" w:rsidP="00E06EB4">
            <w:pPr>
              <w:keepNext/>
              <w:keepLines/>
              <w:spacing w:line="240" w:lineRule="auto"/>
              <w:ind w:left="57" w:right="57"/>
              <w:rPr>
                <w:rFonts w:ascii="Calibri" w:hAnsi="Calibri"/>
                <w:b/>
              </w:rPr>
            </w:pPr>
            <w:r w:rsidRPr="00E06EB4">
              <w:rPr>
                <w:rFonts w:ascii="Calibri" w:hAnsi="Calibri"/>
                <w:b/>
              </w:rPr>
              <w:t>Total</w:t>
            </w:r>
          </w:p>
        </w:tc>
        <w:tc>
          <w:tcPr>
            <w:tcW w:w="326"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-50.9</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-52.6</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-54.4</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-56.5</w:t>
            </w:r>
          </w:p>
        </w:tc>
        <w:tc>
          <w:tcPr>
            <w:tcW w:w="327"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-214.4</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-8.6</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-8.6</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-7.4</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-5.8</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-3.7</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-0.8</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w:t>
            </w:r>
          </w:p>
        </w:tc>
        <w:tc>
          <w:tcPr>
            <w:tcW w:w="326"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-249.3</w:t>
            </w:r>
          </w:p>
        </w:tc>
      </w:tr>
    </w:tbl>
    <w:p w:rsidR="00E06EB4" w:rsidRPr="00E06EB4" w:rsidRDefault="00E06EB4" w:rsidP="000B5C96">
      <w:pPr>
        <w:pStyle w:val="Footnotes"/>
        <w:numPr>
          <w:ilvl w:val="0"/>
          <w:numId w:val="72"/>
        </w:numPr>
        <w:ind w:left="284" w:hanging="284"/>
      </w:pPr>
      <w:r w:rsidRPr="00E06EB4">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E06EB4" w:rsidRPr="00E06EB4" w:rsidRDefault="00E06EB4" w:rsidP="00AA28C3">
      <w:pPr>
        <w:pStyle w:val="Footnotes"/>
      </w:pPr>
      <w:r w:rsidRPr="00E06EB4">
        <w:t>Figures may not sum to totals due to rounding.</w:t>
      </w:r>
    </w:p>
    <w:p w:rsidR="00E06EB4" w:rsidRPr="00E06EB4" w:rsidRDefault="00E06EB4" w:rsidP="000B5C96">
      <w:pPr>
        <w:pStyle w:val="Footnotes"/>
        <w:numPr>
          <w:ilvl w:val="0"/>
          <w:numId w:val="33"/>
        </w:numPr>
        <w:ind w:left="284" w:hanging="284"/>
      </w:pPr>
      <w:r w:rsidRPr="00E06EB4">
        <w:tab/>
        <w:t>Indicates nil.</w:t>
      </w:r>
    </w:p>
    <w:p w:rsidR="00E06EB4" w:rsidRPr="00E06EB4" w:rsidRDefault="00E06EB4" w:rsidP="00905B06">
      <w:pPr>
        <w:pStyle w:val="Caption"/>
      </w:pPr>
      <w:r w:rsidRPr="00E06EB4">
        <w:lastRenderedPageBreak/>
        <w:t>Table A3: Component 1: Free electric vehicle registration—Fiscal balance</w:t>
      </w:r>
      <w:r w:rsidRPr="00E06EB4">
        <w:rPr>
          <w:vertAlign w:val="superscript"/>
        </w:rPr>
        <w:t>(a)(b)</w:t>
      </w:r>
    </w:p>
    <w:tbl>
      <w:tblPr>
        <w:tblStyle w:val="TableGrid21"/>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E06EB4" w:rsidRPr="00E06EB4" w:rsidRDefault="00E06EB4" w:rsidP="00E06EB4">
            <w:pPr>
              <w:keepNext/>
              <w:keepLines/>
              <w:spacing w:line="240" w:lineRule="auto"/>
              <w:ind w:left="57" w:right="57"/>
              <w:rPr>
                <w:rFonts w:ascii="Calibri" w:hAnsi="Calibri"/>
                <w:sz w:val="20"/>
                <w:szCs w:val="20"/>
              </w:rPr>
            </w:pPr>
            <w:r w:rsidRPr="00E06EB4">
              <w:rPr>
                <w:rFonts w:ascii="Calibri" w:hAnsi="Calibri"/>
                <w:sz w:val="20"/>
                <w:szCs w:val="20"/>
              </w:rPr>
              <w:t>($m)</w:t>
            </w:r>
          </w:p>
        </w:tc>
        <w:tc>
          <w:tcPr>
            <w:tcW w:w="326"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2016–17</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2017–18</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2018–19</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2019–20</w:t>
            </w:r>
          </w:p>
        </w:tc>
        <w:tc>
          <w:tcPr>
            <w:tcW w:w="327"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06EB4">
              <w:rPr>
                <w:rFonts w:ascii="Calibri" w:hAnsi="Calibri"/>
                <w:b/>
                <w:sz w:val="20"/>
              </w:rPr>
              <w:t>Total to 2019–20</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2020–21</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2021–22</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2022–23</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2023–24</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2024–25</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2025–26</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2026–27</w:t>
            </w:r>
          </w:p>
        </w:tc>
        <w:tc>
          <w:tcPr>
            <w:tcW w:w="326"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06EB4">
              <w:rPr>
                <w:rFonts w:ascii="Calibri" w:hAnsi="Calibri"/>
                <w:b/>
                <w:sz w:val="20"/>
              </w:rPr>
              <w:t>Total to 2026–27</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E06EB4" w:rsidRPr="00E06EB4" w:rsidRDefault="00E06EB4" w:rsidP="00E06EB4">
            <w:pPr>
              <w:spacing w:line="240" w:lineRule="auto"/>
              <w:ind w:left="57" w:right="57"/>
              <w:rPr>
                <w:rFonts w:ascii="Calibri" w:hAnsi="Calibri"/>
                <w:color w:val="000000"/>
                <w:sz w:val="20"/>
                <w:szCs w:val="20"/>
              </w:rPr>
            </w:pPr>
            <w:r w:rsidRPr="00E06EB4">
              <w:rPr>
                <w:rFonts w:ascii="Calibri" w:hAnsi="Calibri"/>
                <w:color w:val="000000"/>
                <w:sz w:val="20"/>
                <w:szCs w:val="20"/>
              </w:rPr>
              <w:t>Administered</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-0.5</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-2.4</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-4.2</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-6.3</w:t>
            </w:r>
          </w:p>
        </w:tc>
        <w:tc>
          <w:tcPr>
            <w:tcW w:w="327"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-13.4</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-8.8</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-7.9</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-6.5</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-4.8</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-2.6</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-44.0</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E06EB4" w:rsidRPr="00E06EB4" w:rsidRDefault="00E06EB4" w:rsidP="00E06EB4">
            <w:pPr>
              <w:spacing w:line="240" w:lineRule="auto"/>
              <w:ind w:left="57" w:right="57"/>
              <w:rPr>
                <w:rFonts w:ascii="Calibri" w:hAnsi="Calibri"/>
                <w:color w:val="000000"/>
                <w:sz w:val="20"/>
                <w:szCs w:val="20"/>
              </w:rPr>
            </w:pPr>
            <w:r w:rsidRPr="00E06EB4">
              <w:rPr>
                <w:rFonts w:ascii="Calibri" w:hAnsi="Calibri"/>
                <w:color w:val="000000"/>
                <w:sz w:val="20"/>
                <w:szCs w:val="20"/>
              </w:rPr>
              <w:t>Departmental</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-0.2</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-0.3</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-0.3</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-0.4</w:t>
            </w:r>
          </w:p>
        </w:tc>
        <w:tc>
          <w:tcPr>
            <w:tcW w:w="327"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-1.2</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-0.4</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-0.5</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-0.5</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-0.2</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-3.9</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E06EB4" w:rsidRPr="00E06EB4" w:rsidRDefault="00E06EB4" w:rsidP="00E06EB4">
            <w:pPr>
              <w:spacing w:line="240" w:lineRule="auto"/>
              <w:ind w:left="57" w:right="57"/>
              <w:rPr>
                <w:rFonts w:ascii="Calibri" w:hAnsi="Calibri"/>
                <w:b/>
                <w:bCs/>
                <w:color w:val="000000"/>
                <w:sz w:val="20"/>
                <w:szCs w:val="20"/>
              </w:rPr>
            </w:pPr>
            <w:r w:rsidRPr="00E06EB4">
              <w:rPr>
                <w:rFonts w:ascii="Calibri" w:hAnsi="Calibri"/>
                <w:b/>
                <w:bCs/>
                <w:color w:val="000000"/>
                <w:sz w:val="20"/>
                <w:szCs w:val="20"/>
              </w:rPr>
              <w:t>Total</w:t>
            </w:r>
          </w:p>
        </w:tc>
        <w:tc>
          <w:tcPr>
            <w:tcW w:w="326"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-0.7</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-2.7</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-4.5</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-6.7</w:t>
            </w:r>
          </w:p>
        </w:tc>
        <w:tc>
          <w:tcPr>
            <w:tcW w:w="327"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-14.6</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-9.2</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-8.4</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-7.0</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-5.3</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-3.2</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-0.2</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w:t>
            </w:r>
          </w:p>
        </w:tc>
        <w:tc>
          <w:tcPr>
            <w:tcW w:w="326"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-47.9</w:t>
            </w:r>
          </w:p>
        </w:tc>
      </w:tr>
    </w:tbl>
    <w:p w:rsidR="00E06EB4" w:rsidRPr="00E06EB4" w:rsidRDefault="00E06EB4" w:rsidP="000B5C96">
      <w:pPr>
        <w:pStyle w:val="Footnotes"/>
        <w:numPr>
          <w:ilvl w:val="0"/>
          <w:numId w:val="73"/>
        </w:numPr>
        <w:ind w:left="284" w:hanging="284"/>
      </w:pPr>
      <w:r w:rsidRPr="00E06EB4">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E06EB4" w:rsidRPr="00E06EB4" w:rsidRDefault="00E06EB4" w:rsidP="00AA28C3">
      <w:pPr>
        <w:pStyle w:val="Footnotes"/>
      </w:pPr>
      <w:r w:rsidRPr="00E06EB4">
        <w:t>Figures may not sum to totals due to rounding.</w:t>
      </w:r>
    </w:p>
    <w:p w:rsidR="00E06EB4" w:rsidRPr="00E06EB4" w:rsidRDefault="00E06EB4" w:rsidP="000B5C96">
      <w:pPr>
        <w:pStyle w:val="Footnotes"/>
        <w:numPr>
          <w:ilvl w:val="0"/>
          <w:numId w:val="33"/>
        </w:numPr>
        <w:ind w:left="284" w:hanging="284"/>
      </w:pPr>
      <w:r w:rsidRPr="00E06EB4">
        <w:tab/>
        <w:t>Indicates nil.</w:t>
      </w:r>
    </w:p>
    <w:p w:rsidR="00E06EB4" w:rsidRPr="00E06EB4" w:rsidRDefault="00E06EB4" w:rsidP="00905B06">
      <w:pPr>
        <w:pStyle w:val="Caption"/>
      </w:pPr>
      <w:r w:rsidRPr="00E06EB4">
        <w:t>Table A4: Component 1: Free electric vehicle registration—Underlying cash balance</w:t>
      </w:r>
      <w:r w:rsidRPr="00E06EB4">
        <w:rPr>
          <w:vertAlign w:val="superscript"/>
        </w:rPr>
        <w:t>(a)(b)</w:t>
      </w:r>
    </w:p>
    <w:tbl>
      <w:tblPr>
        <w:tblStyle w:val="TableGrid21"/>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E06EB4" w:rsidRPr="00E06EB4" w:rsidRDefault="00E06EB4" w:rsidP="00E06EB4">
            <w:pPr>
              <w:keepNext/>
              <w:keepLines/>
              <w:spacing w:line="240" w:lineRule="auto"/>
              <w:ind w:left="57" w:right="57"/>
              <w:rPr>
                <w:rFonts w:ascii="Calibri" w:hAnsi="Calibri"/>
                <w:sz w:val="20"/>
                <w:szCs w:val="20"/>
              </w:rPr>
            </w:pPr>
            <w:r w:rsidRPr="00E06EB4">
              <w:rPr>
                <w:rFonts w:ascii="Calibri" w:hAnsi="Calibri"/>
                <w:sz w:val="20"/>
                <w:szCs w:val="20"/>
              </w:rPr>
              <w:t>($m)</w:t>
            </w:r>
          </w:p>
        </w:tc>
        <w:tc>
          <w:tcPr>
            <w:tcW w:w="326"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2016–17</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2017–18</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2018–19</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2019–20</w:t>
            </w:r>
          </w:p>
        </w:tc>
        <w:tc>
          <w:tcPr>
            <w:tcW w:w="327"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06EB4">
              <w:rPr>
                <w:rFonts w:ascii="Calibri" w:hAnsi="Calibri"/>
                <w:b/>
                <w:sz w:val="20"/>
              </w:rPr>
              <w:t>Total to 2019–20</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2020–21</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2021–22</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2022–23</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2023–24</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2024–25</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2025–26</w:t>
            </w:r>
          </w:p>
        </w:tc>
        <w:tc>
          <w:tcPr>
            <w:tcW w:w="325"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2026–27</w:t>
            </w:r>
          </w:p>
        </w:tc>
        <w:tc>
          <w:tcPr>
            <w:tcW w:w="326"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06EB4">
              <w:rPr>
                <w:rFonts w:ascii="Calibri" w:hAnsi="Calibri"/>
                <w:b/>
                <w:sz w:val="20"/>
              </w:rPr>
              <w:t>Total to 2026–27</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vAlign w:val="bottom"/>
          </w:tcPr>
          <w:p w:rsidR="00E06EB4" w:rsidRPr="00E06EB4" w:rsidRDefault="00E06EB4" w:rsidP="00E06EB4">
            <w:pPr>
              <w:spacing w:line="240" w:lineRule="auto"/>
              <w:ind w:left="57" w:right="57"/>
              <w:rPr>
                <w:rFonts w:ascii="Calibri" w:hAnsi="Calibri"/>
                <w:color w:val="000000"/>
                <w:sz w:val="20"/>
                <w:szCs w:val="20"/>
              </w:rPr>
            </w:pPr>
            <w:r w:rsidRPr="00E06EB4">
              <w:rPr>
                <w:rFonts w:ascii="Calibri" w:hAnsi="Calibri"/>
                <w:color w:val="000000"/>
                <w:sz w:val="20"/>
                <w:szCs w:val="20"/>
              </w:rPr>
              <w:t>Administered</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-0.4</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-1.9</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-3.7</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-5.8</w:t>
            </w:r>
          </w:p>
        </w:tc>
        <w:tc>
          <w:tcPr>
            <w:tcW w:w="327"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-11.8</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-8.2</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-8.1</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-6.9</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-5.2</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-3.1</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-44.0</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vAlign w:val="bottom"/>
          </w:tcPr>
          <w:p w:rsidR="00E06EB4" w:rsidRPr="00E06EB4" w:rsidRDefault="00E06EB4" w:rsidP="00E06EB4">
            <w:pPr>
              <w:spacing w:line="240" w:lineRule="auto"/>
              <w:ind w:left="57" w:right="57"/>
              <w:rPr>
                <w:rFonts w:ascii="Calibri" w:hAnsi="Calibri"/>
                <w:color w:val="000000"/>
                <w:sz w:val="20"/>
                <w:szCs w:val="20"/>
              </w:rPr>
            </w:pPr>
            <w:r w:rsidRPr="00E06EB4">
              <w:rPr>
                <w:rFonts w:ascii="Calibri" w:hAnsi="Calibri"/>
                <w:color w:val="000000"/>
                <w:sz w:val="20"/>
                <w:szCs w:val="20"/>
              </w:rPr>
              <w:t>Departmental</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-0.2</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-0.3</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-0.3</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-0.4</w:t>
            </w:r>
          </w:p>
        </w:tc>
        <w:tc>
          <w:tcPr>
            <w:tcW w:w="327"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-1.2</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-0.4</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-0.5</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-0.5</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-0.6</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-0.2</w:t>
            </w:r>
          </w:p>
        </w:tc>
        <w:tc>
          <w:tcPr>
            <w:tcW w:w="325"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06EB4">
              <w:rPr>
                <w:rFonts w:ascii="Calibri" w:hAnsi="Calibri"/>
                <w:color w:val="000000"/>
                <w:sz w:val="20"/>
                <w:szCs w:val="20"/>
              </w:rPr>
              <w:t>-</w:t>
            </w:r>
          </w:p>
        </w:tc>
        <w:tc>
          <w:tcPr>
            <w:tcW w:w="326"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-3.9</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bottom"/>
          </w:tcPr>
          <w:p w:rsidR="00E06EB4" w:rsidRPr="00E06EB4" w:rsidRDefault="00E06EB4" w:rsidP="00E06EB4">
            <w:pPr>
              <w:spacing w:line="240" w:lineRule="auto"/>
              <w:ind w:left="57" w:right="57"/>
              <w:rPr>
                <w:rFonts w:ascii="Calibri" w:hAnsi="Calibri"/>
                <w:b/>
                <w:bCs/>
                <w:color w:val="000000"/>
                <w:sz w:val="20"/>
                <w:szCs w:val="20"/>
              </w:rPr>
            </w:pPr>
            <w:r w:rsidRPr="00E06EB4">
              <w:rPr>
                <w:rFonts w:ascii="Calibri" w:hAnsi="Calibri"/>
                <w:b/>
                <w:bCs/>
                <w:color w:val="000000"/>
                <w:sz w:val="20"/>
                <w:szCs w:val="20"/>
              </w:rPr>
              <w:t>Total</w:t>
            </w:r>
          </w:p>
        </w:tc>
        <w:tc>
          <w:tcPr>
            <w:tcW w:w="326"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-0.6</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-2.2</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-4.1</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-6.2</w:t>
            </w:r>
          </w:p>
        </w:tc>
        <w:tc>
          <w:tcPr>
            <w:tcW w:w="327"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-13.0</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-8.6</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-8.6</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-7.4</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-5.8</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-3.7</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-0.8</w:t>
            </w:r>
          </w:p>
        </w:tc>
        <w:tc>
          <w:tcPr>
            <w:tcW w:w="325"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w:t>
            </w:r>
          </w:p>
        </w:tc>
        <w:tc>
          <w:tcPr>
            <w:tcW w:w="326"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06EB4">
              <w:rPr>
                <w:rFonts w:ascii="Calibri" w:hAnsi="Calibri"/>
                <w:b/>
                <w:bCs/>
                <w:color w:val="000000"/>
                <w:sz w:val="20"/>
                <w:szCs w:val="20"/>
              </w:rPr>
              <w:t>-47.9</w:t>
            </w:r>
          </w:p>
        </w:tc>
      </w:tr>
    </w:tbl>
    <w:p w:rsidR="00E06EB4" w:rsidRPr="00E06EB4" w:rsidRDefault="00E06EB4" w:rsidP="000B5C96">
      <w:pPr>
        <w:pStyle w:val="Footnotes"/>
        <w:numPr>
          <w:ilvl w:val="0"/>
          <w:numId w:val="74"/>
        </w:numPr>
        <w:ind w:left="284" w:hanging="284"/>
      </w:pPr>
      <w:r w:rsidRPr="00E06EB4">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E06EB4" w:rsidRPr="00E06EB4" w:rsidRDefault="00E06EB4" w:rsidP="00AA28C3">
      <w:pPr>
        <w:pStyle w:val="Footnotes"/>
      </w:pPr>
      <w:r w:rsidRPr="00E06EB4">
        <w:t>Figures may not sum to totals due to rounding.</w:t>
      </w:r>
    </w:p>
    <w:p w:rsidR="00E06EB4" w:rsidRPr="00E06EB4" w:rsidRDefault="00E06EB4" w:rsidP="000B5C96">
      <w:pPr>
        <w:pStyle w:val="Footnotes"/>
        <w:numPr>
          <w:ilvl w:val="0"/>
          <w:numId w:val="33"/>
        </w:numPr>
        <w:ind w:left="284" w:hanging="284"/>
      </w:pPr>
      <w:r w:rsidRPr="00E06EB4">
        <w:tab/>
        <w:t>Indicates nil.</w:t>
      </w:r>
    </w:p>
    <w:p w:rsidR="00E06EB4" w:rsidRPr="00E06EB4" w:rsidRDefault="00E06EB4" w:rsidP="00905B06">
      <w:pPr>
        <w:pStyle w:val="Caption"/>
      </w:pPr>
      <w:r w:rsidRPr="00E06EB4">
        <w:lastRenderedPageBreak/>
        <w:t>Table A5: Component 2: Building electric vehicle charging infrastructure—Financial implications (outturn prices)</w:t>
      </w:r>
      <w:r w:rsidRPr="00E06EB4">
        <w:rPr>
          <w:vertAlign w:val="superscript"/>
        </w:rPr>
        <w:t>(a)(b)</w:t>
      </w:r>
    </w:p>
    <w:tbl>
      <w:tblPr>
        <w:tblStyle w:val="TableGrid21"/>
        <w:tblW w:w="4997" w:type="pct"/>
        <w:tblInd w:w="5" w:type="dxa"/>
        <w:tblLook w:val="0680" w:firstRow="0" w:lastRow="0" w:firstColumn="1" w:lastColumn="0" w:noHBand="1" w:noVBand="1"/>
      </w:tblPr>
      <w:tblGrid>
        <w:gridCol w:w="2155"/>
        <w:gridCol w:w="856"/>
        <w:gridCol w:w="853"/>
        <w:gridCol w:w="853"/>
        <w:gridCol w:w="853"/>
        <w:gridCol w:w="858"/>
        <w:gridCol w:w="853"/>
        <w:gridCol w:w="853"/>
        <w:gridCol w:w="853"/>
        <w:gridCol w:w="853"/>
        <w:gridCol w:w="853"/>
        <w:gridCol w:w="853"/>
        <w:gridCol w:w="853"/>
        <w:gridCol w:w="848"/>
      </w:tblGrid>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813" w:type="pct"/>
            <w:shd w:val="clear" w:color="auto" w:fill="D7DDE9"/>
            <w:vAlign w:val="center"/>
          </w:tcPr>
          <w:p w:rsidR="00E06EB4" w:rsidRPr="00E06EB4" w:rsidRDefault="00E06EB4" w:rsidP="00E06EB4">
            <w:pPr>
              <w:keepNext/>
              <w:keepLines/>
              <w:spacing w:line="240" w:lineRule="auto"/>
              <w:ind w:left="57" w:right="57"/>
              <w:rPr>
                <w:rFonts w:ascii="Calibri" w:hAnsi="Calibri"/>
                <w:sz w:val="20"/>
                <w:szCs w:val="20"/>
              </w:rPr>
            </w:pPr>
            <w:r w:rsidRPr="00E06EB4">
              <w:rPr>
                <w:rFonts w:ascii="Calibri" w:hAnsi="Calibri"/>
                <w:sz w:val="20"/>
                <w:szCs w:val="20"/>
              </w:rPr>
              <w:t>($m)</w:t>
            </w:r>
          </w:p>
        </w:tc>
        <w:tc>
          <w:tcPr>
            <w:tcW w:w="323"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2016–17</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2017–18</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2018–19</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2019–20</w:t>
            </w:r>
          </w:p>
        </w:tc>
        <w:tc>
          <w:tcPr>
            <w:tcW w:w="324"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06EB4">
              <w:rPr>
                <w:rFonts w:ascii="Calibri" w:hAnsi="Calibri"/>
                <w:b/>
                <w:sz w:val="20"/>
              </w:rPr>
              <w:t>Total to 2019–20</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2020–21</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2021–22</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2022–23</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2023–24</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2024–25</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2025–26</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06EB4">
              <w:rPr>
                <w:rFonts w:ascii="Calibri" w:hAnsi="Calibri"/>
                <w:sz w:val="20"/>
              </w:rPr>
              <w:t>2026–27</w:t>
            </w:r>
          </w:p>
        </w:tc>
        <w:tc>
          <w:tcPr>
            <w:tcW w:w="320"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06EB4">
              <w:rPr>
                <w:rFonts w:ascii="Calibri" w:hAnsi="Calibri"/>
                <w:b/>
                <w:sz w:val="20"/>
              </w:rPr>
              <w:t>Total to 2026–27</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7DDE9"/>
          </w:tcPr>
          <w:p w:rsidR="00E06EB4" w:rsidRPr="00E06EB4" w:rsidRDefault="00E06EB4" w:rsidP="00E06EB4">
            <w:pPr>
              <w:keepNext/>
              <w:keepLines/>
              <w:spacing w:line="240" w:lineRule="auto"/>
              <w:ind w:left="57" w:right="57"/>
              <w:rPr>
                <w:rFonts w:ascii="Calibri" w:hAnsi="Calibri"/>
                <w:b/>
                <w:sz w:val="20"/>
              </w:rPr>
            </w:pPr>
            <w:r w:rsidRPr="00E06EB4">
              <w:rPr>
                <w:rFonts w:ascii="Calibri" w:hAnsi="Calibri"/>
                <w:b/>
                <w:sz w:val="20"/>
              </w:rPr>
              <w:t xml:space="preserve">Impact on fiscal and underlying cash balances </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E06EB4" w:rsidRPr="00E06EB4" w:rsidRDefault="00E06EB4" w:rsidP="00E06EB4">
            <w:pPr>
              <w:keepNext/>
              <w:keepLines/>
              <w:spacing w:line="240" w:lineRule="auto"/>
              <w:ind w:left="57" w:right="57"/>
              <w:rPr>
                <w:rFonts w:ascii="Calibri" w:hAnsi="Calibri"/>
                <w:b/>
                <w:i/>
                <w:sz w:val="20"/>
              </w:rPr>
            </w:pPr>
            <w:r w:rsidRPr="00E06EB4">
              <w:rPr>
                <w:rFonts w:ascii="Calibri" w:hAnsi="Calibri"/>
                <w:b/>
                <w:i/>
                <w:sz w:val="20"/>
              </w:rPr>
              <w:t>Administered</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813" w:type="pct"/>
          </w:tcPr>
          <w:p w:rsidR="00E06EB4" w:rsidRPr="00E06EB4" w:rsidRDefault="00E06EB4" w:rsidP="00E06EB4">
            <w:pPr>
              <w:keepNext/>
              <w:keepLines/>
              <w:spacing w:line="240" w:lineRule="auto"/>
              <w:ind w:left="57" w:right="57"/>
              <w:rPr>
                <w:rFonts w:ascii="Calibri" w:hAnsi="Calibri"/>
              </w:rPr>
            </w:pPr>
            <w:r w:rsidRPr="00E06EB4">
              <w:rPr>
                <w:rFonts w:ascii="Calibri" w:hAnsi="Calibri"/>
              </w:rPr>
              <w:t>Electric vehicle charging infrastructure</w:t>
            </w:r>
          </w:p>
        </w:tc>
        <w:tc>
          <w:tcPr>
            <w:tcW w:w="323"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-37.5</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-37.5</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-37.5</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-37.5</w:t>
            </w:r>
          </w:p>
        </w:tc>
        <w:tc>
          <w:tcPr>
            <w:tcW w:w="324"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-150.0</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0"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-150.0</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813" w:type="pct"/>
          </w:tcPr>
          <w:p w:rsidR="00E06EB4" w:rsidRPr="00E06EB4" w:rsidRDefault="00E06EB4" w:rsidP="00E06EB4">
            <w:pPr>
              <w:keepNext/>
              <w:keepLines/>
              <w:spacing w:line="240" w:lineRule="auto"/>
              <w:ind w:left="57" w:right="57"/>
              <w:rPr>
                <w:rFonts w:ascii="Calibri" w:hAnsi="Calibri"/>
              </w:rPr>
            </w:pPr>
            <w:r w:rsidRPr="00E06EB4">
              <w:rPr>
                <w:rFonts w:ascii="Calibri" w:hAnsi="Calibri"/>
              </w:rPr>
              <w:t>NGO fleet gap subsidy</w:t>
            </w:r>
          </w:p>
        </w:tc>
        <w:tc>
          <w:tcPr>
            <w:tcW w:w="323"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-12.5</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-12.5</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-12.5</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-12.5</w:t>
            </w:r>
          </w:p>
        </w:tc>
        <w:tc>
          <w:tcPr>
            <w:tcW w:w="324"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-50.0</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0" w:type="pct"/>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-50.0</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813" w:type="pct"/>
            <w:shd w:val="clear" w:color="auto" w:fill="D7DDE9"/>
          </w:tcPr>
          <w:p w:rsidR="00E06EB4" w:rsidRPr="00E06EB4" w:rsidRDefault="00E06EB4" w:rsidP="00E06EB4">
            <w:pPr>
              <w:keepNext/>
              <w:keepLines/>
              <w:spacing w:line="240" w:lineRule="auto"/>
              <w:ind w:left="57" w:right="57"/>
              <w:rPr>
                <w:rFonts w:ascii="Calibri" w:hAnsi="Calibri"/>
                <w:b/>
              </w:rPr>
            </w:pPr>
            <w:r w:rsidRPr="00E06EB4">
              <w:rPr>
                <w:rFonts w:ascii="Calibri" w:hAnsi="Calibri"/>
                <w:b/>
              </w:rPr>
              <w:t>Total administered</w:t>
            </w:r>
          </w:p>
        </w:tc>
        <w:tc>
          <w:tcPr>
            <w:tcW w:w="323"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-50.0</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-50.0</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-50.0</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-50.0</w:t>
            </w:r>
          </w:p>
        </w:tc>
        <w:tc>
          <w:tcPr>
            <w:tcW w:w="324"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-200.0</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0" w:type="pct"/>
            <w:shd w:val="clear" w:color="auto" w:fill="D7DDE9"/>
            <w:vAlign w:val="center"/>
          </w:tcPr>
          <w:p w:rsidR="00E06EB4" w:rsidRPr="00E06EB4" w:rsidRDefault="00E06EB4" w:rsidP="00E06EB4">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-200.0</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E06EB4" w:rsidRPr="00E06EB4" w:rsidRDefault="00E06EB4" w:rsidP="00E06EB4">
            <w:pPr>
              <w:keepNext/>
              <w:keepLines/>
              <w:spacing w:line="240" w:lineRule="auto"/>
              <w:ind w:left="57" w:right="57"/>
              <w:rPr>
                <w:rFonts w:ascii="Calibri" w:hAnsi="Calibri"/>
                <w:b/>
                <w:i/>
                <w:sz w:val="20"/>
              </w:rPr>
            </w:pPr>
            <w:r w:rsidRPr="00E06EB4">
              <w:rPr>
                <w:rFonts w:ascii="Calibri" w:hAnsi="Calibri"/>
                <w:b/>
                <w:i/>
                <w:sz w:val="20"/>
              </w:rPr>
              <w:t>Departmental</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813" w:type="pct"/>
          </w:tcPr>
          <w:p w:rsidR="00E06EB4" w:rsidRPr="00E06EB4" w:rsidRDefault="00E06EB4" w:rsidP="00E06EB4">
            <w:pPr>
              <w:keepNext/>
              <w:keepLines/>
              <w:spacing w:line="240" w:lineRule="auto"/>
              <w:ind w:left="57" w:right="57"/>
              <w:rPr>
                <w:rFonts w:ascii="Calibri" w:hAnsi="Calibri"/>
              </w:rPr>
            </w:pPr>
            <w:r w:rsidRPr="00E06EB4">
              <w:rPr>
                <w:rFonts w:ascii="Calibri" w:hAnsi="Calibri"/>
              </w:rPr>
              <w:t>Electric vehicle charging infrastructure</w:t>
            </w:r>
          </w:p>
        </w:tc>
        <w:tc>
          <w:tcPr>
            <w:tcW w:w="323"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-0.3</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-0.3</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-0.3</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-0.3</w:t>
            </w:r>
          </w:p>
        </w:tc>
        <w:tc>
          <w:tcPr>
            <w:tcW w:w="324"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-1.1</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0"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-1.1</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813" w:type="pct"/>
          </w:tcPr>
          <w:p w:rsidR="00E06EB4" w:rsidRPr="00E06EB4" w:rsidRDefault="00E06EB4" w:rsidP="00E06EB4">
            <w:pPr>
              <w:keepNext/>
              <w:keepLines/>
              <w:spacing w:line="240" w:lineRule="auto"/>
              <w:ind w:left="57" w:right="57"/>
              <w:rPr>
                <w:rFonts w:ascii="Calibri" w:hAnsi="Calibri"/>
              </w:rPr>
            </w:pPr>
            <w:r w:rsidRPr="00E06EB4">
              <w:rPr>
                <w:rFonts w:ascii="Calibri" w:hAnsi="Calibri"/>
              </w:rPr>
              <w:t>NGO fleet gap subsidy</w:t>
            </w:r>
          </w:p>
        </w:tc>
        <w:tc>
          <w:tcPr>
            <w:tcW w:w="323"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-0.1</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-0.1</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-0.1</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-0.1</w:t>
            </w:r>
          </w:p>
        </w:tc>
        <w:tc>
          <w:tcPr>
            <w:tcW w:w="324"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-0.4</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2"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06EB4">
              <w:rPr>
                <w:rFonts w:ascii="Calibri" w:hAnsi="Calibri"/>
                <w:sz w:val="20"/>
                <w:szCs w:val="20"/>
              </w:rPr>
              <w:t>-</w:t>
            </w:r>
          </w:p>
        </w:tc>
        <w:tc>
          <w:tcPr>
            <w:tcW w:w="320" w:type="pct"/>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-0.4</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813" w:type="pct"/>
            <w:shd w:val="clear" w:color="auto" w:fill="D7DDE9"/>
          </w:tcPr>
          <w:p w:rsidR="00E06EB4" w:rsidRPr="00E06EB4" w:rsidRDefault="00E06EB4" w:rsidP="00E06EB4">
            <w:pPr>
              <w:keepNext/>
              <w:keepLines/>
              <w:spacing w:line="240" w:lineRule="auto"/>
              <w:ind w:left="57" w:right="57"/>
              <w:rPr>
                <w:rFonts w:ascii="Calibri" w:hAnsi="Calibri"/>
                <w:b/>
              </w:rPr>
            </w:pPr>
            <w:r w:rsidRPr="00E06EB4">
              <w:rPr>
                <w:rFonts w:ascii="Calibri" w:hAnsi="Calibri"/>
                <w:b/>
              </w:rPr>
              <w:t>Total departmental</w:t>
            </w:r>
          </w:p>
        </w:tc>
        <w:tc>
          <w:tcPr>
            <w:tcW w:w="323"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-0.4</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-0.4</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-0.4</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-0.4</w:t>
            </w:r>
          </w:p>
        </w:tc>
        <w:tc>
          <w:tcPr>
            <w:tcW w:w="324"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-1.4</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0"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-1.4</w:t>
            </w:r>
          </w:p>
        </w:tc>
      </w:tr>
      <w:tr w:rsidR="00E06EB4" w:rsidRPr="00E06EB4" w:rsidTr="007A24E1">
        <w:trPr>
          <w:cantSplit/>
        </w:trPr>
        <w:tc>
          <w:tcPr>
            <w:cnfStyle w:val="001000000000" w:firstRow="0" w:lastRow="0" w:firstColumn="1" w:lastColumn="0" w:oddVBand="0" w:evenVBand="0" w:oddHBand="0" w:evenHBand="0" w:firstRowFirstColumn="0" w:firstRowLastColumn="0" w:lastRowFirstColumn="0" w:lastRowLastColumn="0"/>
            <w:tcW w:w="813" w:type="pct"/>
            <w:shd w:val="clear" w:color="auto" w:fill="D7DDE9"/>
          </w:tcPr>
          <w:p w:rsidR="00E06EB4" w:rsidRPr="00E06EB4" w:rsidRDefault="00E06EB4" w:rsidP="00E06EB4">
            <w:pPr>
              <w:keepNext/>
              <w:keepLines/>
              <w:spacing w:line="240" w:lineRule="auto"/>
              <w:ind w:left="57" w:right="57"/>
              <w:rPr>
                <w:rFonts w:ascii="Calibri" w:hAnsi="Calibri"/>
                <w:b/>
              </w:rPr>
            </w:pPr>
            <w:r w:rsidRPr="00E06EB4">
              <w:rPr>
                <w:rFonts w:ascii="Calibri" w:hAnsi="Calibri"/>
                <w:b/>
              </w:rPr>
              <w:t>Total</w:t>
            </w:r>
          </w:p>
        </w:tc>
        <w:tc>
          <w:tcPr>
            <w:tcW w:w="323"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-50.4</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-50.4</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-50.4</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-50.4</w:t>
            </w:r>
          </w:p>
        </w:tc>
        <w:tc>
          <w:tcPr>
            <w:tcW w:w="324"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-201.4</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2"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w:t>
            </w:r>
          </w:p>
        </w:tc>
        <w:tc>
          <w:tcPr>
            <w:tcW w:w="320" w:type="pct"/>
            <w:shd w:val="clear" w:color="auto" w:fill="D7DDE9"/>
            <w:vAlign w:val="center"/>
          </w:tcPr>
          <w:p w:rsidR="00E06EB4" w:rsidRPr="00E06EB4" w:rsidRDefault="00E06EB4" w:rsidP="00E06EB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E06EB4">
              <w:rPr>
                <w:rFonts w:ascii="Calibri" w:hAnsi="Calibri"/>
                <w:b/>
                <w:bCs/>
                <w:sz w:val="20"/>
                <w:szCs w:val="20"/>
              </w:rPr>
              <w:t>-201.4</w:t>
            </w:r>
          </w:p>
        </w:tc>
      </w:tr>
    </w:tbl>
    <w:p w:rsidR="00E06EB4" w:rsidRDefault="00E06EB4" w:rsidP="000B5C96">
      <w:pPr>
        <w:pStyle w:val="Footnotes"/>
        <w:numPr>
          <w:ilvl w:val="0"/>
          <w:numId w:val="75"/>
        </w:numPr>
        <w:ind w:left="284" w:hanging="284"/>
      </w:pPr>
      <w:r w:rsidRPr="00E06EB4">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   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E06EB4" w:rsidRPr="00E06EB4" w:rsidRDefault="00E06EB4" w:rsidP="00AA28C3">
      <w:pPr>
        <w:pStyle w:val="Footnotes"/>
      </w:pPr>
      <w:r w:rsidRPr="00E06EB4">
        <w:t>Figures may not sum to totals due to rounding.</w:t>
      </w:r>
    </w:p>
    <w:p w:rsidR="00E06EB4" w:rsidRPr="00E06EB4" w:rsidRDefault="00E06EB4" w:rsidP="000B5C96">
      <w:pPr>
        <w:pStyle w:val="Footnotes"/>
        <w:numPr>
          <w:ilvl w:val="0"/>
          <w:numId w:val="33"/>
        </w:numPr>
        <w:ind w:left="284" w:hanging="284"/>
      </w:pPr>
      <w:r w:rsidRPr="00E06EB4">
        <w:tab/>
        <w:t>Indicates nil.</w:t>
      </w:r>
    </w:p>
    <w:p w:rsidR="007A24E1" w:rsidRDefault="007A24E1" w:rsidP="00AA28C3">
      <w:pPr>
        <w:pStyle w:val="Footnotes"/>
        <w:sectPr w:rsidR="007A24E1" w:rsidSect="00A97AC4">
          <w:headerReference w:type="even" r:id="rId179"/>
          <w:headerReference w:type="default" r:id="rId180"/>
          <w:footerReference w:type="even" r:id="rId181"/>
          <w:footerReference w:type="default" r:id="rId182"/>
          <w:pgSz w:w="16839" w:h="11907" w:orient="landscape" w:code="9"/>
          <w:pgMar w:top="1361" w:right="1797" w:bottom="1474" w:left="1797" w:header="283" w:footer="454" w:gutter="0"/>
          <w:cols w:space="708"/>
          <w:docGrid w:linePitch="360"/>
        </w:sectPr>
      </w:pPr>
    </w:p>
    <w:p w:rsidR="007A24E1" w:rsidRPr="007A24E1" w:rsidRDefault="007A24E1" w:rsidP="007A4BF9">
      <w:pPr>
        <w:pStyle w:val="Heading5"/>
      </w:pPr>
      <w:bookmarkStart w:id="71" w:name="_Toc455655131"/>
      <w:bookmarkStart w:id="72" w:name="_Toc456766801"/>
      <w:bookmarkStart w:id="73" w:name="_Toc457819895"/>
      <w:bookmarkStart w:id="74" w:name="_Toc458015785"/>
      <w:bookmarkStart w:id="75" w:name="_Toc458090624"/>
      <w:r w:rsidRPr="007A24E1">
        <w:lastRenderedPageBreak/>
        <w:t>GRN018: National anti-corruption watchdog</w:t>
      </w:r>
      <w:bookmarkEnd w:id="71"/>
      <w:bookmarkEnd w:id="72"/>
      <w:bookmarkEnd w:id="73"/>
      <w:bookmarkEnd w:id="74"/>
      <w:bookmarkEnd w:id="75"/>
    </w:p>
    <w:p w:rsidR="00FE0CB0" w:rsidRDefault="007A24E1" w:rsidP="007A4BF9">
      <w:pPr>
        <w:pStyle w:val="BodyText"/>
      </w:pPr>
      <w:r>
        <w:rPr>
          <w:noProof/>
          <w:lang w:eastAsia="en-AU"/>
        </w:rPr>
        <w:drawing>
          <wp:inline distT="0" distB="0" distL="0" distR="0" wp14:anchorId="6A52EF5A" wp14:editId="0AB53BAC">
            <wp:extent cx="2696845" cy="572135"/>
            <wp:effectExtent l="0" t="0" r="8255" b="0"/>
            <wp:docPr id="453" name="Picture 45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7A24E1" w:rsidRPr="007A24E1" w:rsidRDefault="007A24E1" w:rsidP="007A4BF9">
      <w:pPr>
        <w:pStyle w:val="Heading6"/>
        <w:rPr>
          <w:rFonts w:eastAsia="Calibri"/>
        </w:rPr>
      </w:pPr>
      <w:r w:rsidRPr="007A24E1">
        <w:rPr>
          <w:rFonts w:eastAsia="Calibri"/>
        </w:rPr>
        <w:t>Policy costing—during the caretaker period for the 2016 general election</w:t>
      </w:r>
    </w:p>
    <w:tbl>
      <w:tblPr>
        <w:tblStyle w:val="TableGrid22"/>
        <w:tblW w:w="8340" w:type="dxa"/>
        <w:tblLook w:val="04A0" w:firstRow="1" w:lastRow="0" w:firstColumn="1" w:lastColumn="0" w:noHBand="0" w:noVBand="1"/>
      </w:tblPr>
      <w:tblGrid>
        <w:gridCol w:w="3005"/>
        <w:gridCol w:w="5335"/>
      </w:tblGrid>
      <w:tr w:rsidR="007A24E1" w:rsidRPr="00AF49FE" w:rsidTr="007A24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7A24E1" w:rsidRPr="00AF49FE" w:rsidRDefault="007A24E1" w:rsidP="00AF49FE">
            <w:pPr>
              <w:pStyle w:val="PullOutBoxHeading"/>
              <w:rPr>
                <w:b/>
              </w:rPr>
            </w:pPr>
            <w:r w:rsidRPr="00AF49FE">
              <w:rPr>
                <w:b/>
              </w:rPr>
              <w:t>Name of proposal:</w:t>
            </w:r>
          </w:p>
        </w:tc>
        <w:tc>
          <w:tcPr>
            <w:tcW w:w="5335" w:type="dxa"/>
          </w:tcPr>
          <w:p w:rsidR="007A24E1" w:rsidRPr="00AF49FE" w:rsidRDefault="007A24E1" w:rsidP="00AF49FE">
            <w:pPr>
              <w:pStyle w:val="PullOutBoxHeading"/>
              <w:cnfStyle w:val="100000000000" w:firstRow="1" w:lastRow="0" w:firstColumn="0" w:lastColumn="0" w:oddVBand="0" w:evenVBand="0" w:oddHBand="0" w:evenHBand="0" w:firstRowFirstColumn="0" w:firstRowLastColumn="0" w:lastRowFirstColumn="0" w:lastRowLastColumn="0"/>
              <w:rPr>
                <w:b/>
              </w:rPr>
            </w:pPr>
            <w:r w:rsidRPr="00AF49FE">
              <w:rPr>
                <w:b/>
              </w:rPr>
              <w:t>National Anti-Corruption Watchdog</w:t>
            </w:r>
          </w:p>
        </w:tc>
      </w:tr>
      <w:tr w:rsidR="007A24E1" w:rsidRPr="007A24E1" w:rsidTr="007A2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7A24E1" w:rsidRPr="007A24E1" w:rsidRDefault="007A24E1" w:rsidP="00635389">
            <w:pPr>
              <w:pStyle w:val="PullOutBoxBodyText"/>
            </w:pPr>
            <w:r w:rsidRPr="007A24E1">
              <w:t>Summary of proposal:</w:t>
            </w:r>
          </w:p>
        </w:tc>
        <w:tc>
          <w:tcPr>
            <w:tcW w:w="5335" w:type="dxa"/>
          </w:tcPr>
          <w:p w:rsidR="007A24E1" w:rsidRPr="007A24E1" w:rsidRDefault="007A24E1" w:rsidP="00635389">
            <w:pPr>
              <w:pStyle w:val="PullOutBoxBodyText"/>
              <w:cnfStyle w:val="000000100000" w:firstRow="0" w:lastRow="0" w:firstColumn="0" w:lastColumn="0" w:oddVBand="0" w:evenVBand="0" w:oddHBand="1" w:evenHBand="0" w:firstRowFirstColumn="0" w:firstRowLastColumn="0" w:lastRowFirstColumn="0" w:lastRowLastColumn="0"/>
            </w:pPr>
            <w:r w:rsidRPr="007A24E1">
              <w:t>The proposal would establish a standing independent commission against corruption (the commission) to investigate matters relating to the federal public service and the Parliament.</w:t>
            </w:r>
          </w:p>
          <w:p w:rsidR="007A24E1" w:rsidRPr="007A24E1" w:rsidRDefault="007A24E1" w:rsidP="00635389">
            <w:pPr>
              <w:pStyle w:val="PullOutBoxBodyText"/>
              <w:cnfStyle w:val="000000100000" w:firstRow="0" w:lastRow="0" w:firstColumn="0" w:lastColumn="0" w:oddVBand="0" w:evenVBand="0" w:oddHBand="1" w:evenHBand="0" w:firstRowFirstColumn="0" w:firstRowLastColumn="0" w:lastRowFirstColumn="0" w:lastRowLastColumn="0"/>
            </w:pPr>
            <w:r w:rsidRPr="007A24E1">
              <w:t>The proposal would have effect from 1 September 2016.</w:t>
            </w:r>
          </w:p>
        </w:tc>
      </w:tr>
      <w:tr w:rsidR="007A24E1" w:rsidRPr="007A24E1" w:rsidTr="007A24E1">
        <w:tc>
          <w:tcPr>
            <w:cnfStyle w:val="001000000000" w:firstRow="0" w:lastRow="0" w:firstColumn="1" w:lastColumn="0" w:oddVBand="0" w:evenVBand="0" w:oddHBand="0" w:evenHBand="0" w:firstRowFirstColumn="0" w:firstRowLastColumn="0" w:lastRowFirstColumn="0" w:lastRowLastColumn="0"/>
            <w:tcW w:w="3005" w:type="dxa"/>
          </w:tcPr>
          <w:p w:rsidR="007A24E1" w:rsidRPr="007A24E1" w:rsidRDefault="007A24E1" w:rsidP="00635389">
            <w:pPr>
              <w:pStyle w:val="PullOutBoxBodyText"/>
            </w:pPr>
            <w:r w:rsidRPr="007A24E1">
              <w:t>Person/party requesting costing:</w:t>
            </w:r>
          </w:p>
        </w:tc>
        <w:tc>
          <w:tcPr>
            <w:tcW w:w="5335" w:type="dxa"/>
          </w:tcPr>
          <w:p w:rsidR="007A24E1" w:rsidRPr="007A24E1" w:rsidRDefault="007A24E1" w:rsidP="00635389">
            <w:pPr>
              <w:pStyle w:val="PullOutBoxBodyText"/>
              <w:cnfStyle w:val="000000000000" w:firstRow="0" w:lastRow="0" w:firstColumn="0" w:lastColumn="0" w:oddVBand="0" w:evenVBand="0" w:oddHBand="0" w:evenHBand="0" w:firstRowFirstColumn="0" w:firstRowLastColumn="0" w:lastRowFirstColumn="0" w:lastRowLastColumn="0"/>
            </w:pPr>
            <w:r w:rsidRPr="007A24E1">
              <w:t>Senator Richard Di Natale, Australian Greens</w:t>
            </w:r>
          </w:p>
        </w:tc>
      </w:tr>
      <w:tr w:rsidR="007A24E1" w:rsidRPr="007A24E1" w:rsidTr="007A2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7A24E1" w:rsidRPr="007A24E1" w:rsidRDefault="007A24E1" w:rsidP="00635389">
            <w:pPr>
              <w:pStyle w:val="PullOutBoxBodyText"/>
            </w:pPr>
            <w:r w:rsidRPr="007A24E1">
              <w:t>Date of public release of policy:</w:t>
            </w:r>
          </w:p>
        </w:tc>
        <w:tc>
          <w:tcPr>
            <w:tcW w:w="5335" w:type="dxa"/>
          </w:tcPr>
          <w:p w:rsidR="007A24E1" w:rsidRPr="007A24E1" w:rsidRDefault="007A24E1" w:rsidP="00635389">
            <w:pPr>
              <w:pStyle w:val="PullOutBoxBodyText"/>
              <w:cnfStyle w:val="000000100000" w:firstRow="0" w:lastRow="0" w:firstColumn="0" w:lastColumn="0" w:oddVBand="0" w:evenVBand="0" w:oddHBand="1" w:evenHBand="0" w:firstRowFirstColumn="0" w:firstRowLastColumn="0" w:lastRowFirstColumn="0" w:lastRowLastColumn="0"/>
            </w:pPr>
            <w:r w:rsidRPr="007A24E1">
              <w:t>9 June 2016</w:t>
            </w:r>
          </w:p>
        </w:tc>
      </w:tr>
      <w:tr w:rsidR="007A24E1" w:rsidRPr="007A24E1" w:rsidTr="007A24E1">
        <w:tc>
          <w:tcPr>
            <w:cnfStyle w:val="001000000000" w:firstRow="0" w:lastRow="0" w:firstColumn="1" w:lastColumn="0" w:oddVBand="0" w:evenVBand="0" w:oddHBand="0" w:evenHBand="0" w:firstRowFirstColumn="0" w:firstRowLastColumn="0" w:lastRowFirstColumn="0" w:lastRowLastColumn="0"/>
            <w:tcW w:w="3005" w:type="dxa"/>
          </w:tcPr>
          <w:p w:rsidR="007A24E1" w:rsidRPr="007A24E1" w:rsidRDefault="007A24E1" w:rsidP="00635389">
            <w:pPr>
              <w:pStyle w:val="PullOutBoxBodyText"/>
            </w:pPr>
            <w:r w:rsidRPr="007A24E1">
              <w:t>Date costing request received:</w:t>
            </w:r>
          </w:p>
        </w:tc>
        <w:tc>
          <w:tcPr>
            <w:tcW w:w="5335" w:type="dxa"/>
          </w:tcPr>
          <w:p w:rsidR="007A24E1" w:rsidRPr="007A24E1" w:rsidRDefault="007A24E1" w:rsidP="00635389">
            <w:pPr>
              <w:pStyle w:val="PullOutBoxBodyText"/>
              <w:cnfStyle w:val="000000000000" w:firstRow="0" w:lastRow="0" w:firstColumn="0" w:lastColumn="0" w:oddVBand="0" w:evenVBand="0" w:oddHBand="0" w:evenHBand="0" w:firstRowFirstColumn="0" w:firstRowLastColumn="0" w:lastRowFirstColumn="0" w:lastRowLastColumn="0"/>
            </w:pPr>
            <w:r w:rsidRPr="007A24E1">
              <w:t>24 June 2016</w:t>
            </w:r>
          </w:p>
        </w:tc>
      </w:tr>
      <w:tr w:rsidR="007A24E1" w:rsidRPr="007A24E1" w:rsidTr="007A2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7A24E1" w:rsidRPr="007A24E1" w:rsidRDefault="007A24E1" w:rsidP="00635389">
            <w:pPr>
              <w:pStyle w:val="PullOutBoxBodyText"/>
            </w:pPr>
            <w:r w:rsidRPr="007A24E1">
              <w:t>Date costing completed</w:t>
            </w:r>
          </w:p>
        </w:tc>
        <w:tc>
          <w:tcPr>
            <w:tcW w:w="5335" w:type="dxa"/>
          </w:tcPr>
          <w:p w:rsidR="007A24E1" w:rsidRPr="007A24E1" w:rsidRDefault="007A24E1" w:rsidP="00635389">
            <w:pPr>
              <w:pStyle w:val="PullOutBoxBodyText"/>
              <w:cnfStyle w:val="000000100000" w:firstRow="0" w:lastRow="0" w:firstColumn="0" w:lastColumn="0" w:oddVBand="0" w:evenVBand="0" w:oddHBand="1" w:evenHBand="0" w:firstRowFirstColumn="0" w:firstRowLastColumn="0" w:lastRowFirstColumn="0" w:lastRowLastColumn="0"/>
            </w:pPr>
            <w:r w:rsidRPr="007A24E1">
              <w:t>25 June 2016</w:t>
            </w:r>
          </w:p>
        </w:tc>
      </w:tr>
      <w:tr w:rsidR="007A24E1" w:rsidRPr="007A24E1" w:rsidTr="007A24E1">
        <w:tc>
          <w:tcPr>
            <w:cnfStyle w:val="001000000000" w:firstRow="0" w:lastRow="0" w:firstColumn="1" w:lastColumn="0" w:oddVBand="0" w:evenVBand="0" w:oddHBand="0" w:evenHBand="0" w:firstRowFirstColumn="0" w:firstRowLastColumn="0" w:lastRowFirstColumn="0" w:lastRowLastColumn="0"/>
            <w:tcW w:w="3005" w:type="dxa"/>
          </w:tcPr>
          <w:p w:rsidR="007A24E1" w:rsidRPr="007A24E1" w:rsidRDefault="007A24E1" w:rsidP="00635389">
            <w:pPr>
              <w:pStyle w:val="PullOutBoxBodyText"/>
            </w:pPr>
            <w:r w:rsidRPr="007A24E1">
              <w:t>Expiry date for the costing:</w:t>
            </w:r>
          </w:p>
        </w:tc>
        <w:tc>
          <w:tcPr>
            <w:tcW w:w="5335" w:type="dxa"/>
          </w:tcPr>
          <w:p w:rsidR="007A24E1" w:rsidRPr="007A24E1" w:rsidRDefault="007A24E1" w:rsidP="00635389">
            <w:pPr>
              <w:pStyle w:val="PullOutBoxBodyText"/>
              <w:cnfStyle w:val="000000000000" w:firstRow="0" w:lastRow="0" w:firstColumn="0" w:lastColumn="0" w:oddVBand="0" w:evenVBand="0" w:oddHBand="0" w:evenHBand="0" w:firstRowFirstColumn="0" w:firstRowLastColumn="0" w:lastRowFirstColumn="0" w:lastRowLastColumn="0"/>
            </w:pPr>
            <w:r w:rsidRPr="007A24E1">
              <w:t>Release of the next economic and fiscal outlook report</w:t>
            </w:r>
          </w:p>
        </w:tc>
      </w:tr>
    </w:tbl>
    <w:p w:rsidR="007A24E1" w:rsidRPr="00905B06" w:rsidRDefault="007A24E1" w:rsidP="00905B06">
      <w:pPr>
        <w:pStyle w:val="CostingsH7"/>
      </w:pPr>
      <w:r w:rsidRPr="00905B06">
        <w:t>Costing overview</w:t>
      </w:r>
    </w:p>
    <w:p w:rsidR="007A24E1" w:rsidRPr="007A24E1" w:rsidRDefault="007A24E1" w:rsidP="007B493C">
      <w:pPr>
        <w:pStyle w:val="BodyText"/>
      </w:pPr>
      <w:r w:rsidRPr="007A24E1">
        <w:t>This proposal would be expected to decrease both the fiscal and underlying cash balances by $109.0 million over the 2016-17 Budget forward estimates period.  This reflects an increase in departmental expenses of $100.0 million and an increase in departmental related capital expenses of $9.0 million over the 2016-17 Budget forward estimates period.</w:t>
      </w:r>
    </w:p>
    <w:p w:rsidR="007A24E1" w:rsidRPr="007A24E1" w:rsidRDefault="007A24E1" w:rsidP="007B493C">
      <w:pPr>
        <w:pStyle w:val="BodyText"/>
      </w:pPr>
      <w:r w:rsidRPr="007A24E1">
        <w:t xml:space="preserve">The proposal would also have an ongoing impact, and financial implications for the period 2016-17 to 2026-27 are provided at </w:t>
      </w:r>
      <w:r w:rsidRPr="007A24E1">
        <w:rPr>
          <w:u w:val="single"/>
        </w:rPr>
        <w:t>Attachment A</w:t>
      </w:r>
      <w:r w:rsidR="00DB731A">
        <w:t>.</w:t>
      </w:r>
    </w:p>
    <w:p w:rsidR="007A24E1" w:rsidRPr="007A24E1" w:rsidRDefault="007A24E1" w:rsidP="007B493C">
      <w:pPr>
        <w:pStyle w:val="BodyText"/>
      </w:pPr>
      <w:r w:rsidRPr="007A24E1">
        <w:t>The costing is considered to be of medium reliability.  While expenditure estimates for the commission are based on the NSW Independent Commission Against Corruption (ICAC), the size and scope of the prop</w:t>
      </w:r>
      <w:r w:rsidR="00DB731A">
        <w:t>osed commission are uncertain.</w:t>
      </w:r>
    </w:p>
    <w:p w:rsidR="007A24E1" w:rsidRPr="007A24E1" w:rsidRDefault="007A24E1" w:rsidP="00905B06">
      <w:pPr>
        <w:pStyle w:val="Caption"/>
      </w:pPr>
      <w:r w:rsidRPr="007A24E1">
        <w:lastRenderedPageBreak/>
        <w:t>Table 1: Financial implications (outturn prices)</w:t>
      </w:r>
      <w:r w:rsidRPr="007A24E1">
        <w:rPr>
          <w:vertAlign w:val="superscript"/>
        </w:rPr>
        <w:t>(a)</w:t>
      </w:r>
      <w:r w:rsidR="0060256F">
        <w:rPr>
          <w:vertAlign w:val="superscript"/>
        </w:rPr>
        <w:t>(b)</w:t>
      </w:r>
    </w:p>
    <w:tbl>
      <w:tblPr>
        <w:tblStyle w:val="TableGrid22"/>
        <w:tblW w:w="4993" w:type="pct"/>
        <w:tblLook w:val="04A0" w:firstRow="1" w:lastRow="0" w:firstColumn="1" w:lastColumn="0" w:noHBand="0" w:noVBand="1"/>
      </w:tblPr>
      <w:tblGrid>
        <w:gridCol w:w="2645"/>
        <w:gridCol w:w="1134"/>
        <w:gridCol w:w="1133"/>
        <w:gridCol w:w="1133"/>
        <w:gridCol w:w="1133"/>
        <w:gridCol w:w="1132"/>
      </w:tblGrid>
      <w:tr w:rsidR="007A24E1" w:rsidRPr="007A24E1" w:rsidTr="007A24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7A24E1" w:rsidRPr="007A24E1" w:rsidRDefault="007A24E1" w:rsidP="007A24E1">
            <w:pPr>
              <w:keepNext/>
              <w:keepLines/>
              <w:ind w:left="57" w:right="57"/>
              <w:rPr>
                <w:sz w:val="20"/>
                <w:szCs w:val="20"/>
              </w:rPr>
            </w:pPr>
            <w:r w:rsidRPr="007A24E1">
              <w:rPr>
                <w:sz w:val="20"/>
                <w:szCs w:val="20"/>
              </w:rPr>
              <w:t>Impact on ($m)</w:t>
            </w:r>
          </w:p>
        </w:tc>
        <w:tc>
          <w:tcPr>
            <w:tcW w:w="682" w:type="pct"/>
          </w:tcPr>
          <w:p w:rsidR="007A24E1" w:rsidRPr="007A24E1" w:rsidRDefault="007A24E1" w:rsidP="007A24E1">
            <w:pPr>
              <w:keepNext/>
              <w:keepLines/>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7A24E1">
              <w:rPr>
                <w:sz w:val="20"/>
                <w:szCs w:val="20"/>
              </w:rPr>
              <w:t>2016–17</w:t>
            </w:r>
          </w:p>
        </w:tc>
        <w:tc>
          <w:tcPr>
            <w:tcW w:w="682" w:type="pct"/>
          </w:tcPr>
          <w:p w:rsidR="007A24E1" w:rsidRPr="007A24E1" w:rsidRDefault="007A24E1" w:rsidP="007A24E1">
            <w:pPr>
              <w:keepNext/>
              <w:keepLines/>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7A24E1">
              <w:rPr>
                <w:sz w:val="20"/>
                <w:szCs w:val="20"/>
              </w:rPr>
              <w:t>2017–18</w:t>
            </w:r>
          </w:p>
        </w:tc>
        <w:tc>
          <w:tcPr>
            <w:tcW w:w="682" w:type="pct"/>
          </w:tcPr>
          <w:p w:rsidR="007A24E1" w:rsidRPr="007A24E1" w:rsidRDefault="007A24E1" w:rsidP="007A24E1">
            <w:pPr>
              <w:keepNext/>
              <w:keepLines/>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7A24E1">
              <w:rPr>
                <w:sz w:val="20"/>
                <w:szCs w:val="20"/>
              </w:rPr>
              <w:t>2018–19</w:t>
            </w:r>
          </w:p>
        </w:tc>
        <w:tc>
          <w:tcPr>
            <w:tcW w:w="682" w:type="pct"/>
          </w:tcPr>
          <w:p w:rsidR="007A24E1" w:rsidRPr="007A24E1" w:rsidRDefault="007A24E1" w:rsidP="007A24E1">
            <w:pPr>
              <w:keepNext/>
              <w:keepLines/>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7A24E1">
              <w:rPr>
                <w:sz w:val="20"/>
                <w:szCs w:val="20"/>
              </w:rPr>
              <w:t>2019–20</w:t>
            </w:r>
          </w:p>
        </w:tc>
        <w:tc>
          <w:tcPr>
            <w:tcW w:w="681" w:type="pct"/>
          </w:tcPr>
          <w:p w:rsidR="007A24E1" w:rsidRPr="007A24E1" w:rsidRDefault="007A24E1" w:rsidP="007A24E1">
            <w:pPr>
              <w:keepNext/>
              <w:keepLines/>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7A24E1">
              <w:rPr>
                <w:sz w:val="20"/>
                <w:szCs w:val="20"/>
              </w:rPr>
              <w:t>Total</w:t>
            </w:r>
          </w:p>
        </w:tc>
      </w:tr>
      <w:tr w:rsidR="007A24E1" w:rsidRPr="007A24E1" w:rsidTr="007A2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Align w:val="center"/>
          </w:tcPr>
          <w:p w:rsidR="007A24E1" w:rsidRPr="007A24E1" w:rsidRDefault="007A24E1" w:rsidP="007A24E1">
            <w:pPr>
              <w:keepNext/>
              <w:keepLines/>
              <w:ind w:left="57" w:right="57"/>
              <w:rPr>
                <w:rFonts w:ascii="Calibri" w:hAnsi="Calibri"/>
                <w:sz w:val="20"/>
                <w:szCs w:val="20"/>
              </w:rPr>
            </w:pPr>
            <w:r w:rsidRPr="007A24E1">
              <w:rPr>
                <w:rFonts w:ascii="Calibri" w:hAnsi="Calibri"/>
                <w:sz w:val="20"/>
                <w:szCs w:val="20"/>
              </w:rPr>
              <w:t>Fiscal balance</w:t>
            </w:r>
          </w:p>
        </w:tc>
        <w:tc>
          <w:tcPr>
            <w:tcW w:w="682" w:type="pct"/>
            <w:vAlign w:val="center"/>
          </w:tcPr>
          <w:p w:rsidR="007A24E1" w:rsidRPr="007A24E1" w:rsidRDefault="007A24E1" w:rsidP="007A24E1">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A24E1">
              <w:rPr>
                <w:rFonts w:ascii="Calibri" w:hAnsi="Calibri"/>
                <w:color w:val="000000"/>
                <w:sz w:val="20"/>
                <w:szCs w:val="20"/>
              </w:rPr>
              <w:t>-25.7</w:t>
            </w:r>
          </w:p>
        </w:tc>
        <w:tc>
          <w:tcPr>
            <w:tcW w:w="682" w:type="pct"/>
            <w:vAlign w:val="center"/>
          </w:tcPr>
          <w:p w:rsidR="007A24E1" w:rsidRPr="007A24E1" w:rsidRDefault="007A24E1" w:rsidP="007A24E1">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A24E1">
              <w:rPr>
                <w:rFonts w:ascii="Calibri" w:hAnsi="Calibri"/>
                <w:color w:val="000000"/>
                <w:sz w:val="20"/>
                <w:szCs w:val="20"/>
              </w:rPr>
              <w:t>-30.3</w:t>
            </w:r>
          </w:p>
        </w:tc>
        <w:tc>
          <w:tcPr>
            <w:tcW w:w="682" w:type="pct"/>
            <w:vAlign w:val="center"/>
          </w:tcPr>
          <w:p w:rsidR="007A24E1" w:rsidRPr="007A24E1" w:rsidRDefault="007A24E1" w:rsidP="007A24E1">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A24E1">
              <w:rPr>
                <w:rFonts w:ascii="Calibri" w:hAnsi="Calibri"/>
                <w:color w:val="000000"/>
                <w:sz w:val="20"/>
                <w:szCs w:val="20"/>
              </w:rPr>
              <w:t>-26.3</w:t>
            </w:r>
          </w:p>
        </w:tc>
        <w:tc>
          <w:tcPr>
            <w:tcW w:w="682" w:type="pct"/>
            <w:vAlign w:val="center"/>
          </w:tcPr>
          <w:p w:rsidR="007A24E1" w:rsidRPr="007A24E1" w:rsidRDefault="007A24E1" w:rsidP="007A24E1">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A24E1">
              <w:rPr>
                <w:rFonts w:ascii="Calibri" w:hAnsi="Calibri"/>
                <w:color w:val="000000"/>
                <w:sz w:val="20"/>
                <w:szCs w:val="20"/>
              </w:rPr>
              <w:t>-26.7</w:t>
            </w:r>
          </w:p>
        </w:tc>
        <w:tc>
          <w:tcPr>
            <w:tcW w:w="681" w:type="pct"/>
            <w:vAlign w:val="center"/>
          </w:tcPr>
          <w:p w:rsidR="007A24E1" w:rsidRPr="007A24E1" w:rsidRDefault="007A24E1" w:rsidP="007A24E1">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7A24E1">
              <w:rPr>
                <w:rFonts w:ascii="Calibri" w:hAnsi="Calibri"/>
                <w:b/>
                <w:color w:val="000000"/>
                <w:sz w:val="20"/>
                <w:szCs w:val="20"/>
              </w:rPr>
              <w:t>-109.0</w:t>
            </w:r>
          </w:p>
        </w:tc>
      </w:tr>
      <w:tr w:rsidR="007A24E1" w:rsidRPr="007A24E1" w:rsidTr="007A24E1">
        <w:tc>
          <w:tcPr>
            <w:cnfStyle w:val="001000000000" w:firstRow="0" w:lastRow="0" w:firstColumn="1" w:lastColumn="0" w:oddVBand="0" w:evenVBand="0" w:oddHBand="0" w:evenHBand="0" w:firstRowFirstColumn="0" w:firstRowLastColumn="0" w:lastRowFirstColumn="0" w:lastRowLastColumn="0"/>
            <w:tcW w:w="1591" w:type="pct"/>
            <w:vAlign w:val="center"/>
          </w:tcPr>
          <w:p w:rsidR="007A24E1" w:rsidRPr="007A24E1" w:rsidRDefault="007A24E1" w:rsidP="007A24E1">
            <w:pPr>
              <w:keepNext/>
              <w:keepLines/>
              <w:ind w:left="57" w:right="57"/>
              <w:rPr>
                <w:rFonts w:ascii="Calibri" w:hAnsi="Calibri"/>
                <w:sz w:val="20"/>
                <w:szCs w:val="20"/>
              </w:rPr>
            </w:pPr>
            <w:r w:rsidRPr="007A24E1">
              <w:rPr>
                <w:rFonts w:ascii="Calibri" w:hAnsi="Calibri"/>
                <w:sz w:val="20"/>
                <w:szCs w:val="20"/>
              </w:rPr>
              <w:t>Underlying cash balance</w:t>
            </w:r>
          </w:p>
        </w:tc>
        <w:tc>
          <w:tcPr>
            <w:tcW w:w="682" w:type="pct"/>
            <w:vAlign w:val="center"/>
          </w:tcPr>
          <w:p w:rsidR="007A24E1" w:rsidRPr="007A24E1" w:rsidRDefault="007A24E1" w:rsidP="007A24E1">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A24E1">
              <w:rPr>
                <w:rFonts w:ascii="Calibri" w:hAnsi="Calibri"/>
                <w:color w:val="000000"/>
                <w:sz w:val="20"/>
                <w:szCs w:val="20"/>
              </w:rPr>
              <w:t>-25.7</w:t>
            </w:r>
          </w:p>
        </w:tc>
        <w:tc>
          <w:tcPr>
            <w:tcW w:w="682" w:type="pct"/>
            <w:vAlign w:val="center"/>
          </w:tcPr>
          <w:p w:rsidR="007A24E1" w:rsidRPr="007A24E1" w:rsidRDefault="007A24E1" w:rsidP="007A24E1">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A24E1">
              <w:rPr>
                <w:rFonts w:ascii="Calibri" w:hAnsi="Calibri"/>
                <w:color w:val="000000"/>
                <w:sz w:val="20"/>
                <w:szCs w:val="20"/>
              </w:rPr>
              <w:t>-30.3</w:t>
            </w:r>
          </w:p>
        </w:tc>
        <w:tc>
          <w:tcPr>
            <w:tcW w:w="682" w:type="pct"/>
            <w:vAlign w:val="center"/>
          </w:tcPr>
          <w:p w:rsidR="007A24E1" w:rsidRPr="007A24E1" w:rsidRDefault="007A24E1" w:rsidP="007A24E1">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A24E1">
              <w:rPr>
                <w:rFonts w:ascii="Calibri" w:hAnsi="Calibri"/>
                <w:color w:val="000000"/>
                <w:sz w:val="20"/>
                <w:szCs w:val="20"/>
              </w:rPr>
              <w:t>-26.3</w:t>
            </w:r>
          </w:p>
        </w:tc>
        <w:tc>
          <w:tcPr>
            <w:tcW w:w="682" w:type="pct"/>
            <w:vAlign w:val="center"/>
          </w:tcPr>
          <w:p w:rsidR="007A24E1" w:rsidRPr="007A24E1" w:rsidRDefault="007A24E1" w:rsidP="007A24E1">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A24E1">
              <w:rPr>
                <w:rFonts w:ascii="Calibri" w:hAnsi="Calibri"/>
                <w:color w:val="000000"/>
                <w:sz w:val="20"/>
                <w:szCs w:val="20"/>
              </w:rPr>
              <w:t>-26.7</w:t>
            </w:r>
          </w:p>
        </w:tc>
        <w:tc>
          <w:tcPr>
            <w:tcW w:w="681" w:type="pct"/>
            <w:vAlign w:val="center"/>
          </w:tcPr>
          <w:p w:rsidR="007A24E1" w:rsidRPr="007A24E1" w:rsidRDefault="007A24E1" w:rsidP="007A24E1">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7A24E1">
              <w:rPr>
                <w:rFonts w:ascii="Calibri" w:hAnsi="Calibri"/>
                <w:b/>
                <w:color w:val="000000"/>
                <w:sz w:val="20"/>
                <w:szCs w:val="20"/>
              </w:rPr>
              <w:t>-109.0</w:t>
            </w:r>
          </w:p>
        </w:tc>
      </w:tr>
    </w:tbl>
    <w:p w:rsidR="00CF5FAC" w:rsidRDefault="00CF5FAC" w:rsidP="000B5C96">
      <w:pPr>
        <w:pStyle w:val="Footnotes"/>
        <w:numPr>
          <w:ilvl w:val="0"/>
          <w:numId w:val="22"/>
        </w:numPr>
        <w:ind w:left="284" w:hanging="284"/>
      </w:pPr>
      <w:r w:rsidRPr="00A06940">
        <w:t xml:space="preserve">A </w:t>
      </w:r>
      <w:r w:rsidRPr="00CE56AC">
        <w:t xml:space="preserve">positive number indicates an increase in the relevant budget balance, a negative number a decrease.  </w:t>
      </w:r>
    </w:p>
    <w:p w:rsidR="007A24E1" w:rsidRPr="00CF5FAC" w:rsidRDefault="007A24E1" w:rsidP="00582D53">
      <w:pPr>
        <w:pStyle w:val="Footnotes"/>
      </w:pPr>
      <w:r w:rsidRPr="00CF5FAC">
        <w:rPr>
          <w:rFonts w:ascii="Calibri" w:eastAsia="Calibri" w:hAnsi="Calibri" w:cs="Times New Roman"/>
        </w:rPr>
        <w:t xml:space="preserve">Figures may not sum to totals due to rounding.  </w:t>
      </w:r>
    </w:p>
    <w:p w:rsidR="007A24E1" w:rsidRPr="00905B06" w:rsidRDefault="007A24E1" w:rsidP="00905B06">
      <w:pPr>
        <w:pStyle w:val="CostingsH7"/>
      </w:pPr>
      <w:r w:rsidRPr="00905B06">
        <w:t>Key assumptions</w:t>
      </w:r>
    </w:p>
    <w:p w:rsidR="007A24E1" w:rsidRPr="007A24E1" w:rsidRDefault="007A24E1" w:rsidP="007B493C">
      <w:pPr>
        <w:pStyle w:val="BodyText"/>
      </w:pPr>
      <w:r w:rsidRPr="007A24E1">
        <w:t>It has been assumed that:</w:t>
      </w:r>
    </w:p>
    <w:p w:rsidR="007A24E1" w:rsidRPr="007A24E1" w:rsidRDefault="007A24E1" w:rsidP="007B493C">
      <w:pPr>
        <w:pStyle w:val="ListBullet"/>
        <w:rPr>
          <w:lang w:eastAsia="en-AU"/>
        </w:rPr>
      </w:pPr>
      <w:r w:rsidRPr="007A24E1">
        <w:rPr>
          <w:lang w:eastAsia="en-AU"/>
        </w:rPr>
        <w:t>the commission would be of a similar size and scope to the NSW ICAC</w:t>
      </w:r>
    </w:p>
    <w:p w:rsidR="007A24E1" w:rsidRPr="007A24E1" w:rsidRDefault="007A24E1" w:rsidP="007B493C">
      <w:pPr>
        <w:pStyle w:val="ListBullet"/>
        <w:rPr>
          <w:lang w:eastAsia="en-AU"/>
        </w:rPr>
      </w:pPr>
      <w:r w:rsidRPr="007A24E1">
        <w:rPr>
          <w:lang w:eastAsia="en-AU"/>
        </w:rPr>
        <w:t>capital works relating to the establishment of the commission would be undertaken over the first 21months from the establishment date of 1 September 2016.</w:t>
      </w:r>
    </w:p>
    <w:p w:rsidR="007A24E1" w:rsidRPr="00905B06" w:rsidRDefault="007A24E1" w:rsidP="00905B06">
      <w:pPr>
        <w:pStyle w:val="CostingsH7"/>
      </w:pPr>
      <w:r w:rsidRPr="00905B06">
        <w:t>Methodology</w:t>
      </w:r>
    </w:p>
    <w:p w:rsidR="007A24E1" w:rsidRPr="007A24E1" w:rsidRDefault="007A24E1" w:rsidP="007B493C">
      <w:pPr>
        <w:pStyle w:val="BodyText"/>
      </w:pPr>
      <w:r w:rsidRPr="007A24E1">
        <w:t>Departmental expenses estimates are based on NSW ICAC expenses estimates for 2015-16 projected to account for the net effect of indexation parameters and the efficiency dividend, in accordance with the Department of Finance’s costing practices.  The estimate for 2016-17 accounts for a part effect due to the 1 September 2016 start date.</w:t>
      </w:r>
    </w:p>
    <w:p w:rsidR="007A24E1" w:rsidRPr="007A24E1" w:rsidRDefault="007A24E1" w:rsidP="007B493C">
      <w:pPr>
        <w:pStyle w:val="BodyText"/>
      </w:pPr>
      <w:r w:rsidRPr="007A24E1">
        <w:t>Departmental capital expenses were estimated based on expenses for the recent upgrade of infrastructure for the NSW ICAC.</w:t>
      </w:r>
    </w:p>
    <w:p w:rsidR="007A24E1" w:rsidRPr="00905B06" w:rsidRDefault="007A24E1" w:rsidP="00905B06">
      <w:pPr>
        <w:pStyle w:val="CostingsH7"/>
      </w:pPr>
      <w:r w:rsidRPr="00905B06">
        <w:t>Data sources</w:t>
      </w:r>
    </w:p>
    <w:p w:rsidR="007A24E1" w:rsidRPr="007A24E1" w:rsidRDefault="007A24E1" w:rsidP="007B493C">
      <w:pPr>
        <w:pStyle w:val="ListBullet"/>
        <w:rPr>
          <w:lang w:eastAsia="en-AU"/>
        </w:rPr>
      </w:pPr>
      <w:r w:rsidRPr="007A24E1">
        <w:rPr>
          <w:lang w:eastAsia="en-AU"/>
        </w:rPr>
        <w:t xml:space="preserve">The Department of Finance provided indexation and efficiency dividend parameters. </w:t>
      </w:r>
    </w:p>
    <w:p w:rsidR="007A24E1" w:rsidRPr="007A24E1" w:rsidRDefault="007A24E1" w:rsidP="007B493C">
      <w:pPr>
        <w:pStyle w:val="ListBullet"/>
        <w:rPr>
          <w:lang w:eastAsia="en-AU"/>
        </w:rPr>
      </w:pPr>
      <w:r w:rsidRPr="007A24E1">
        <w:rPr>
          <w:lang w:eastAsia="en-AU"/>
        </w:rPr>
        <w:t>NSW Independent Commission Against Corruption Annual Reports.</w:t>
      </w:r>
    </w:p>
    <w:p w:rsidR="007A24E1" w:rsidRPr="007A24E1" w:rsidRDefault="007A24E1" w:rsidP="007B493C">
      <w:pPr>
        <w:pStyle w:val="ListBullet"/>
        <w:rPr>
          <w:lang w:eastAsia="en-AU"/>
        </w:rPr>
      </w:pPr>
      <w:r w:rsidRPr="007A24E1">
        <w:rPr>
          <w:lang w:eastAsia="en-AU"/>
        </w:rPr>
        <w:t>NSW Government 2015-16 Budget Paper 3.</w:t>
      </w:r>
    </w:p>
    <w:p w:rsidR="007A24E1" w:rsidRPr="007A24E1" w:rsidRDefault="007A24E1" w:rsidP="007B493C">
      <w:pPr>
        <w:pStyle w:val="ListBullet"/>
        <w:rPr>
          <w:rFonts w:ascii="Calibri" w:eastAsia="Calibri" w:hAnsi="Calibri" w:cs="Times New Roman"/>
          <w:highlight w:val="yellow"/>
        </w:rPr>
        <w:sectPr w:rsidR="007A24E1" w:rsidRPr="007A24E1" w:rsidSect="00A97AC4">
          <w:headerReference w:type="even" r:id="rId183"/>
          <w:headerReference w:type="default" r:id="rId184"/>
          <w:footerReference w:type="even" r:id="rId185"/>
          <w:footerReference w:type="default" r:id="rId186"/>
          <w:headerReference w:type="first" r:id="rId187"/>
          <w:footerReference w:type="first" r:id="rId188"/>
          <w:pgSz w:w="11906" w:h="16838"/>
          <w:pgMar w:top="1361" w:right="1797" w:bottom="1474" w:left="1797" w:header="283" w:footer="454" w:gutter="0"/>
          <w:cols w:space="708"/>
          <w:docGrid w:linePitch="360"/>
        </w:sectPr>
      </w:pPr>
    </w:p>
    <w:p w:rsidR="007A24E1" w:rsidRPr="007A24E1" w:rsidRDefault="007A24E1" w:rsidP="007A4BF9">
      <w:pPr>
        <w:pStyle w:val="Heading6"/>
        <w:rPr>
          <w:rFonts w:eastAsia="Calibri"/>
        </w:rPr>
      </w:pPr>
      <w:r w:rsidRPr="007A24E1">
        <w:rPr>
          <w:rFonts w:eastAsia="Calibri"/>
        </w:rPr>
        <w:lastRenderedPageBreak/>
        <w:t>Attachment A: National anti-corruption watchdog—financial implications</w:t>
      </w:r>
    </w:p>
    <w:p w:rsidR="007A24E1" w:rsidRPr="007A24E1" w:rsidRDefault="007A24E1" w:rsidP="00905B06">
      <w:pPr>
        <w:pStyle w:val="Caption"/>
      </w:pPr>
      <w:r w:rsidRPr="007A24E1">
        <w:t>Table A1: National anti-corruption watchdog—Financial implications (outturn prices)</w:t>
      </w:r>
      <w:r w:rsidRPr="007A24E1">
        <w:rPr>
          <w:vertAlign w:val="superscript"/>
        </w:rPr>
        <w:t>(a)(b)</w:t>
      </w:r>
    </w:p>
    <w:tbl>
      <w:tblPr>
        <w:tblStyle w:val="TableGrid22"/>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7A24E1" w:rsidRPr="007A24E1" w:rsidTr="007A24E1">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7A24E1" w:rsidRPr="007A24E1" w:rsidRDefault="007A24E1" w:rsidP="007A24E1">
            <w:pPr>
              <w:keepNext/>
              <w:keepLines/>
              <w:spacing w:line="240" w:lineRule="auto"/>
              <w:ind w:left="57" w:right="57"/>
              <w:rPr>
                <w:rFonts w:ascii="Calibri" w:hAnsi="Calibri"/>
                <w:sz w:val="20"/>
                <w:szCs w:val="20"/>
              </w:rPr>
            </w:pPr>
            <w:r w:rsidRPr="007A24E1">
              <w:rPr>
                <w:rFonts w:ascii="Calibri" w:hAnsi="Calibri"/>
                <w:sz w:val="20"/>
                <w:szCs w:val="20"/>
              </w:rPr>
              <w:t>($m)</w:t>
            </w:r>
          </w:p>
        </w:tc>
        <w:tc>
          <w:tcPr>
            <w:tcW w:w="326"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A24E1">
              <w:rPr>
                <w:rFonts w:ascii="Calibri" w:hAnsi="Calibri"/>
                <w:sz w:val="20"/>
                <w:szCs w:val="20"/>
              </w:rPr>
              <w:t>2016–17</w:t>
            </w:r>
          </w:p>
        </w:tc>
        <w:tc>
          <w:tcPr>
            <w:tcW w:w="325"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A24E1">
              <w:rPr>
                <w:rFonts w:ascii="Calibri" w:hAnsi="Calibri"/>
                <w:sz w:val="20"/>
                <w:szCs w:val="20"/>
              </w:rPr>
              <w:t>2017–18</w:t>
            </w:r>
          </w:p>
        </w:tc>
        <w:tc>
          <w:tcPr>
            <w:tcW w:w="325"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A24E1">
              <w:rPr>
                <w:rFonts w:ascii="Calibri" w:hAnsi="Calibri"/>
                <w:sz w:val="20"/>
                <w:szCs w:val="20"/>
              </w:rPr>
              <w:t>2018–19</w:t>
            </w:r>
          </w:p>
        </w:tc>
        <w:tc>
          <w:tcPr>
            <w:tcW w:w="325"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A24E1">
              <w:rPr>
                <w:rFonts w:ascii="Calibri" w:hAnsi="Calibri"/>
                <w:sz w:val="20"/>
                <w:szCs w:val="20"/>
              </w:rPr>
              <w:t>2019–20</w:t>
            </w:r>
          </w:p>
        </w:tc>
        <w:tc>
          <w:tcPr>
            <w:tcW w:w="327"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Total to 2019–20</w:t>
            </w:r>
          </w:p>
        </w:tc>
        <w:tc>
          <w:tcPr>
            <w:tcW w:w="325"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A24E1">
              <w:rPr>
                <w:rFonts w:ascii="Calibri" w:hAnsi="Calibri"/>
                <w:sz w:val="20"/>
                <w:szCs w:val="20"/>
              </w:rPr>
              <w:t>2020–21</w:t>
            </w:r>
          </w:p>
        </w:tc>
        <w:tc>
          <w:tcPr>
            <w:tcW w:w="325"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A24E1">
              <w:rPr>
                <w:rFonts w:ascii="Calibri" w:hAnsi="Calibri"/>
                <w:sz w:val="20"/>
                <w:szCs w:val="20"/>
              </w:rPr>
              <w:t>2021–22</w:t>
            </w:r>
          </w:p>
        </w:tc>
        <w:tc>
          <w:tcPr>
            <w:tcW w:w="325"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A24E1">
              <w:rPr>
                <w:rFonts w:ascii="Calibri" w:hAnsi="Calibri"/>
                <w:sz w:val="20"/>
                <w:szCs w:val="20"/>
              </w:rPr>
              <w:t>2022–23</w:t>
            </w:r>
          </w:p>
        </w:tc>
        <w:tc>
          <w:tcPr>
            <w:tcW w:w="325"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A24E1">
              <w:rPr>
                <w:rFonts w:ascii="Calibri" w:hAnsi="Calibri"/>
                <w:sz w:val="20"/>
                <w:szCs w:val="20"/>
              </w:rPr>
              <w:t>2023–24</w:t>
            </w:r>
          </w:p>
        </w:tc>
        <w:tc>
          <w:tcPr>
            <w:tcW w:w="325"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A24E1">
              <w:rPr>
                <w:rFonts w:ascii="Calibri" w:hAnsi="Calibri"/>
                <w:sz w:val="20"/>
                <w:szCs w:val="20"/>
              </w:rPr>
              <w:t>2024–25</w:t>
            </w:r>
          </w:p>
        </w:tc>
        <w:tc>
          <w:tcPr>
            <w:tcW w:w="325"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A24E1">
              <w:rPr>
                <w:rFonts w:ascii="Calibri" w:hAnsi="Calibri"/>
                <w:sz w:val="20"/>
                <w:szCs w:val="20"/>
              </w:rPr>
              <w:t>2025–26</w:t>
            </w:r>
          </w:p>
        </w:tc>
        <w:tc>
          <w:tcPr>
            <w:tcW w:w="325"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A24E1">
              <w:rPr>
                <w:rFonts w:ascii="Calibri" w:hAnsi="Calibri"/>
                <w:sz w:val="20"/>
                <w:szCs w:val="20"/>
              </w:rPr>
              <w:t>2026–27</w:t>
            </w:r>
          </w:p>
        </w:tc>
        <w:tc>
          <w:tcPr>
            <w:tcW w:w="326" w:type="pct"/>
            <w:shd w:val="clear" w:color="auto" w:fill="D7DDE9"/>
            <w:vAlign w:val="center"/>
          </w:tcPr>
          <w:p w:rsidR="007A24E1" w:rsidRPr="007A24E1" w:rsidRDefault="007A24E1" w:rsidP="007A24E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7A24E1">
              <w:rPr>
                <w:rFonts w:ascii="Calibri" w:hAnsi="Calibri"/>
                <w:b/>
                <w:sz w:val="20"/>
              </w:rPr>
              <w:t>Total to 2026–27</w:t>
            </w:r>
          </w:p>
        </w:tc>
      </w:tr>
      <w:tr w:rsidR="007A24E1" w:rsidRPr="007A24E1" w:rsidTr="007A24E1">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7A24E1" w:rsidRPr="007A24E1" w:rsidRDefault="007A24E1" w:rsidP="007A24E1">
            <w:pPr>
              <w:keepNext/>
              <w:keepLines/>
              <w:spacing w:line="240" w:lineRule="auto"/>
              <w:ind w:left="57" w:right="57"/>
              <w:rPr>
                <w:rFonts w:ascii="Calibri" w:hAnsi="Calibri"/>
                <w:b/>
                <w:sz w:val="20"/>
              </w:rPr>
            </w:pPr>
            <w:r w:rsidRPr="007A24E1">
              <w:rPr>
                <w:rFonts w:ascii="Calibri" w:hAnsi="Calibri"/>
                <w:b/>
                <w:sz w:val="20"/>
              </w:rPr>
              <w:t>Fiscal and underlying cash balances</w:t>
            </w:r>
          </w:p>
        </w:tc>
      </w:tr>
      <w:tr w:rsidR="007A24E1" w:rsidRPr="007A24E1" w:rsidTr="007A24E1">
        <w:trPr>
          <w:cantSplit/>
        </w:trPr>
        <w:tc>
          <w:tcPr>
            <w:cnfStyle w:val="001000000000" w:firstRow="0" w:lastRow="0" w:firstColumn="1" w:lastColumn="0" w:oddVBand="0" w:evenVBand="0" w:oddHBand="0" w:evenHBand="0" w:firstRowFirstColumn="0" w:firstRowLastColumn="0" w:lastRowFirstColumn="0" w:lastRowLastColumn="0"/>
            <w:tcW w:w="771" w:type="pct"/>
          </w:tcPr>
          <w:p w:rsidR="007A24E1" w:rsidRPr="007A24E1" w:rsidRDefault="007A24E1" w:rsidP="007A24E1">
            <w:pPr>
              <w:spacing w:line="240" w:lineRule="auto"/>
              <w:ind w:left="57" w:right="57"/>
              <w:rPr>
                <w:rFonts w:ascii="Calibri" w:hAnsi="Calibri"/>
                <w:sz w:val="20"/>
                <w:szCs w:val="20"/>
              </w:rPr>
            </w:pPr>
            <w:r w:rsidRPr="007A24E1">
              <w:rPr>
                <w:rFonts w:ascii="Calibri" w:hAnsi="Calibri"/>
                <w:sz w:val="20"/>
                <w:szCs w:val="20"/>
              </w:rPr>
              <w:t xml:space="preserve">Departmental </w:t>
            </w:r>
          </w:p>
        </w:tc>
        <w:tc>
          <w:tcPr>
            <w:tcW w:w="326"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A24E1">
              <w:rPr>
                <w:rFonts w:ascii="Calibri" w:hAnsi="Calibri"/>
                <w:i/>
                <w:color w:val="000000"/>
                <w:sz w:val="20"/>
                <w:szCs w:val="20"/>
              </w:rPr>
              <w:t>-25.7</w:t>
            </w:r>
          </w:p>
        </w:tc>
        <w:tc>
          <w:tcPr>
            <w:tcW w:w="325"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A24E1">
              <w:rPr>
                <w:rFonts w:ascii="Calibri" w:hAnsi="Calibri"/>
                <w:i/>
                <w:color w:val="000000"/>
                <w:sz w:val="20"/>
                <w:szCs w:val="20"/>
              </w:rPr>
              <w:t>-30.3</w:t>
            </w:r>
          </w:p>
        </w:tc>
        <w:tc>
          <w:tcPr>
            <w:tcW w:w="325"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A24E1">
              <w:rPr>
                <w:rFonts w:ascii="Calibri" w:hAnsi="Calibri"/>
                <w:i/>
                <w:color w:val="000000"/>
                <w:sz w:val="20"/>
                <w:szCs w:val="20"/>
              </w:rPr>
              <w:t>-26.3</w:t>
            </w:r>
          </w:p>
        </w:tc>
        <w:tc>
          <w:tcPr>
            <w:tcW w:w="325"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A24E1">
              <w:rPr>
                <w:rFonts w:ascii="Calibri" w:hAnsi="Calibri"/>
                <w:i/>
                <w:color w:val="000000"/>
                <w:sz w:val="20"/>
                <w:szCs w:val="20"/>
              </w:rPr>
              <w:t>-26.7</w:t>
            </w:r>
          </w:p>
        </w:tc>
        <w:tc>
          <w:tcPr>
            <w:tcW w:w="327"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 w:val="20"/>
                <w:szCs w:val="20"/>
              </w:rPr>
            </w:pPr>
            <w:r w:rsidRPr="007A24E1">
              <w:rPr>
                <w:rFonts w:ascii="Calibri" w:hAnsi="Calibri"/>
                <w:b/>
                <w:i/>
                <w:color w:val="000000"/>
                <w:sz w:val="20"/>
                <w:szCs w:val="20"/>
              </w:rPr>
              <w:t>-109.0</w:t>
            </w:r>
          </w:p>
        </w:tc>
        <w:tc>
          <w:tcPr>
            <w:tcW w:w="325"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A24E1">
              <w:rPr>
                <w:rFonts w:ascii="Calibri" w:hAnsi="Calibri"/>
                <w:i/>
                <w:color w:val="000000"/>
                <w:sz w:val="20"/>
                <w:szCs w:val="20"/>
              </w:rPr>
              <w:t>-27.2</w:t>
            </w:r>
          </w:p>
        </w:tc>
        <w:tc>
          <w:tcPr>
            <w:tcW w:w="325"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A24E1">
              <w:rPr>
                <w:rFonts w:ascii="Calibri" w:hAnsi="Calibri"/>
                <w:i/>
                <w:color w:val="000000"/>
                <w:sz w:val="20"/>
                <w:szCs w:val="20"/>
              </w:rPr>
              <w:t>-27.7</w:t>
            </w:r>
          </w:p>
        </w:tc>
        <w:tc>
          <w:tcPr>
            <w:tcW w:w="325"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A24E1">
              <w:rPr>
                <w:rFonts w:ascii="Calibri" w:hAnsi="Calibri"/>
                <w:i/>
                <w:color w:val="000000"/>
                <w:sz w:val="20"/>
                <w:szCs w:val="20"/>
              </w:rPr>
              <w:t>-28.2</w:t>
            </w:r>
          </w:p>
        </w:tc>
        <w:tc>
          <w:tcPr>
            <w:tcW w:w="325"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A24E1">
              <w:rPr>
                <w:rFonts w:ascii="Calibri" w:hAnsi="Calibri"/>
                <w:i/>
                <w:color w:val="000000"/>
                <w:sz w:val="20"/>
                <w:szCs w:val="20"/>
              </w:rPr>
              <w:t>-28.7</w:t>
            </w:r>
          </w:p>
        </w:tc>
        <w:tc>
          <w:tcPr>
            <w:tcW w:w="325"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A24E1">
              <w:rPr>
                <w:rFonts w:ascii="Calibri" w:hAnsi="Calibri"/>
                <w:i/>
                <w:color w:val="000000"/>
                <w:sz w:val="20"/>
                <w:szCs w:val="20"/>
              </w:rPr>
              <w:t>-29.2</w:t>
            </w:r>
          </w:p>
        </w:tc>
        <w:tc>
          <w:tcPr>
            <w:tcW w:w="325"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A24E1">
              <w:rPr>
                <w:rFonts w:ascii="Calibri" w:hAnsi="Calibri"/>
                <w:i/>
                <w:color w:val="000000"/>
                <w:sz w:val="20"/>
                <w:szCs w:val="20"/>
              </w:rPr>
              <w:t>-29.7</w:t>
            </w:r>
          </w:p>
        </w:tc>
        <w:tc>
          <w:tcPr>
            <w:tcW w:w="325"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A24E1">
              <w:rPr>
                <w:rFonts w:ascii="Calibri" w:hAnsi="Calibri"/>
                <w:i/>
                <w:color w:val="000000"/>
                <w:sz w:val="20"/>
                <w:szCs w:val="20"/>
              </w:rPr>
              <w:t>-30.3</w:t>
            </w:r>
          </w:p>
        </w:tc>
        <w:tc>
          <w:tcPr>
            <w:tcW w:w="326" w:type="pct"/>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 w:val="20"/>
                <w:szCs w:val="20"/>
              </w:rPr>
            </w:pPr>
            <w:r w:rsidRPr="007A24E1">
              <w:rPr>
                <w:rFonts w:ascii="Calibri" w:hAnsi="Calibri"/>
                <w:b/>
                <w:i/>
                <w:color w:val="000000"/>
                <w:sz w:val="20"/>
                <w:szCs w:val="20"/>
              </w:rPr>
              <w:t>-310.0</w:t>
            </w:r>
          </w:p>
        </w:tc>
      </w:tr>
      <w:tr w:rsidR="007A24E1" w:rsidRPr="007A24E1" w:rsidTr="007A24E1">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7A24E1" w:rsidRPr="007A24E1" w:rsidRDefault="007A24E1" w:rsidP="007A24E1">
            <w:pPr>
              <w:spacing w:line="240" w:lineRule="auto"/>
              <w:ind w:left="57" w:right="57"/>
              <w:rPr>
                <w:rFonts w:ascii="Calibri" w:hAnsi="Calibri"/>
                <w:b/>
                <w:sz w:val="20"/>
                <w:szCs w:val="20"/>
              </w:rPr>
            </w:pPr>
            <w:r w:rsidRPr="007A24E1">
              <w:rPr>
                <w:rFonts w:ascii="Calibri" w:hAnsi="Calibri"/>
                <w:b/>
                <w:sz w:val="20"/>
                <w:szCs w:val="20"/>
              </w:rPr>
              <w:t xml:space="preserve">Total </w:t>
            </w:r>
          </w:p>
        </w:tc>
        <w:tc>
          <w:tcPr>
            <w:tcW w:w="326"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-25.7</w:t>
            </w:r>
          </w:p>
        </w:tc>
        <w:tc>
          <w:tcPr>
            <w:tcW w:w="325"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-30.3</w:t>
            </w:r>
          </w:p>
        </w:tc>
        <w:tc>
          <w:tcPr>
            <w:tcW w:w="325"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-26.3</w:t>
            </w:r>
          </w:p>
        </w:tc>
        <w:tc>
          <w:tcPr>
            <w:tcW w:w="325"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-26.7</w:t>
            </w:r>
          </w:p>
        </w:tc>
        <w:tc>
          <w:tcPr>
            <w:tcW w:w="327"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-109.0</w:t>
            </w:r>
          </w:p>
        </w:tc>
        <w:tc>
          <w:tcPr>
            <w:tcW w:w="325"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-27.2</w:t>
            </w:r>
          </w:p>
        </w:tc>
        <w:tc>
          <w:tcPr>
            <w:tcW w:w="325"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-27.7</w:t>
            </w:r>
          </w:p>
        </w:tc>
        <w:tc>
          <w:tcPr>
            <w:tcW w:w="325"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-28.2</w:t>
            </w:r>
          </w:p>
        </w:tc>
        <w:tc>
          <w:tcPr>
            <w:tcW w:w="325"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-28.7</w:t>
            </w:r>
          </w:p>
        </w:tc>
        <w:tc>
          <w:tcPr>
            <w:tcW w:w="325"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-29.2</w:t>
            </w:r>
          </w:p>
        </w:tc>
        <w:tc>
          <w:tcPr>
            <w:tcW w:w="325"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-29.7</w:t>
            </w:r>
          </w:p>
        </w:tc>
        <w:tc>
          <w:tcPr>
            <w:tcW w:w="325"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-30.3</w:t>
            </w:r>
          </w:p>
        </w:tc>
        <w:tc>
          <w:tcPr>
            <w:tcW w:w="326" w:type="pct"/>
            <w:shd w:val="clear" w:color="auto" w:fill="D7DDE9"/>
            <w:vAlign w:val="center"/>
          </w:tcPr>
          <w:p w:rsidR="007A24E1" w:rsidRPr="007A24E1" w:rsidRDefault="007A24E1" w:rsidP="007A24E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A24E1">
              <w:rPr>
                <w:rFonts w:ascii="Calibri" w:hAnsi="Calibri"/>
                <w:b/>
                <w:sz w:val="20"/>
                <w:szCs w:val="20"/>
              </w:rPr>
              <w:t>-310.0</w:t>
            </w:r>
          </w:p>
        </w:tc>
      </w:tr>
    </w:tbl>
    <w:p w:rsidR="00CF5FAC" w:rsidRDefault="007A24E1" w:rsidP="000B5C96">
      <w:pPr>
        <w:pStyle w:val="Footnotes"/>
        <w:numPr>
          <w:ilvl w:val="0"/>
          <w:numId w:val="76"/>
        </w:numPr>
        <w:ind w:left="284" w:hanging="284"/>
      </w:pPr>
      <w:r w:rsidRPr="00CF5FAC">
        <w:t>A positive number indicates an increase in revenue or decrease in expenses or net capital investment in accrual and cash terms. A negative number indicates a decrease in revenue or an increase in expenses or net capital investment in accrual and cash terms.</w:t>
      </w:r>
    </w:p>
    <w:p w:rsidR="007A24E1" w:rsidRPr="00CF5FAC" w:rsidRDefault="007A24E1" w:rsidP="000B5C96">
      <w:pPr>
        <w:pStyle w:val="Footnotes"/>
        <w:numPr>
          <w:ilvl w:val="0"/>
          <w:numId w:val="76"/>
        </w:numPr>
        <w:ind w:left="284" w:hanging="284"/>
      </w:pPr>
      <w:r w:rsidRPr="00CF5FAC">
        <w:t>Figures may not sum to totals due to rounding.</w:t>
      </w:r>
    </w:p>
    <w:p w:rsidR="007A24E1" w:rsidRPr="007A24E1" w:rsidRDefault="007A24E1" w:rsidP="00582D53">
      <w:pPr>
        <w:pStyle w:val="Footnotes"/>
        <w:numPr>
          <w:ilvl w:val="0"/>
          <w:numId w:val="0"/>
        </w:numPr>
        <w:ind w:left="284" w:hanging="284"/>
      </w:pPr>
      <w:r w:rsidRPr="007A24E1">
        <w:t>..</w:t>
      </w:r>
      <w:r w:rsidR="00582D53">
        <w:tab/>
      </w:r>
      <w:r w:rsidRPr="007A24E1">
        <w:tab/>
        <w:t>Not zero but rounded to zero.</w:t>
      </w:r>
    </w:p>
    <w:p w:rsidR="007A24E1" w:rsidRPr="007A24E1" w:rsidRDefault="007A24E1" w:rsidP="000B5C96">
      <w:pPr>
        <w:pStyle w:val="Footnotes"/>
        <w:numPr>
          <w:ilvl w:val="0"/>
          <w:numId w:val="33"/>
        </w:numPr>
        <w:ind w:left="284" w:hanging="284"/>
      </w:pPr>
      <w:r w:rsidRPr="007A24E1">
        <w:tab/>
        <w:t>Indicates nil.</w:t>
      </w:r>
    </w:p>
    <w:p w:rsidR="00EC06F6" w:rsidRDefault="00EC06F6" w:rsidP="000B5C96">
      <w:pPr>
        <w:pStyle w:val="Footnotes"/>
        <w:numPr>
          <w:ilvl w:val="0"/>
          <w:numId w:val="76"/>
        </w:numPr>
        <w:sectPr w:rsidR="00EC06F6" w:rsidSect="00A97AC4">
          <w:headerReference w:type="even" r:id="rId189"/>
          <w:headerReference w:type="default" r:id="rId190"/>
          <w:footerReference w:type="even" r:id="rId191"/>
          <w:footerReference w:type="default" r:id="rId192"/>
          <w:pgSz w:w="16839" w:h="11907" w:orient="landscape" w:code="9"/>
          <w:pgMar w:top="1361" w:right="1797" w:bottom="1474" w:left="1797" w:header="283" w:footer="454" w:gutter="0"/>
          <w:cols w:space="708"/>
          <w:docGrid w:linePitch="360"/>
        </w:sectPr>
      </w:pPr>
    </w:p>
    <w:p w:rsidR="00EC06F6" w:rsidRPr="00EC06F6" w:rsidRDefault="00EC06F6" w:rsidP="007A4BF9">
      <w:pPr>
        <w:pStyle w:val="Heading5"/>
      </w:pPr>
      <w:bookmarkStart w:id="76" w:name="_Toc456766802"/>
      <w:bookmarkStart w:id="77" w:name="_Toc457819896"/>
      <w:bookmarkStart w:id="78" w:name="_Toc458015786"/>
      <w:bookmarkStart w:id="79" w:name="_Toc458090625"/>
      <w:r w:rsidRPr="00EC06F6">
        <w:lastRenderedPageBreak/>
        <w:t>GRN019: Enhancing Political Disclosure Websites</w:t>
      </w:r>
      <w:bookmarkEnd w:id="76"/>
      <w:bookmarkEnd w:id="77"/>
      <w:bookmarkEnd w:id="78"/>
      <w:bookmarkEnd w:id="79"/>
    </w:p>
    <w:p w:rsidR="007A24E1" w:rsidRDefault="00EC06F6" w:rsidP="007A4BF9">
      <w:pPr>
        <w:pStyle w:val="BodyText"/>
      </w:pPr>
      <w:r>
        <w:rPr>
          <w:noProof/>
          <w:lang w:eastAsia="en-AU"/>
        </w:rPr>
        <w:drawing>
          <wp:inline distT="0" distB="0" distL="0" distR="0" wp14:anchorId="65BEDF24" wp14:editId="668367FB">
            <wp:extent cx="2696845" cy="572135"/>
            <wp:effectExtent l="0" t="0" r="8255" b="0"/>
            <wp:docPr id="455" name="Picture 45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EC06F6" w:rsidRPr="00EC06F6" w:rsidRDefault="00EC06F6" w:rsidP="007A4BF9">
      <w:pPr>
        <w:pStyle w:val="Heading6"/>
        <w:rPr>
          <w:rFonts w:eastAsia="Calibri"/>
        </w:rPr>
      </w:pPr>
      <w:r w:rsidRPr="00EC06F6">
        <w:rPr>
          <w:rFonts w:eastAsia="Calibri"/>
        </w:rPr>
        <w:t>Policy costing—during the caretaker period for the 2016 general election</w:t>
      </w:r>
    </w:p>
    <w:tbl>
      <w:tblPr>
        <w:tblStyle w:val="Style18"/>
        <w:tblW w:w="8340" w:type="dxa"/>
        <w:tblLook w:val="04A0" w:firstRow="1" w:lastRow="0" w:firstColumn="1" w:lastColumn="0" w:noHBand="0" w:noVBand="1"/>
      </w:tblPr>
      <w:tblGrid>
        <w:gridCol w:w="3005"/>
        <w:gridCol w:w="5335"/>
      </w:tblGrid>
      <w:tr w:rsidR="00EC06F6" w:rsidRPr="00AF49FE" w:rsidTr="00083ECF">
        <w:trPr>
          <w:cnfStyle w:val="100000000000" w:firstRow="1" w:lastRow="0" w:firstColumn="0" w:lastColumn="0" w:oddVBand="0" w:evenVBand="0" w:oddHBand="0" w:evenHBand="0" w:firstRowFirstColumn="0" w:firstRowLastColumn="0" w:lastRowFirstColumn="0" w:lastRowLastColumn="0"/>
        </w:trPr>
        <w:tc>
          <w:tcPr>
            <w:tcW w:w="3005" w:type="dxa"/>
          </w:tcPr>
          <w:p w:rsidR="00EC06F6" w:rsidRPr="00AF49FE" w:rsidRDefault="00EC06F6" w:rsidP="00AF49FE">
            <w:pPr>
              <w:pStyle w:val="PullOutBoxHeading"/>
              <w:rPr>
                <w:b/>
                <w:sz w:val="22"/>
              </w:rPr>
            </w:pPr>
            <w:r w:rsidRPr="00AF49FE">
              <w:rPr>
                <w:b/>
                <w:sz w:val="22"/>
              </w:rPr>
              <w:t>Name of proposal:</w:t>
            </w:r>
          </w:p>
        </w:tc>
        <w:tc>
          <w:tcPr>
            <w:tcW w:w="5335" w:type="dxa"/>
          </w:tcPr>
          <w:p w:rsidR="00EC06F6" w:rsidRPr="00AF49FE" w:rsidRDefault="00EC06F6" w:rsidP="00AF49FE">
            <w:pPr>
              <w:pStyle w:val="PullOutBoxHeading"/>
              <w:rPr>
                <w:b/>
                <w:sz w:val="22"/>
              </w:rPr>
            </w:pPr>
            <w:r w:rsidRPr="00AF49FE">
              <w:rPr>
                <w:b/>
                <w:sz w:val="22"/>
              </w:rPr>
              <w:t>Political Donation and Lobbyist Reforms: Upgrade Websites</w:t>
            </w:r>
          </w:p>
        </w:tc>
      </w:tr>
      <w:tr w:rsidR="00EC06F6" w:rsidRPr="00EC06F6" w:rsidTr="00083ECF">
        <w:tc>
          <w:tcPr>
            <w:tcW w:w="3005" w:type="dxa"/>
          </w:tcPr>
          <w:p w:rsidR="00EC06F6" w:rsidRPr="00EC06F6" w:rsidRDefault="00EC06F6" w:rsidP="00635389">
            <w:pPr>
              <w:pStyle w:val="PullOutBoxBodyText"/>
            </w:pPr>
            <w:r w:rsidRPr="00EC06F6">
              <w:t>Summary of proposal:</w:t>
            </w:r>
          </w:p>
        </w:tc>
        <w:tc>
          <w:tcPr>
            <w:tcW w:w="5335" w:type="dxa"/>
          </w:tcPr>
          <w:p w:rsidR="00EC06F6" w:rsidRPr="00EC06F6" w:rsidRDefault="00EC06F6" w:rsidP="00635389">
            <w:pPr>
              <w:pStyle w:val="PullOutBoxBodyText"/>
            </w:pPr>
            <w:r w:rsidRPr="00EC06F6">
              <w:t>The proposal would provide the Australian Electoral Commission and Department of the Prime Minister and Cabinet with $1.7 million over two years to implement refreshed websites with real time donations disclosure, members of parliament register of interests and the lobbyists register, and make their websites generally more user friendly.</w:t>
            </w:r>
          </w:p>
          <w:p w:rsidR="00EC06F6" w:rsidRPr="00EC06F6" w:rsidRDefault="00EC06F6" w:rsidP="00635389">
            <w:pPr>
              <w:pStyle w:val="PullOutBoxBodyText"/>
            </w:pPr>
            <w:r w:rsidRPr="00EC06F6">
              <w:t>The program would provide $1 million in the first year and $0.7 million in the second year.</w:t>
            </w:r>
          </w:p>
          <w:p w:rsidR="00EC06F6" w:rsidRPr="00EC06F6" w:rsidRDefault="00EC06F6" w:rsidP="00635389">
            <w:pPr>
              <w:pStyle w:val="PullOutBoxBodyText"/>
            </w:pPr>
            <w:r w:rsidRPr="00EC06F6">
              <w:t>The proposal would have effect from 1 July 2017.</w:t>
            </w:r>
          </w:p>
        </w:tc>
      </w:tr>
      <w:tr w:rsidR="00EC06F6" w:rsidRPr="00EC06F6" w:rsidTr="00083ECF">
        <w:tc>
          <w:tcPr>
            <w:tcW w:w="3005" w:type="dxa"/>
          </w:tcPr>
          <w:p w:rsidR="00EC06F6" w:rsidRPr="00EC06F6" w:rsidRDefault="00EC06F6" w:rsidP="00635389">
            <w:pPr>
              <w:pStyle w:val="PullOutBoxBodyText"/>
            </w:pPr>
            <w:r w:rsidRPr="00EC06F6">
              <w:t>Person/party requesting costing:</w:t>
            </w:r>
          </w:p>
        </w:tc>
        <w:tc>
          <w:tcPr>
            <w:tcW w:w="5335" w:type="dxa"/>
          </w:tcPr>
          <w:p w:rsidR="00EC06F6" w:rsidRPr="00EC06F6" w:rsidRDefault="00EC06F6" w:rsidP="00635389">
            <w:pPr>
              <w:pStyle w:val="PullOutBoxBodyText"/>
            </w:pPr>
            <w:r w:rsidRPr="00EC06F6">
              <w:t>Senator Richard Di Natale, Australian Greens</w:t>
            </w:r>
          </w:p>
        </w:tc>
      </w:tr>
      <w:tr w:rsidR="00EC06F6" w:rsidRPr="00EC06F6" w:rsidTr="00083ECF">
        <w:tc>
          <w:tcPr>
            <w:tcW w:w="3005" w:type="dxa"/>
          </w:tcPr>
          <w:p w:rsidR="00EC06F6" w:rsidRPr="00EC06F6" w:rsidRDefault="00EC06F6" w:rsidP="00635389">
            <w:pPr>
              <w:pStyle w:val="PullOutBoxBodyText"/>
            </w:pPr>
            <w:r w:rsidRPr="00EC06F6">
              <w:t>Date of public release of policy:</w:t>
            </w:r>
          </w:p>
        </w:tc>
        <w:tc>
          <w:tcPr>
            <w:tcW w:w="5335" w:type="dxa"/>
          </w:tcPr>
          <w:p w:rsidR="00EC06F6" w:rsidRPr="00EC06F6" w:rsidRDefault="00EC06F6" w:rsidP="00635389">
            <w:pPr>
              <w:pStyle w:val="PullOutBoxBodyText"/>
            </w:pPr>
            <w:r w:rsidRPr="00EC06F6">
              <w:t>24 June 2016</w:t>
            </w:r>
          </w:p>
          <w:p w:rsidR="00EC06F6" w:rsidRPr="00EC06F6" w:rsidRDefault="00E46526" w:rsidP="00635389">
            <w:pPr>
              <w:pStyle w:val="PullOutBoxBodyText"/>
            </w:pPr>
            <w:hyperlink r:id="rId193" w:history="1">
              <w:r w:rsidR="00EC06F6" w:rsidRPr="00343B3C">
                <w:rPr>
                  <w:rStyle w:val="Hyperlink"/>
                  <w:rFonts w:ascii="Calibri" w:eastAsia="Calibri" w:hAnsi="Calibri" w:cs="Times New Roman"/>
                </w:rPr>
                <w:t>http://lee-rhiannon.greensmps.org.au/content/blog/national-icac-initiative</w:t>
              </w:r>
            </w:hyperlink>
            <w:r w:rsidR="00E42EDF">
              <w:rPr>
                <w:rStyle w:val="Hyperlink"/>
                <w:rFonts w:ascii="Calibri" w:eastAsia="Calibri" w:hAnsi="Calibri" w:cs="Times New Roman"/>
              </w:rPr>
              <w:t xml:space="preserve"> </w:t>
            </w:r>
            <w:r w:rsidR="00EC06F6" w:rsidRPr="00EC06F6">
              <w:t xml:space="preserve"> </w:t>
            </w:r>
          </w:p>
        </w:tc>
      </w:tr>
      <w:tr w:rsidR="00EC06F6" w:rsidRPr="00EC06F6" w:rsidTr="00083ECF">
        <w:tc>
          <w:tcPr>
            <w:tcW w:w="3005" w:type="dxa"/>
          </w:tcPr>
          <w:p w:rsidR="00EC06F6" w:rsidRPr="00EC06F6" w:rsidRDefault="00EC06F6" w:rsidP="00635389">
            <w:pPr>
              <w:pStyle w:val="PullOutBoxBodyText"/>
            </w:pPr>
            <w:r w:rsidRPr="00EC06F6">
              <w:t>Date costing request received:</w:t>
            </w:r>
          </w:p>
        </w:tc>
        <w:tc>
          <w:tcPr>
            <w:tcW w:w="5335" w:type="dxa"/>
          </w:tcPr>
          <w:p w:rsidR="00EC06F6" w:rsidRPr="00EC06F6" w:rsidRDefault="00EC06F6" w:rsidP="00635389">
            <w:pPr>
              <w:pStyle w:val="PullOutBoxBodyText"/>
            </w:pPr>
            <w:r w:rsidRPr="00EC06F6">
              <w:t>24 June 2016</w:t>
            </w:r>
          </w:p>
        </w:tc>
      </w:tr>
      <w:tr w:rsidR="00EC06F6" w:rsidRPr="00EC06F6" w:rsidTr="00083ECF">
        <w:tc>
          <w:tcPr>
            <w:tcW w:w="3005" w:type="dxa"/>
          </w:tcPr>
          <w:p w:rsidR="00EC06F6" w:rsidRPr="00EC06F6" w:rsidRDefault="00EC06F6" w:rsidP="00635389">
            <w:pPr>
              <w:pStyle w:val="PullOutBoxBodyText"/>
            </w:pPr>
            <w:r w:rsidRPr="00EC06F6">
              <w:t>Date costing completed</w:t>
            </w:r>
          </w:p>
        </w:tc>
        <w:tc>
          <w:tcPr>
            <w:tcW w:w="5335" w:type="dxa"/>
          </w:tcPr>
          <w:p w:rsidR="00EC06F6" w:rsidRPr="00EC06F6" w:rsidRDefault="00EC06F6" w:rsidP="00635389">
            <w:pPr>
              <w:pStyle w:val="PullOutBoxBodyText"/>
            </w:pPr>
            <w:r w:rsidRPr="00EC06F6">
              <w:t>25 June 2016</w:t>
            </w:r>
          </w:p>
        </w:tc>
      </w:tr>
      <w:tr w:rsidR="00EC06F6" w:rsidRPr="00EC06F6" w:rsidTr="00083ECF">
        <w:tc>
          <w:tcPr>
            <w:tcW w:w="3005" w:type="dxa"/>
          </w:tcPr>
          <w:p w:rsidR="00EC06F6" w:rsidRPr="00EC06F6" w:rsidRDefault="00EC06F6" w:rsidP="00635389">
            <w:pPr>
              <w:pStyle w:val="PullOutBoxBodyText"/>
            </w:pPr>
            <w:r w:rsidRPr="00EC06F6">
              <w:t>Expiry date for the costing:</w:t>
            </w:r>
          </w:p>
        </w:tc>
        <w:tc>
          <w:tcPr>
            <w:tcW w:w="5335" w:type="dxa"/>
          </w:tcPr>
          <w:p w:rsidR="00EC06F6" w:rsidRPr="00EC06F6" w:rsidRDefault="00EC06F6" w:rsidP="00635389">
            <w:pPr>
              <w:pStyle w:val="PullOutBoxBodyText"/>
            </w:pPr>
            <w:r w:rsidRPr="00EC06F6">
              <w:t>Release of the next economic and fiscal outlook report</w:t>
            </w:r>
          </w:p>
        </w:tc>
      </w:tr>
    </w:tbl>
    <w:p w:rsidR="00EC06F6" w:rsidRPr="00905B06" w:rsidRDefault="00EC06F6" w:rsidP="00905B06">
      <w:pPr>
        <w:pStyle w:val="CostingsH7"/>
      </w:pPr>
      <w:r w:rsidRPr="00905B06">
        <w:t>Costing overview</w:t>
      </w:r>
    </w:p>
    <w:p w:rsidR="00EC06F6" w:rsidRPr="00EC06F6" w:rsidRDefault="00EC06F6" w:rsidP="007B493C">
      <w:pPr>
        <w:pStyle w:val="BodyText"/>
      </w:pPr>
      <w:r w:rsidRPr="00EC06F6">
        <w:t>This proposal would be expected to decrease both the fiscal and underlying cash balances by $1.7 million over the 2016-17 Budget forward estimates period.  This impact is entirely due to an increase in departmental expenses.</w:t>
      </w:r>
    </w:p>
    <w:p w:rsidR="00EC06F6" w:rsidRPr="00EC06F6" w:rsidRDefault="00EC06F6" w:rsidP="007B493C">
      <w:pPr>
        <w:pStyle w:val="BodyText"/>
      </w:pPr>
      <w:r w:rsidRPr="00EC06F6">
        <w:t>This proposal would not be expected to have impacts beyond the forward estimates period as it terminates in 2018</w:t>
      </w:r>
      <w:r w:rsidRPr="00EC06F6">
        <w:noBreakHyphen/>
        <w:t>19.</w:t>
      </w:r>
    </w:p>
    <w:p w:rsidR="00EC06F6" w:rsidRPr="00EC06F6" w:rsidRDefault="00EC06F6" w:rsidP="007B493C">
      <w:pPr>
        <w:pStyle w:val="BodyText"/>
      </w:pPr>
      <w:r w:rsidRPr="00EC06F6">
        <w:lastRenderedPageBreak/>
        <w:t>No analysis has been undertaken to determine the adequacy of the prescribed funding amounts to achieve the objective of the proposal.</w:t>
      </w:r>
    </w:p>
    <w:p w:rsidR="00EC06F6" w:rsidRPr="00EC06F6" w:rsidRDefault="00EC06F6" w:rsidP="007B493C">
      <w:pPr>
        <w:pStyle w:val="BodyText"/>
      </w:pPr>
      <w:r w:rsidRPr="00EC06F6">
        <w:t>This costing is considered to be of high reliability as it is based on specified capped amounts.</w:t>
      </w:r>
    </w:p>
    <w:p w:rsidR="00EC06F6" w:rsidRPr="00EC06F6" w:rsidRDefault="00EC06F6" w:rsidP="00905B06">
      <w:pPr>
        <w:pStyle w:val="Caption"/>
      </w:pPr>
      <w:r w:rsidRPr="00EC06F6">
        <w:t>Table 1: Financial implications (outturn prices)</w:t>
      </w:r>
      <w:r w:rsidRPr="00EC06F6">
        <w:rPr>
          <w:vertAlign w:val="superscript"/>
        </w:rPr>
        <w:t>(a)(b)</w:t>
      </w:r>
    </w:p>
    <w:tbl>
      <w:tblPr>
        <w:tblStyle w:val="TableGrid23"/>
        <w:tblW w:w="4993" w:type="pct"/>
        <w:tblLook w:val="04A0" w:firstRow="1" w:lastRow="0" w:firstColumn="1" w:lastColumn="0" w:noHBand="0" w:noVBand="1"/>
      </w:tblPr>
      <w:tblGrid>
        <w:gridCol w:w="2645"/>
        <w:gridCol w:w="1134"/>
        <w:gridCol w:w="1133"/>
        <w:gridCol w:w="1133"/>
        <w:gridCol w:w="1133"/>
        <w:gridCol w:w="1132"/>
      </w:tblGrid>
      <w:tr w:rsidR="00EC06F6" w:rsidRPr="00EC06F6" w:rsidTr="00083E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EC06F6" w:rsidRPr="00EC06F6" w:rsidRDefault="00EC06F6" w:rsidP="00EC06F6">
            <w:pPr>
              <w:keepNext/>
              <w:keepLines/>
              <w:spacing w:line="240" w:lineRule="auto"/>
              <w:ind w:left="57" w:right="57"/>
              <w:rPr>
                <w:szCs w:val="20"/>
              </w:rPr>
            </w:pPr>
            <w:r w:rsidRPr="00EC06F6">
              <w:rPr>
                <w:szCs w:val="20"/>
              </w:rPr>
              <w:t>Impact on ($m)</w:t>
            </w:r>
          </w:p>
        </w:tc>
        <w:tc>
          <w:tcPr>
            <w:tcW w:w="682" w:type="pct"/>
          </w:tcPr>
          <w:p w:rsidR="00EC06F6" w:rsidRPr="00EC06F6" w:rsidRDefault="00EC06F6" w:rsidP="00EC06F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C06F6">
              <w:rPr>
                <w:szCs w:val="20"/>
              </w:rPr>
              <w:t>2016–17</w:t>
            </w:r>
          </w:p>
        </w:tc>
        <w:tc>
          <w:tcPr>
            <w:tcW w:w="682" w:type="pct"/>
          </w:tcPr>
          <w:p w:rsidR="00EC06F6" w:rsidRPr="00EC06F6" w:rsidRDefault="00EC06F6" w:rsidP="00EC06F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C06F6">
              <w:rPr>
                <w:szCs w:val="20"/>
              </w:rPr>
              <w:t>2017–18</w:t>
            </w:r>
          </w:p>
        </w:tc>
        <w:tc>
          <w:tcPr>
            <w:tcW w:w="682" w:type="pct"/>
          </w:tcPr>
          <w:p w:rsidR="00EC06F6" w:rsidRPr="00EC06F6" w:rsidRDefault="00EC06F6" w:rsidP="00EC06F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C06F6">
              <w:rPr>
                <w:szCs w:val="20"/>
              </w:rPr>
              <w:t>2018–19</w:t>
            </w:r>
          </w:p>
        </w:tc>
        <w:tc>
          <w:tcPr>
            <w:tcW w:w="682" w:type="pct"/>
          </w:tcPr>
          <w:p w:rsidR="00EC06F6" w:rsidRPr="00EC06F6" w:rsidRDefault="00EC06F6" w:rsidP="00EC06F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C06F6">
              <w:rPr>
                <w:szCs w:val="20"/>
              </w:rPr>
              <w:t>2019–20</w:t>
            </w:r>
          </w:p>
        </w:tc>
        <w:tc>
          <w:tcPr>
            <w:tcW w:w="681" w:type="pct"/>
          </w:tcPr>
          <w:p w:rsidR="00EC06F6" w:rsidRPr="00EC06F6" w:rsidRDefault="00EC06F6" w:rsidP="00EC06F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C06F6">
              <w:rPr>
                <w:b/>
                <w:szCs w:val="20"/>
              </w:rPr>
              <w:t>Total</w:t>
            </w:r>
          </w:p>
        </w:tc>
      </w:tr>
      <w:tr w:rsidR="000C300F" w:rsidRPr="00EC06F6" w:rsidTr="0008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EC06F6" w:rsidRPr="00EC06F6" w:rsidRDefault="00EC06F6" w:rsidP="00EC06F6">
            <w:pPr>
              <w:keepNext/>
              <w:keepLines/>
              <w:ind w:left="57" w:right="57"/>
              <w:rPr>
                <w:szCs w:val="20"/>
              </w:rPr>
            </w:pPr>
            <w:r w:rsidRPr="00EC06F6">
              <w:rPr>
                <w:szCs w:val="20"/>
              </w:rPr>
              <w:t>Fiscal balance</w:t>
            </w:r>
          </w:p>
        </w:tc>
        <w:tc>
          <w:tcPr>
            <w:tcW w:w="682" w:type="pct"/>
          </w:tcPr>
          <w:p w:rsidR="00EC06F6" w:rsidRPr="00EC06F6" w:rsidRDefault="00EC06F6" w:rsidP="00EC06F6">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C06F6">
              <w:rPr>
                <w:rFonts w:ascii="Calibri" w:hAnsi="Calibri"/>
                <w:szCs w:val="20"/>
              </w:rPr>
              <w:t>-</w:t>
            </w:r>
          </w:p>
        </w:tc>
        <w:tc>
          <w:tcPr>
            <w:tcW w:w="682" w:type="pct"/>
          </w:tcPr>
          <w:p w:rsidR="00EC06F6" w:rsidRPr="00EC06F6" w:rsidRDefault="00EC06F6" w:rsidP="00EC06F6">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C06F6">
              <w:rPr>
                <w:rFonts w:ascii="Calibri" w:hAnsi="Calibri"/>
                <w:szCs w:val="20"/>
              </w:rPr>
              <w:t>-1.0</w:t>
            </w:r>
          </w:p>
        </w:tc>
        <w:tc>
          <w:tcPr>
            <w:tcW w:w="682" w:type="pct"/>
          </w:tcPr>
          <w:p w:rsidR="00EC06F6" w:rsidRPr="00EC06F6" w:rsidRDefault="00EC06F6" w:rsidP="00EC06F6">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C06F6">
              <w:rPr>
                <w:rFonts w:ascii="Calibri" w:hAnsi="Calibri"/>
                <w:szCs w:val="20"/>
              </w:rPr>
              <w:t>-0.7</w:t>
            </w:r>
          </w:p>
        </w:tc>
        <w:tc>
          <w:tcPr>
            <w:tcW w:w="682" w:type="pct"/>
          </w:tcPr>
          <w:p w:rsidR="00EC06F6" w:rsidRPr="00EC06F6" w:rsidRDefault="00EC06F6" w:rsidP="00EC06F6">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C06F6">
              <w:rPr>
                <w:rFonts w:ascii="Calibri" w:hAnsi="Calibri"/>
                <w:szCs w:val="20"/>
              </w:rPr>
              <w:t>-</w:t>
            </w:r>
          </w:p>
        </w:tc>
        <w:tc>
          <w:tcPr>
            <w:tcW w:w="681" w:type="pct"/>
          </w:tcPr>
          <w:p w:rsidR="00EC06F6" w:rsidRPr="00EC06F6" w:rsidRDefault="00EC06F6" w:rsidP="00EC06F6">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EC06F6">
              <w:rPr>
                <w:rFonts w:ascii="Calibri" w:hAnsi="Calibri"/>
                <w:b/>
                <w:szCs w:val="20"/>
              </w:rPr>
              <w:t>-1.7</w:t>
            </w:r>
          </w:p>
        </w:tc>
      </w:tr>
      <w:tr w:rsidR="00EC06F6" w:rsidRPr="00EC06F6" w:rsidTr="00083ECF">
        <w:tc>
          <w:tcPr>
            <w:cnfStyle w:val="001000000000" w:firstRow="0" w:lastRow="0" w:firstColumn="1" w:lastColumn="0" w:oddVBand="0" w:evenVBand="0" w:oddHBand="0" w:evenHBand="0" w:firstRowFirstColumn="0" w:firstRowLastColumn="0" w:lastRowFirstColumn="0" w:lastRowLastColumn="0"/>
            <w:tcW w:w="1591" w:type="pct"/>
          </w:tcPr>
          <w:p w:rsidR="00EC06F6" w:rsidRPr="00EC06F6" w:rsidRDefault="00EC06F6" w:rsidP="00EC06F6">
            <w:pPr>
              <w:keepNext/>
              <w:keepLines/>
              <w:ind w:left="57" w:right="57"/>
              <w:rPr>
                <w:szCs w:val="20"/>
              </w:rPr>
            </w:pPr>
            <w:r w:rsidRPr="00EC06F6">
              <w:rPr>
                <w:szCs w:val="20"/>
              </w:rPr>
              <w:t>Underlying cash balance</w:t>
            </w:r>
          </w:p>
        </w:tc>
        <w:tc>
          <w:tcPr>
            <w:tcW w:w="682" w:type="pct"/>
          </w:tcPr>
          <w:p w:rsidR="00EC06F6" w:rsidRPr="00EC06F6" w:rsidRDefault="00EC06F6" w:rsidP="00EC06F6">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C06F6">
              <w:rPr>
                <w:rFonts w:ascii="Calibri" w:hAnsi="Calibri"/>
                <w:szCs w:val="20"/>
              </w:rPr>
              <w:t>-</w:t>
            </w:r>
          </w:p>
        </w:tc>
        <w:tc>
          <w:tcPr>
            <w:tcW w:w="682" w:type="pct"/>
          </w:tcPr>
          <w:p w:rsidR="00EC06F6" w:rsidRPr="00EC06F6" w:rsidRDefault="00EC06F6" w:rsidP="00EC06F6">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C06F6">
              <w:rPr>
                <w:rFonts w:ascii="Calibri" w:hAnsi="Calibri"/>
                <w:szCs w:val="20"/>
              </w:rPr>
              <w:t>-1.0</w:t>
            </w:r>
          </w:p>
        </w:tc>
        <w:tc>
          <w:tcPr>
            <w:tcW w:w="682" w:type="pct"/>
          </w:tcPr>
          <w:p w:rsidR="00EC06F6" w:rsidRPr="00EC06F6" w:rsidRDefault="00EC06F6" w:rsidP="00EC06F6">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C06F6">
              <w:rPr>
                <w:rFonts w:ascii="Calibri" w:hAnsi="Calibri"/>
                <w:szCs w:val="20"/>
              </w:rPr>
              <w:t>-0.7</w:t>
            </w:r>
          </w:p>
        </w:tc>
        <w:tc>
          <w:tcPr>
            <w:tcW w:w="682" w:type="pct"/>
          </w:tcPr>
          <w:p w:rsidR="00EC06F6" w:rsidRPr="00EC06F6" w:rsidRDefault="00EC06F6" w:rsidP="00EC06F6">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C06F6">
              <w:rPr>
                <w:rFonts w:ascii="Calibri" w:hAnsi="Calibri"/>
                <w:szCs w:val="20"/>
              </w:rPr>
              <w:t>-</w:t>
            </w:r>
          </w:p>
        </w:tc>
        <w:tc>
          <w:tcPr>
            <w:tcW w:w="681" w:type="pct"/>
          </w:tcPr>
          <w:p w:rsidR="00EC06F6" w:rsidRPr="00EC06F6" w:rsidRDefault="00EC06F6" w:rsidP="00EC06F6">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C06F6">
              <w:rPr>
                <w:rFonts w:ascii="Calibri" w:hAnsi="Calibri"/>
                <w:b/>
                <w:szCs w:val="20"/>
              </w:rPr>
              <w:t>-1.7</w:t>
            </w:r>
          </w:p>
        </w:tc>
      </w:tr>
    </w:tbl>
    <w:p w:rsidR="00EC06F6" w:rsidRDefault="00EC06F6" w:rsidP="000B5C96">
      <w:pPr>
        <w:pStyle w:val="Footnotes"/>
        <w:numPr>
          <w:ilvl w:val="0"/>
          <w:numId w:val="77"/>
        </w:numPr>
        <w:ind w:left="284" w:hanging="284"/>
      </w:pPr>
      <w:r w:rsidRPr="00EC06F6">
        <w:t>A positive number represents an increase in the relevant budget balance, a negative number represents a decrease.</w:t>
      </w:r>
    </w:p>
    <w:p w:rsidR="00EC06F6" w:rsidRPr="00EC06F6" w:rsidRDefault="00EC06F6" w:rsidP="000B5C96">
      <w:pPr>
        <w:pStyle w:val="Footnotes"/>
        <w:numPr>
          <w:ilvl w:val="0"/>
          <w:numId w:val="77"/>
        </w:numPr>
        <w:ind w:left="284" w:hanging="284"/>
      </w:pPr>
      <w:r w:rsidRPr="00EC06F6">
        <w:t>Figures may not sum to totals due to rounding.</w:t>
      </w:r>
    </w:p>
    <w:p w:rsidR="007B493C" w:rsidRDefault="007B493C" w:rsidP="000B5C96">
      <w:pPr>
        <w:pStyle w:val="Footnotes"/>
        <w:numPr>
          <w:ilvl w:val="0"/>
          <w:numId w:val="77"/>
        </w:numPr>
        <w:ind w:left="284" w:hanging="284"/>
        <w:sectPr w:rsidR="007B493C" w:rsidSect="00A97AC4">
          <w:headerReference w:type="even" r:id="rId194"/>
          <w:headerReference w:type="default" r:id="rId195"/>
          <w:footerReference w:type="even" r:id="rId196"/>
          <w:footerReference w:type="default" r:id="rId197"/>
          <w:headerReference w:type="first" r:id="rId198"/>
          <w:footerReference w:type="first" r:id="rId199"/>
          <w:pgSz w:w="11906" w:h="16838"/>
          <w:pgMar w:top="1361" w:right="1797" w:bottom="1474" w:left="1797" w:header="283" w:footer="454" w:gutter="0"/>
          <w:cols w:space="708"/>
          <w:docGrid w:linePitch="360"/>
        </w:sectPr>
      </w:pPr>
    </w:p>
    <w:p w:rsidR="000C300F" w:rsidRPr="000C300F" w:rsidRDefault="000C300F" w:rsidP="007A4BF9">
      <w:pPr>
        <w:pStyle w:val="Heading5"/>
      </w:pPr>
      <w:bookmarkStart w:id="80" w:name="_Toc456766803"/>
      <w:bookmarkStart w:id="81" w:name="_Toc457819897"/>
      <w:bookmarkStart w:id="82" w:name="_Toc458015787"/>
      <w:bookmarkStart w:id="83" w:name="_Toc458090626"/>
      <w:r w:rsidRPr="000C300F">
        <w:lastRenderedPageBreak/>
        <w:t>GRN020: Creating National Marine Parks</w:t>
      </w:r>
      <w:bookmarkEnd w:id="80"/>
      <w:bookmarkEnd w:id="81"/>
      <w:bookmarkEnd w:id="82"/>
      <w:bookmarkEnd w:id="83"/>
    </w:p>
    <w:p w:rsidR="00EC06F6" w:rsidRDefault="000C300F" w:rsidP="007A4BF9">
      <w:pPr>
        <w:pStyle w:val="BodyText"/>
      </w:pPr>
      <w:r>
        <w:rPr>
          <w:noProof/>
          <w:lang w:eastAsia="en-AU"/>
        </w:rPr>
        <w:drawing>
          <wp:inline distT="0" distB="0" distL="0" distR="0" wp14:anchorId="5A38E458" wp14:editId="539CEDD7">
            <wp:extent cx="2696845" cy="572135"/>
            <wp:effectExtent l="0" t="0" r="8255" b="0"/>
            <wp:docPr id="456" name="Picture 45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C300F" w:rsidRPr="000C300F" w:rsidRDefault="000C300F" w:rsidP="007A4BF9">
      <w:pPr>
        <w:pStyle w:val="Heading6"/>
        <w:rPr>
          <w:rFonts w:eastAsia="Calibri"/>
        </w:rPr>
      </w:pPr>
      <w:r w:rsidRPr="000C300F">
        <w:rPr>
          <w:rFonts w:eastAsia="Calibri"/>
        </w:rPr>
        <w:t>Policy costing—during the caretaker period for the 2016 general election</w:t>
      </w:r>
    </w:p>
    <w:tbl>
      <w:tblPr>
        <w:tblStyle w:val="TableGrid24"/>
        <w:tblW w:w="8340" w:type="dxa"/>
        <w:tblLayout w:type="fixed"/>
        <w:tblCellMar>
          <w:left w:w="108" w:type="dxa"/>
          <w:right w:w="108" w:type="dxa"/>
        </w:tblCellMar>
        <w:tblLook w:val="04A0" w:firstRow="1" w:lastRow="0" w:firstColumn="1" w:lastColumn="0" w:noHBand="0" w:noVBand="1"/>
      </w:tblPr>
      <w:tblGrid>
        <w:gridCol w:w="3005"/>
        <w:gridCol w:w="5335"/>
      </w:tblGrid>
      <w:tr w:rsidR="000C300F" w:rsidRPr="00AF49FE" w:rsidTr="00083E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C300F" w:rsidRPr="00AF49FE" w:rsidRDefault="000C300F" w:rsidP="00AF49FE">
            <w:pPr>
              <w:pStyle w:val="PullOutBoxHeading"/>
              <w:rPr>
                <w:b/>
              </w:rPr>
            </w:pPr>
            <w:r w:rsidRPr="00AF49FE">
              <w:rPr>
                <w:b/>
              </w:rPr>
              <w:t>Name of proposal:</w:t>
            </w:r>
          </w:p>
        </w:tc>
        <w:tc>
          <w:tcPr>
            <w:tcW w:w="5335" w:type="dxa"/>
          </w:tcPr>
          <w:p w:rsidR="000C300F" w:rsidRPr="00AF49FE" w:rsidRDefault="000C300F" w:rsidP="00AF49FE">
            <w:pPr>
              <w:pStyle w:val="PullOutBoxHeading"/>
              <w:cnfStyle w:val="100000000000" w:firstRow="1" w:lastRow="0" w:firstColumn="0" w:lastColumn="0" w:oddVBand="0" w:evenVBand="0" w:oddHBand="0" w:evenHBand="0" w:firstRowFirstColumn="0" w:firstRowLastColumn="0" w:lastRowFirstColumn="0" w:lastRowLastColumn="0"/>
              <w:rPr>
                <w:b/>
              </w:rPr>
            </w:pPr>
            <w:r w:rsidRPr="00AF49FE">
              <w:rPr>
                <w:b/>
              </w:rPr>
              <w:t>Marine reserves: protecting our marine ecosystems</w:t>
            </w:r>
          </w:p>
        </w:tc>
      </w:tr>
      <w:tr w:rsidR="000C300F" w:rsidRPr="000C300F" w:rsidTr="0008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C300F" w:rsidRPr="000C300F" w:rsidRDefault="000C300F" w:rsidP="00635389">
            <w:pPr>
              <w:pStyle w:val="PullOutBoxBodyText"/>
            </w:pPr>
            <w:r w:rsidRPr="000C300F">
              <w:t>Summary of proposal:</w:t>
            </w:r>
          </w:p>
        </w:tc>
        <w:tc>
          <w:tcPr>
            <w:tcW w:w="5335" w:type="dxa"/>
          </w:tcPr>
          <w:p w:rsidR="000C300F" w:rsidRPr="000C300F" w:rsidRDefault="000C300F" w:rsidP="00635389">
            <w:pPr>
              <w:pStyle w:val="PullOutBoxBodyText"/>
              <w:cnfStyle w:val="000000100000" w:firstRow="0" w:lastRow="0" w:firstColumn="0" w:lastColumn="0" w:oddVBand="0" w:evenVBand="0" w:oddHBand="1" w:evenHBand="0" w:firstRowFirstColumn="0" w:firstRowLastColumn="0" w:lastRowFirstColumn="0" w:lastRowLastColumn="0"/>
            </w:pPr>
            <w:r w:rsidRPr="000C300F">
              <w:t>The proposal includes the following components:</w:t>
            </w:r>
          </w:p>
          <w:p w:rsidR="000C300F" w:rsidRPr="000C300F" w:rsidRDefault="000C300F" w:rsidP="00635389">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0C300F">
              <w:rPr>
                <w:u w:val="single"/>
              </w:rPr>
              <w:t>Component 1: Marine park management plans</w:t>
            </w:r>
          </w:p>
          <w:p w:rsidR="000C300F" w:rsidRPr="000C300F" w:rsidRDefault="000C300F" w:rsidP="00635389">
            <w:pPr>
              <w:pStyle w:val="PullOutBoxBullet"/>
              <w:cnfStyle w:val="000000100000" w:firstRow="0" w:lastRow="0" w:firstColumn="0" w:lastColumn="0" w:oddVBand="0" w:evenVBand="0" w:oddHBand="1" w:evenHBand="0" w:firstRowFirstColumn="0" w:firstRowLastColumn="0" w:lastRowFirstColumn="0" w:lastRowLastColumn="0"/>
            </w:pPr>
            <w:r w:rsidRPr="000C300F">
              <w:t>This component would reinstate the marine park management plans that were scheduled to come into effect in July 2014 for the South-West, North-West, North and Temperate East reserve networks and the Coral Sea Commonwealth Marine Reserve.</w:t>
            </w:r>
          </w:p>
          <w:p w:rsidR="000C300F" w:rsidRPr="00635389" w:rsidRDefault="000C300F" w:rsidP="00635389">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635389">
              <w:rPr>
                <w:u w:val="single"/>
              </w:rPr>
              <w:t>Component 2: Fisheries Adjustment Assistance Package</w:t>
            </w:r>
          </w:p>
          <w:p w:rsidR="000C300F" w:rsidRPr="000C300F" w:rsidRDefault="000C300F" w:rsidP="00635389">
            <w:pPr>
              <w:pStyle w:val="PullOutBoxBullet"/>
              <w:cnfStyle w:val="000000100000" w:firstRow="0" w:lastRow="0" w:firstColumn="0" w:lastColumn="0" w:oddVBand="0" w:evenVBand="0" w:oddHBand="1" w:evenHBand="0" w:firstRowFirstColumn="0" w:firstRowLastColumn="0" w:lastRowFirstColumn="0" w:lastRowLastColumn="0"/>
            </w:pPr>
            <w:r w:rsidRPr="000C300F">
              <w:t xml:space="preserve">This component would reinstate the Fisheries Adjustment Assistance Package associated with the introduction of marine park management plans as intended prior to the 2013 election, including the following components: </w:t>
            </w:r>
          </w:p>
          <w:p w:rsidR="000C300F" w:rsidRPr="000C300F" w:rsidRDefault="000C300F" w:rsidP="00635389">
            <w:pPr>
              <w:pStyle w:val="PullOutBoxBullet2"/>
              <w:cnfStyle w:val="000000100000" w:firstRow="0" w:lastRow="0" w:firstColumn="0" w:lastColumn="0" w:oddVBand="0" w:evenVBand="0" w:oddHBand="1" w:evenHBand="0" w:firstRowFirstColumn="0" w:firstRowLastColumn="0" w:lastRowFirstColumn="0" w:lastRowLastColumn="0"/>
            </w:pPr>
            <w:r w:rsidRPr="000C300F">
              <w:t>Transitional Business Assistance to support changes to fishing operations displaced by reserves.</w:t>
            </w:r>
          </w:p>
          <w:p w:rsidR="000C300F" w:rsidRPr="000C300F" w:rsidRDefault="000C300F" w:rsidP="00635389">
            <w:pPr>
              <w:pStyle w:val="PullOutBoxBullet2"/>
              <w:cnfStyle w:val="000000100000" w:firstRow="0" w:lastRow="0" w:firstColumn="0" w:lastColumn="0" w:oddVBand="0" w:evenVBand="0" w:oddHBand="1" w:evenHBand="0" w:firstRowFirstColumn="0" w:firstRowLastColumn="0" w:lastRowFirstColumn="0" w:lastRowLastColumn="0"/>
            </w:pPr>
            <w:r w:rsidRPr="000C300F">
              <w:t xml:space="preserve">A total of up to $20 million for ‘Sectoral measures’, to be awarded to projects to improve the long term sustainability of fisheries displaced by marine reserves. </w:t>
            </w:r>
          </w:p>
          <w:p w:rsidR="000C300F" w:rsidRPr="000C300F" w:rsidRDefault="000C300F" w:rsidP="00635389">
            <w:pPr>
              <w:pStyle w:val="PullOutBoxBullet2"/>
              <w:cnfStyle w:val="000000100000" w:firstRow="0" w:lastRow="0" w:firstColumn="0" w:lastColumn="0" w:oddVBand="0" w:evenVBand="0" w:oddHBand="1" w:evenHBand="0" w:firstRowFirstColumn="0" w:firstRowLastColumn="0" w:lastRowFirstColumn="0" w:lastRowLastColumn="0"/>
            </w:pPr>
            <w:r w:rsidRPr="000C300F">
              <w:t xml:space="preserve">Removal of Commercial Fishing Effort - purchase of individual fishing entitlements, Business Advice Assistance and Re-employment assistance.  </w:t>
            </w:r>
          </w:p>
          <w:p w:rsidR="000C300F" w:rsidRPr="00635389" w:rsidRDefault="000C300F" w:rsidP="00635389">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635389">
              <w:rPr>
                <w:u w:val="single"/>
              </w:rPr>
              <w:t>Component 3: Research funding</w:t>
            </w:r>
          </w:p>
          <w:p w:rsidR="000C300F" w:rsidRPr="000C300F" w:rsidRDefault="000C300F" w:rsidP="00635389">
            <w:pPr>
              <w:pStyle w:val="PullOutBoxBullet"/>
              <w:cnfStyle w:val="000000100000" w:firstRow="0" w:lastRow="0" w:firstColumn="0" w:lastColumn="0" w:oddVBand="0" w:evenVBand="0" w:oddHBand="1" w:evenHBand="0" w:firstRowFirstColumn="0" w:firstRowLastColumn="0" w:lastRowFirstColumn="0" w:lastRowLastColumn="0"/>
            </w:pPr>
            <w:r w:rsidRPr="000C300F">
              <w:t>This component would provide capped funding of:</w:t>
            </w:r>
          </w:p>
          <w:p w:rsidR="000C300F" w:rsidRPr="000C300F" w:rsidRDefault="000C300F" w:rsidP="00635389">
            <w:pPr>
              <w:pStyle w:val="PullOutBoxBullet2"/>
              <w:cnfStyle w:val="000000100000" w:firstRow="0" w:lastRow="0" w:firstColumn="0" w:lastColumn="0" w:oddVBand="0" w:evenVBand="0" w:oddHBand="1" w:evenHBand="0" w:firstRowFirstColumn="0" w:firstRowLastColumn="0" w:lastRowFirstColumn="0" w:lastRowLastColumn="0"/>
            </w:pPr>
            <w:r w:rsidRPr="000C300F">
              <w:t>$8 million over the period 2016</w:t>
            </w:r>
            <w:r w:rsidRPr="000C300F">
              <w:noBreakHyphen/>
              <w:t>17 to 2019</w:t>
            </w:r>
            <w:r w:rsidRPr="000C300F">
              <w:noBreakHyphen/>
              <w:t>20 to the Commonwealth Science and Industrial Research Organisation (CSIRO) for coral bleaching research.</w:t>
            </w:r>
          </w:p>
          <w:p w:rsidR="000C300F" w:rsidRPr="000C300F" w:rsidRDefault="000C300F" w:rsidP="00635389">
            <w:pPr>
              <w:pStyle w:val="PullOutBoxBullet2"/>
              <w:cnfStyle w:val="000000100000" w:firstRow="0" w:lastRow="0" w:firstColumn="0" w:lastColumn="0" w:oddVBand="0" w:evenVBand="0" w:oddHBand="1" w:evenHBand="0" w:firstRowFirstColumn="0" w:firstRowLastColumn="0" w:lastRowFirstColumn="0" w:lastRowLastColumn="0"/>
            </w:pPr>
            <w:r w:rsidRPr="000C300F">
              <w:t>$6 million over the period 2017</w:t>
            </w:r>
            <w:r w:rsidRPr="000C300F">
              <w:noBreakHyphen/>
              <w:t>18 to 2019</w:t>
            </w:r>
            <w:r w:rsidRPr="000C300F">
              <w:noBreakHyphen/>
              <w:t>20 for shark research.</w:t>
            </w:r>
          </w:p>
          <w:p w:rsidR="000C300F" w:rsidRPr="00635389" w:rsidRDefault="000C300F" w:rsidP="00761D0F">
            <w:pPr>
              <w:pStyle w:val="PullOutBoxBodyText"/>
              <w:spacing w:before="360"/>
              <w:cnfStyle w:val="000000100000" w:firstRow="0" w:lastRow="0" w:firstColumn="0" w:lastColumn="0" w:oddVBand="0" w:evenVBand="0" w:oddHBand="1" w:evenHBand="0" w:firstRowFirstColumn="0" w:firstRowLastColumn="0" w:lastRowFirstColumn="0" w:lastRowLastColumn="0"/>
              <w:rPr>
                <w:u w:val="single"/>
              </w:rPr>
            </w:pPr>
            <w:r w:rsidRPr="00635389">
              <w:rPr>
                <w:u w:val="single"/>
              </w:rPr>
              <w:lastRenderedPageBreak/>
              <w:t>Component 4: Shark finning</w:t>
            </w:r>
          </w:p>
          <w:p w:rsidR="000C300F" w:rsidRPr="000C300F" w:rsidRDefault="000C300F" w:rsidP="00635389">
            <w:pPr>
              <w:pStyle w:val="PullOutBoxBullet"/>
              <w:cnfStyle w:val="000000100000" w:firstRow="0" w:lastRow="0" w:firstColumn="0" w:lastColumn="0" w:oddVBand="0" w:evenVBand="0" w:oddHBand="1" w:evenHBand="0" w:firstRowFirstColumn="0" w:firstRowLastColumn="0" w:lastRowFirstColumn="0" w:lastRowLastColumn="0"/>
            </w:pPr>
            <w:r w:rsidRPr="000C300F">
              <w:t>This component would provide funding from 1 July 2017 to:</w:t>
            </w:r>
          </w:p>
          <w:p w:rsidR="000C300F" w:rsidRPr="000C300F" w:rsidRDefault="000C300F" w:rsidP="000C300F">
            <w:pPr>
              <w:pStyle w:val="ListBullet2"/>
              <w:cnfStyle w:val="000000100000" w:firstRow="0" w:lastRow="0" w:firstColumn="0" w:lastColumn="0" w:oddVBand="0" w:evenVBand="0" w:oddHBand="1" w:evenHBand="0" w:firstRowFirstColumn="0" w:firstRowLastColumn="0" w:lastRowFirstColumn="0" w:lastRowLastColumn="0"/>
            </w:pPr>
            <w:r w:rsidRPr="000C300F">
              <w:t>work through the Council of Australian Governments (COAG) to achieve consistent laws requiring that all sharks caught in Australia must be landed with their fins still attached to their bodies</w:t>
            </w:r>
          </w:p>
          <w:p w:rsidR="000C300F" w:rsidRPr="000C300F" w:rsidRDefault="000C300F" w:rsidP="000C300F">
            <w:pPr>
              <w:pStyle w:val="ListBullet2"/>
              <w:cnfStyle w:val="000000100000" w:firstRow="0" w:lastRow="0" w:firstColumn="0" w:lastColumn="0" w:oddVBand="0" w:evenVBand="0" w:oddHBand="1" w:evenHBand="0" w:firstRowFirstColumn="0" w:firstRowLastColumn="0" w:lastRowFirstColumn="0" w:lastRowLastColumn="0"/>
            </w:pPr>
            <w:r w:rsidRPr="000C300F">
              <w:t>create a central data source that records Australian sharks caught, species, and full details of shark fin imports and exports</w:t>
            </w:r>
          </w:p>
          <w:p w:rsidR="000C300F" w:rsidRPr="000C300F" w:rsidRDefault="000C300F" w:rsidP="000C300F">
            <w:pPr>
              <w:pStyle w:val="ListBullet2"/>
              <w:cnfStyle w:val="000000100000" w:firstRow="0" w:lastRow="0" w:firstColumn="0" w:lastColumn="0" w:oddVBand="0" w:evenVBand="0" w:oddHBand="1" w:evenHBand="0" w:firstRowFirstColumn="0" w:firstRowLastColumn="0" w:lastRowFirstColumn="0" w:lastRowLastColumn="0"/>
            </w:pPr>
            <w:r w:rsidRPr="000C300F">
              <w:t>create a working group of scientific and public policy experts (five Senior Executive Service (SES) Band 2 officers, five scientific experts) that would meet over two years (2017</w:t>
            </w:r>
            <w:r w:rsidRPr="000C300F">
              <w:noBreakHyphen/>
              <w:t>18 and 2018</w:t>
            </w:r>
            <w:r w:rsidRPr="000C300F">
              <w:noBreakHyphen/>
              <w:t>19) to determine the best way to ban the possession, sale and/or trade of imported shark fins in Australia, and consider options such as a moratorium on shark fishing in Commonwealth waters, or an import/export ban.</w:t>
            </w:r>
          </w:p>
          <w:p w:rsidR="000C300F" w:rsidRPr="000C300F" w:rsidRDefault="000C300F" w:rsidP="00635389">
            <w:pPr>
              <w:pStyle w:val="PullOutBoxBodyText"/>
              <w:cnfStyle w:val="000000100000" w:firstRow="0" w:lastRow="0" w:firstColumn="0" w:lastColumn="0" w:oddVBand="0" w:evenVBand="0" w:oddHBand="1" w:evenHBand="0" w:firstRowFirstColumn="0" w:firstRowLastColumn="0" w:lastRowFirstColumn="0" w:lastRowLastColumn="0"/>
            </w:pPr>
            <w:r w:rsidRPr="000C300F">
              <w:t>The proposal would have effect from 1 September 2016.</w:t>
            </w:r>
          </w:p>
        </w:tc>
      </w:tr>
      <w:tr w:rsidR="000C300F" w:rsidRPr="000C300F" w:rsidTr="00083ECF">
        <w:tc>
          <w:tcPr>
            <w:cnfStyle w:val="001000000000" w:firstRow="0" w:lastRow="0" w:firstColumn="1" w:lastColumn="0" w:oddVBand="0" w:evenVBand="0" w:oddHBand="0" w:evenHBand="0" w:firstRowFirstColumn="0" w:firstRowLastColumn="0" w:lastRowFirstColumn="0" w:lastRowLastColumn="0"/>
            <w:tcW w:w="3005" w:type="dxa"/>
          </w:tcPr>
          <w:p w:rsidR="000C300F" w:rsidRPr="000C300F" w:rsidRDefault="000C300F" w:rsidP="00635389">
            <w:pPr>
              <w:pStyle w:val="PullOutBoxBodyText"/>
            </w:pPr>
            <w:r w:rsidRPr="000C300F">
              <w:lastRenderedPageBreak/>
              <w:t>Person/party requesting costing:</w:t>
            </w:r>
          </w:p>
        </w:tc>
        <w:tc>
          <w:tcPr>
            <w:tcW w:w="5335" w:type="dxa"/>
          </w:tcPr>
          <w:p w:rsidR="000C300F" w:rsidRPr="000C300F" w:rsidRDefault="000C300F" w:rsidP="00635389">
            <w:pPr>
              <w:pStyle w:val="PullOutBoxBodyText"/>
              <w:cnfStyle w:val="000000000000" w:firstRow="0" w:lastRow="0" w:firstColumn="0" w:lastColumn="0" w:oddVBand="0" w:evenVBand="0" w:oddHBand="0" w:evenHBand="0" w:firstRowFirstColumn="0" w:firstRowLastColumn="0" w:lastRowFirstColumn="0" w:lastRowLastColumn="0"/>
            </w:pPr>
            <w:r w:rsidRPr="000C300F">
              <w:t>Senator Richard Di Natale, Australian Greens</w:t>
            </w:r>
          </w:p>
        </w:tc>
      </w:tr>
      <w:tr w:rsidR="000C300F" w:rsidRPr="000C300F" w:rsidTr="0008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C300F" w:rsidRPr="000C300F" w:rsidRDefault="000C300F" w:rsidP="00635389">
            <w:pPr>
              <w:pStyle w:val="PullOutBoxBodyText"/>
            </w:pPr>
            <w:r w:rsidRPr="000C300F">
              <w:t>Date of public release of policy:</w:t>
            </w:r>
          </w:p>
        </w:tc>
        <w:tc>
          <w:tcPr>
            <w:tcW w:w="5335" w:type="dxa"/>
          </w:tcPr>
          <w:p w:rsidR="000C300F" w:rsidRPr="000C300F" w:rsidRDefault="000C300F" w:rsidP="00635389">
            <w:pPr>
              <w:pStyle w:val="PullOutBoxBodyText"/>
              <w:cnfStyle w:val="000000100000" w:firstRow="0" w:lastRow="0" w:firstColumn="0" w:lastColumn="0" w:oddVBand="0" w:evenVBand="0" w:oddHBand="1" w:evenHBand="0" w:firstRowFirstColumn="0" w:firstRowLastColumn="0" w:lastRowFirstColumn="0" w:lastRowLastColumn="0"/>
            </w:pPr>
            <w:r w:rsidRPr="000C300F">
              <w:t>8 June 2016</w:t>
            </w:r>
          </w:p>
          <w:p w:rsidR="000C300F" w:rsidRPr="000C300F" w:rsidRDefault="00E46526" w:rsidP="00635389">
            <w:pPr>
              <w:pStyle w:val="PullOutBoxBodyText"/>
              <w:cnfStyle w:val="000000100000" w:firstRow="0" w:lastRow="0" w:firstColumn="0" w:lastColumn="0" w:oddVBand="0" w:evenVBand="0" w:oddHBand="1" w:evenHBand="0" w:firstRowFirstColumn="0" w:firstRowLastColumn="0" w:lastRowFirstColumn="0" w:lastRowLastColumn="0"/>
            </w:pPr>
            <w:hyperlink r:id="rId200" w:history="1">
              <w:r w:rsidR="000C300F" w:rsidRPr="000C300F">
                <w:rPr>
                  <w:color w:val="0000FF"/>
                  <w:u w:val="single"/>
                </w:rPr>
                <w:t>http://greens.org.au/marine</w:t>
              </w:r>
            </w:hyperlink>
            <w:r w:rsidR="000C300F" w:rsidRPr="000C300F">
              <w:t>;</w:t>
            </w:r>
          </w:p>
        </w:tc>
      </w:tr>
      <w:tr w:rsidR="000C300F" w:rsidRPr="000C300F" w:rsidTr="00083ECF">
        <w:tc>
          <w:tcPr>
            <w:cnfStyle w:val="001000000000" w:firstRow="0" w:lastRow="0" w:firstColumn="1" w:lastColumn="0" w:oddVBand="0" w:evenVBand="0" w:oddHBand="0" w:evenHBand="0" w:firstRowFirstColumn="0" w:firstRowLastColumn="0" w:lastRowFirstColumn="0" w:lastRowLastColumn="0"/>
            <w:tcW w:w="3005" w:type="dxa"/>
          </w:tcPr>
          <w:p w:rsidR="000C300F" w:rsidRPr="000C300F" w:rsidRDefault="000C300F" w:rsidP="00635389">
            <w:pPr>
              <w:pStyle w:val="PullOutBoxBodyText"/>
            </w:pPr>
            <w:r w:rsidRPr="000C300F">
              <w:t>Date costing request received:</w:t>
            </w:r>
          </w:p>
        </w:tc>
        <w:tc>
          <w:tcPr>
            <w:tcW w:w="5335" w:type="dxa"/>
          </w:tcPr>
          <w:p w:rsidR="000C300F" w:rsidRPr="000C300F" w:rsidRDefault="000C300F" w:rsidP="00635389">
            <w:pPr>
              <w:pStyle w:val="PullOutBoxBodyText"/>
              <w:cnfStyle w:val="000000000000" w:firstRow="0" w:lastRow="0" w:firstColumn="0" w:lastColumn="0" w:oddVBand="0" w:evenVBand="0" w:oddHBand="0" w:evenHBand="0" w:firstRowFirstColumn="0" w:firstRowLastColumn="0" w:lastRowFirstColumn="0" w:lastRowLastColumn="0"/>
            </w:pPr>
            <w:r w:rsidRPr="000C300F">
              <w:t>24 June 2016</w:t>
            </w:r>
          </w:p>
        </w:tc>
      </w:tr>
      <w:tr w:rsidR="000C300F" w:rsidRPr="000C300F" w:rsidTr="0008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C300F" w:rsidRPr="000C300F" w:rsidRDefault="000C300F" w:rsidP="00635389">
            <w:pPr>
              <w:pStyle w:val="PullOutBoxBodyText"/>
            </w:pPr>
            <w:r w:rsidRPr="000C300F">
              <w:t>Date costing completed</w:t>
            </w:r>
          </w:p>
        </w:tc>
        <w:tc>
          <w:tcPr>
            <w:tcW w:w="5335" w:type="dxa"/>
          </w:tcPr>
          <w:p w:rsidR="000C300F" w:rsidRPr="000C300F" w:rsidRDefault="000C300F" w:rsidP="00635389">
            <w:pPr>
              <w:pStyle w:val="PullOutBoxBodyText"/>
              <w:cnfStyle w:val="000000100000" w:firstRow="0" w:lastRow="0" w:firstColumn="0" w:lastColumn="0" w:oddVBand="0" w:evenVBand="0" w:oddHBand="1" w:evenHBand="0" w:firstRowFirstColumn="0" w:firstRowLastColumn="0" w:lastRowFirstColumn="0" w:lastRowLastColumn="0"/>
            </w:pPr>
            <w:r w:rsidRPr="000C300F">
              <w:t>25 June 2016</w:t>
            </w:r>
          </w:p>
        </w:tc>
      </w:tr>
      <w:tr w:rsidR="000C300F" w:rsidRPr="000C300F" w:rsidTr="00083ECF">
        <w:tc>
          <w:tcPr>
            <w:cnfStyle w:val="001000000000" w:firstRow="0" w:lastRow="0" w:firstColumn="1" w:lastColumn="0" w:oddVBand="0" w:evenVBand="0" w:oddHBand="0" w:evenHBand="0" w:firstRowFirstColumn="0" w:firstRowLastColumn="0" w:lastRowFirstColumn="0" w:lastRowLastColumn="0"/>
            <w:tcW w:w="3005" w:type="dxa"/>
          </w:tcPr>
          <w:p w:rsidR="000C300F" w:rsidRPr="000C300F" w:rsidRDefault="000C300F" w:rsidP="00635389">
            <w:pPr>
              <w:pStyle w:val="PullOutBoxBodyText"/>
            </w:pPr>
            <w:r w:rsidRPr="000C300F">
              <w:t>Expiry date for the costing:</w:t>
            </w:r>
          </w:p>
        </w:tc>
        <w:tc>
          <w:tcPr>
            <w:tcW w:w="5335" w:type="dxa"/>
          </w:tcPr>
          <w:p w:rsidR="000C300F" w:rsidRPr="000C300F" w:rsidRDefault="000C300F" w:rsidP="00635389">
            <w:pPr>
              <w:pStyle w:val="PullOutBoxBodyText"/>
              <w:cnfStyle w:val="000000000000" w:firstRow="0" w:lastRow="0" w:firstColumn="0" w:lastColumn="0" w:oddVBand="0" w:evenVBand="0" w:oddHBand="0" w:evenHBand="0" w:firstRowFirstColumn="0" w:firstRowLastColumn="0" w:lastRowFirstColumn="0" w:lastRowLastColumn="0"/>
            </w:pPr>
            <w:r w:rsidRPr="000C300F">
              <w:t>Release of the next economic and fiscal outlook report</w:t>
            </w:r>
          </w:p>
        </w:tc>
      </w:tr>
    </w:tbl>
    <w:p w:rsidR="000C300F" w:rsidRPr="00905B06" w:rsidRDefault="000C300F" w:rsidP="00905B06">
      <w:pPr>
        <w:pStyle w:val="CostingsH7"/>
      </w:pPr>
      <w:r w:rsidRPr="00905B06">
        <w:t>Costing overview</w:t>
      </w:r>
    </w:p>
    <w:p w:rsidR="000C300F" w:rsidRPr="000C300F" w:rsidRDefault="000C300F" w:rsidP="00277ED3">
      <w:pPr>
        <w:pStyle w:val="BodyText"/>
      </w:pPr>
      <w:r w:rsidRPr="000C300F">
        <w:t>This proposal would be expected to decrease both the fiscal and underlying cash balances by $151.0 million over the 2016-17 Budget forward estimates period.  The impact is due to an increase in administered expenses of $60.6 million and departmental expenses of $90.4 million.</w:t>
      </w:r>
    </w:p>
    <w:p w:rsidR="000C300F" w:rsidRPr="000C300F" w:rsidRDefault="000C300F" w:rsidP="00277ED3">
      <w:pPr>
        <w:pStyle w:val="BodyText"/>
      </w:pPr>
      <w:r w:rsidRPr="000C300F">
        <w:t>Component 1 of this proposal would have an ongoing impact that extends beyond the forward estimates period.  Breakdowns of the financial impact for the total and each component of this proposal for the period 2016</w:t>
      </w:r>
      <w:r w:rsidRPr="000C300F">
        <w:noBreakHyphen/>
        <w:t xml:space="preserve">17 to 2026-27 are provided at </w:t>
      </w:r>
      <w:r w:rsidRPr="000C300F">
        <w:rPr>
          <w:u w:val="single"/>
        </w:rPr>
        <w:t>Attachment A</w:t>
      </w:r>
      <w:r w:rsidRPr="000C300F">
        <w:t>.</w:t>
      </w:r>
    </w:p>
    <w:p w:rsidR="000C300F" w:rsidRPr="000C300F" w:rsidRDefault="000C300F" w:rsidP="00277ED3">
      <w:pPr>
        <w:pStyle w:val="BodyText"/>
      </w:pPr>
      <w:r w:rsidRPr="000C300F">
        <w:lastRenderedPageBreak/>
        <w:t xml:space="preserve">Components 1 and 2 of this proposal are considered to be of high reliability as they are based on past estimates of funding.  Component 3 of this proposal is also considered to be of high reliability as the estimates are based on specified capped funding amounts.  Component 4 is considered to be of medium reliability due to the uncertainty of the scope of the central data source element.  </w:t>
      </w:r>
    </w:p>
    <w:p w:rsidR="000C300F" w:rsidRPr="000C300F" w:rsidRDefault="000C300F" w:rsidP="00905B06">
      <w:pPr>
        <w:pStyle w:val="Caption"/>
      </w:pPr>
      <w:r w:rsidRPr="000C300F">
        <w:t>Table 1: Financial implications (outturn prices)</w:t>
      </w:r>
      <w:r w:rsidRPr="000C300F">
        <w:rPr>
          <w:vertAlign w:val="superscript"/>
        </w:rPr>
        <w:t>(a)(b)</w:t>
      </w:r>
    </w:p>
    <w:tbl>
      <w:tblPr>
        <w:tblStyle w:val="TableGrid24"/>
        <w:tblW w:w="4993" w:type="pct"/>
        <w:tblLook w:val="04A0" w:firstRow="1" w:lastRow="0" w:firstColumn="1" w:lastColumn="0" w:noHBand="0" w:noVBand="1"/>
      </w:tblPr>
      <w:tblGrid>
        <w:gridCol w:w="2645"/>
        <w:gridCol w:w="1134"/>
        <w:gridCol w:w="1133"/>
        <w:gridCol w:w="1133"/>
        <w:gridCol w:w="1133"/>
        <w:gridCol w:w="1132"/>
      </w:tblGrid>
      <w:tr w:rsidR="000C300F" w:rsidRPr="000C300F" w:rsidTr="00083E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C300F" w:rsidRPr="000C300F" w:rsidRDefault="000C300F" w:rsidP="000C300F">
            <w:pPr>
              <w:keepNext/>
              <w:keepLines/>
              <w:spacing w:line="240" w:lineRule="auto"/>
              <w:rPr>
                <w:sz w:val="20"/>
                <w:szCs w:val="20"/>
              </w:rPr>
            </w:pPr>
            <w:r w:rsidRPr="000C300F">
              <w:rPr>
                <w:sz w:val="20"/>
                <w:szCs w:val="20"/>
              </w:rPr>
              <w:t>Impact on ($m)</w:t>
            </w:r>
          </w:p>
        </w:tc>
        <w:tc>
          <w:tcPr>
            <w:tcW w:w="682" w:type="pct"/>
          </w:tcPr>
          <w:p w:rsidR="000C300F" w:rsidRPr="000C300F" w:rsidRDefault="000C300F" w:rsidP="000C300F">
            <w:pPr>
              <w:keepNext/>
              <w:keepLines/>
              <w:spacing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0C300F">
              <w:rPr>
                <w:sz w:val="20"/>
                <w:szCs w:val="20"/>
              </w:rPr>
              <w:t>2016–17</w:t>
            </w:r>
          </w:p>
        </w:tc>
        <w:tc>
          <w:tcPr>
            <w:tcW w:w="682" w:type="pct"/>
          </w:tcPr>
          <w:p w:rsidR="000C300F" w:rsidRPr="000C300F" w:rsidRDefault="000C300F" w:rsidP="000C300F">
            <w:pPr>
              <w:keepNext/>
              <w:keepLines/>
              <w:spacing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0C300F">
              <w:rPr>
                <w:sz w:val="20"/>
                <w:szCs w:val="20"/>
              </w:rPr>
              <w:t>2017–18</w:t>
            </w:r>
          </w:p>
        </w:tc>
        <w:tc>
          <w:tcPr>
            <w:tcW w:w="682" w:type="pct"/>
          </w:tcPr>
          <w:p w:rsidR="000C300F" w:rsidRPr="000C300F" w:rsidRDefault="000C300F" w:rsidP="000C300F">
            <w:pPr>
              <w:keepNext/>
              <w:keepLines/>
              <w:spacing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0C300F">
              <w:rPr>
                <w:sz w:val="20"/>
                <w:szCs w:val="20"/>
              </w:rPr>
              <w:t>2018–19</w:t>
            </w:r>
          </w:p>
        </w:tc>
        <w:tc>
          <w:tcPr>
            <w:tcW w:w="682" w:type="pct"/>
          </w:tcPr>
          <w:p w:rsidR="000C300F" w:rsidRPr="000C300F" w:rsidRDefault="000C300F" w:rsidP="000C300F">
            <w:pPr>
              <w:keepNext/>
              <w:keepLines/>
              <w:spacing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0C300F">
              <w:rPr>
                <w:sz w:val="20"/>
                <w:szCs w:val="20"/>
              </w:rPr>
              <w:t>2019–20</w:t>
            </w:r>
          </w:p>
        </w:tc>
        <w:tc>
          <w:tcPr>
            <w:tcW w:w="681" w:type="pct"/>
          </w:tcPr>
          <w:p w:rsidR="000C300F" w:rsidRPr="000C300F" w:rsidRDefault="000C300F" w:rsidP="000C300F">
            <w:pPr>
              <w:keepNext/>
              <w:keepLines/>
              <w:spacing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0C300F">
              <w:rPr>
                <w:sz w:val="20"/>
                <w:szCs w:val="20"/>
              </w:rPr>
              <w:t>Total</w:t>
            </w:r>
          </w:p>
        </w:tc>
      </w:tr>
      <w:tr w:rsidR="000C300F" w:rsidRPr="000C300F" w:rsidTr="0008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C300F" w:rsidRPr="000C300F" w:rsidRDefault="000C300F" w:rsidP="000C300F">
            <w:pPr>
              <w:keepNext/>
              <w:keepLines/>
              <w:spacing w:line="240" w:lineRule="auto"/>
              <w:rPr>
                <w:rFonts w:ascii="Calibri" w:hAnsi="Calibri"/>
                <w:sz w:val="20"/>
                <w:szCs w:val="20"/>
              </w:rPr>
            </w:pPr>
            <w:r w:rsidRPr="000C300F">
              <w:rPr>
                <w:rFonts w:ascii="Calibri" w:hAnsi="Calibri"/>
                <w:sz w:val="20"/>
                <w:szCs w:val="20"/>
              </w:rPr>
              <w:t>Fiscal balance</w:t>
            </w:r>
          </w:p>
        </w:tc>
        <w:tc>
          <w:tcPr>
            <w:tcW w:w="682" w:type="pct"/>
          </w:tcPr>
          <w:p w:rsidR="000C300F" w:rsidRPr="000C300F" w:rsidRDefault="000C300F" w:rsidP="000C300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C300F">
              <w:rPr>
                <w:rFonts w:ascii="Calibri" w:hAnsi="Calibri"/>
                <w:sz w:val="20"/>
                <w:szCs w:val="20"/>
              </w:rPr>
              <w:t>-39.5</w:t>
            </w:r>
          </w:p>
        </w:tc>
        <w:tc>
          <w:tcPr>
            <w:tcW w:w="682" w:type="pct"/>
          </w:tcPr>
          <w:p w:rsidR="000C300F" w:rsidRPr="000C300F" w:rsidRDefault="000C300F" w:rsidP="000C300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C300F">
              <w:rPr>
                <w:rFonts w:ascii="Calibri" w:hAnsi="Calibri"/>
                <w:sz w:val="20"/>
                <w:szCs w:val="20"/>
              </w:rPr>
              <w:t>-50.0</w:t>
            </w:r>
          </w:p>
        </w:tc>
        <w:tc>
          <w:tcPr>
            <w:tcW w:w="682" w:type="pct"/>
          </w:tcPr>
          <w:p w:rsidR="000C300F" w:rsidRPr="000C300F" w:rsidRDefault="000C300F" w:rsidP="000C300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C300F">
              <w:rPr>
                <w:rFonts w:ascii="Calibri" w:hAnsi="Calibri"/>
                <w:sz w:val="20"/>
                <w:szCs w:val="20"/>
              </w:rPr>
              <w:t>-39.5</w:t>
            </w:r>
          </w:p>
        </w:tc>
        <w:tc>
          <w:tcPr>
            <w:tcW w:w="682" w:type="pct"/>
          </w:tcPr>
          <w:p w:rsidR="000C300F" w:rsidRPr="000C300F" w:rsidRDefault="000C300F" w:rsidP="000C300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C300F">
              <w:rPr>
                <w:rFonts w:ascii="Calibri" w:hAnsi="Calibri"/>
                <w:sz w:val="20"/>
                <w:szCs w:val="20"/>
              </w:rPr>
              <w:t>-21.8</w:t>
            </w:r>
          </w:p>
        </w:tc>
        <w:tc>
          <w:tcPr>
            <w:tcW w:w="681" w:type="pct"/>
          </w:tcPr>
          <w:p w:rsidR="000C300F" w:rsidRPr="000C300F" w:rsidRDefault="000C300F" w:rsidP="000C300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0C300F">
              <w:rPr>
                <w:rFonts w:ascii="Calibri" w:hAnsi="Calibri"/>
                <w:b/>
                <w:sz w:val="20"/>
                <w:szCs w:val="20"/>
              </w:rPr>
              <w:t>-151.0</w:t>
            </w:r>
          </w:p>
        </w:tc>
      </w:tr>
      <w:tr w:rsidR="000C300F" w:rsidRPr="000C300F" w:rsidTr="00083ECF">
        <w:tc>
          <w:tcPr>
            <w:cnfStyle w:val="001000000000" w:firstRow="0" w:lastRow="0" w:firstColumn="1" w:lastColumn="0" w:oddVBand="0" w:evenVBand="0" w:oddHBand="0" w:evenHBand="0" w:firstRowFirstColumn="0" w:firstRowLastColumn="0" w:lastRowFirstColumn="0" w:lastRowLastColumn="0"/>
            <w:tcW w:w="1591" w:type="pct"/>
          </w:tcPr>
          <w:p w:rsidR="000C300F" w:rsidRPr="000C300F" w:rsidRDefault="000C300F" w:rsidP="000C300F">
            <w:pPr>
              <w:keepNext/>
              <w:keepLines/>
              <w:spacing w:line="240" w:lineRule="auto"/>
              <w:rPr>
                <w:rFonts w:ascii="Calibri" w:hAnsi="Calibri"/>
                <w:sz w:val="20"/>
                <w:szCs w:val="20"/>
              </w:rPr>
            </w:pPr>
            <w:r w:rsidRPr="000C300F">
              <w:rPr>
                <w:rFonts w:ascii="Calibri" w:hAnsi="Calibri"/>
                <w:sz w:val="20"/>
                <w:szCs w:val="20"/>
              </w:rPr>
              <w:t>Underlying cash balance</w:t>
            </w:r>
          </w:p>
        </w:tc>
        <w:tc>
          <w:tcPr>
            <w:tcW w:w="682" w:type="pct"/>
          </w:tcPr>
          <w:p w:rsidR="000C300F" w:rsidRPr="000C300F" w:rsidRDefault="000C300F" w:rsidP="000C300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-39.5</w:t>
            </w:r>
          </w:p>
        </w:tc>
        <w:tc>
          <w:tcPr>
            <w:tcW w:w="682" w:type="pct"/>
          </w:tcPr>
          <w:p w:rsidR="000C300F" w:rsidRPr="000C300F" w:rsidRDefault="000C300F" w:rsidP="000C300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-50.0</w:t>
            </w:r>
          </w:p>
        </w:tc>
        <w:tc>
          <w:tcPr>
            <w:tcW w:w="682" w:type="pct"/>
          </w:tcPr>
          <w:p w:rsidR="000C300F" w:rsidRPr="000C300F" w:rsidRDefault="000C300F" w:rsidP="000C300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-39.5</w:t>
            </w:r>
          </w:p>
        </w:tc>
        <w:tc>
          <w:tcPr>
            <w:tcW w:w="682" w:type="pct"/>
          </w:tcPr>
          <w:p w:rsidR="000C300F" w:rsidRPr="000C300F" w:rsidRDefault="000C300F" w:rsidP="000C300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-21.8</w:t>
            </w:r>
          </w:p>
        </w:tc>
        <w:tc>
          <w:tcPr>
            <w:tcW w:w="681" w:type="pct"/>
          </w:tcPr>
          <w:p w:rsidR="000C300F" w:rsidRPr="000C300F" w:rsidRDefault="000C300F" w:rsidP="000C300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-151.0</w:t>
            </w:r>
          </w:p>
        </w:tc>
      </w:tr>
    </w:tbl>
    <w:p w:rsidR="00E63D4A" w:rsidRDefault="000C300F" w:rsidP="000B5C96">
      <w:pPr>
        <w:pStyle w:val="Footnotes"/>
        <w:numPr>
          <w:ilvl w:val="0"/>
          <w:numId w:val="23"/>
        </w:numPr>
        <w:ind w:left="284" w:hanging="284"/>
        <w:rPr>
          <w:rFonts w:ascii="Calibri" w:eastAsia="Calibri" w:hAnsi="Calibri" w:cs="Times New Roman"/>
        </w:rPr>
      </w:pPr>
      <w:r w:rsidRPr="00E63D4A">
        <w:rPr>
          <w:rFonts w:ascii="Calibri" w:eastAsia="Calibri" w:hAnsi="Calibri" w:cs="Times New Roman"/>
        </w:rPr>
        <w:t>A</w:t>
      </w:r>
      <w:r w:rsidR="00E63D4A" w:rsidRPr="00E63D4A">
        <w:rPr>
          <w:rFonts w:ascii="Calibri" w:eastAsia="Calibri" w:hAnsi="Calibri" w:cs="Times New Roman"/>
        </w:rPr>
        <w:t xml:space="preserve"> positive number indicates an increase in the relevant budget balance, a negative number a decrease.</w:t>
      </w:r>
    </w:p>
    <w:p w:rsidR="00E63D4A" w:rsidRPr="00E63D4A" w:rsidRDefault="00E63D4A" w:rsidP="000B5C96">
      <w:pPr>
        <w:pStyle w:val="Footnotes"/>
        <w:numPr>
          <w:ilvl w:val="0"/>
          <w:numId w:val="23"/>
        </w:numPr>
        <w:ind w:left="284" w:hanging="284"/>
        <w:rPr>
          <w:rFonts w:ascii="Calibri" w:eastAsia="Calibri" w:hAnsi="Calibri" w:cs="Times New Roman"/>
        </w:rPr>
      </w:pPr>
      <w:r w:rsidRPr="00E63D4A">
        <w:rPr>
          <w:rFonts w:ascii="Calibri" w:eastAsia="Calibri" w:hAnsi="Calibri" w:cs="Times New Roman"/>
        </w:rPr>
        <w:t>Figures may not sum to totals due to rounding.</w:t>
      </w:r>
    </w:p>
    <w:p w:rsidR="000C300F" w:rsidRPr="00905B06" w:rsidRDefault="000C300F" w:rsidP="00905B06">
      <w:pPr>
        <w:pStyle w:val="CostingsH7"/>
      </w:pPr>
      <w:r w:rsidRPr="00905B06">
        <w:t>Key assumptions</w:t>
      </w:r>
    </w:p>
    <w:p w:rsidR="000C300F" w:rsidRPr="000C300F" w:rsidRDefault="000C300F" w:rsidP="00277ED3">
      <w:pPr>
        <w:pStyle w:val="BodyText"/>
      </w:pPr>
      <w:r w:rsidRPr="000C300F">
        <w:t>It has been assumed that working group meetings in Component 4 would be held in Commonwealth offices and existing SES officers would be utilised.</w:t>
      </w:r>
    </w:p>
    <w:p w:rsidR="000C300F" w:rsidRPr="00905B06" w:rsidRDefault="000C300F" w:rsidP="00905B06">
      <w:pPr>
        <w:pStyle w:val="CostingsH7"/>
      </w:pPr>
      <w:r w:rsidRPr="00905B06">
        <w:t>Methodology</w:t>
      </w:r>
    </w:p>
    <w:p w:rsidR="000C300F" w:rsidRPr="000C300F" w:rsidRDefault="000C300F" w:rsidP="00277ED3">
      <w:pPr>
        <w:pStyle w:val="BodyText"/>
      </w:pPr>
      <w:r w:rsidRPr="000C300F">
        <w:t>The estimates for Component 1 were based on the estimated funding that would have been provided for marine park management plans over the period 2014-15 to 2015-16 accounting for the net effect of indexation parameters and the efficiency dividend, in accordance with the Department of Finance’s costing practices.</w:t>
      </w:r>
    </w:p>
    <w:p w:rsidR="000C300F" w:rsidRPr="000C300F" w:rsidRDefault="000C300F" w:rsidP="00277ED3">
      <w:pPr>
        <w:pStyle w:val="BodyText"/>
      </w:pPr>
      <w:r w:rsidRPr="000C300F">
        <w:t>The estimates for Component 2 were based on the estimated funding that would have been provided for the Fisheries Adjustment Assistance Package over the period 2013-14 to 2016</w:t>
      </w:r>
      <w:r w:rsidRPr="000C300F">
        <w:noBreakHyphen/>
        <w:t>17 accounting for the net effect of indexation parameters and the efficiency dividend, in accordance with the Department of Finance’s costing practices.  Administered expenses for the ‘sectoral measures’ subcomponent were capped at $20 million as specified.</w:t>
      </w:r>
    </w:p>
    <w:p w:rsidR="000C300F" w:rsidRPr="000C300F" w:rsidRDefault="000C300F" w:rsidP="00277ED3">
      <w:pPr>
        <w:pStyle w:val="BodyText"/>
      </w:pPr>
      <w:r w:rsidRPr="000C300F">
        <w:t>The estimates for Component 3 are as specified in the request.</w:t>
      </w:r>
    </w:p>
    <w:p w:rsidR="000C300F" w:rsidRPr="000C300F" w:rsidRDefault="000C300F" w:rsidP="00277ED3">
      <w:pPr>
        <w:pStyle w:val="BodyText"/>
      </w:pPr>
      <w:r w:rsidRPr="000C300F">
        <w:t>For the central data source and COAG elements of Component 4, departmental expenditure estimates are based on other like programs and estimates account for the net effect of indexation parameters and the efficiency dividend, in accordance with the Department of Finance’s costing practices.</w:t>
      </w:r>
    </w:p>
    <w:p w:rsidR="000C300F" w:rsidRPr="000C300F" w:rsidRDefault="000C300F" w:rsidP="00277ED3">
      <w:pPr>
        <w:pStyle w:val="BodyText"/>
      </w:pPr>
      <w:r w:rsidRPr="000C300F">
        <w:t>For the working group meetings element of Component 4, departmental expenditure estimates are calculated based on applying daily rates for professional services determined by the Remuneration Tribunal and current average travel expenses of similar activities (with appropriate indexation) to the specified number of scientific experts and meetings to be held.</w:t>
      </w:r>
    </w:p>
    <w:p w:rsidR="000C300F" w:rsidRPr="00905B06" w:rsidRDefault="000C300F" w:rsidP="00905B06">
      <w:pPr>
        <w:pStyle w:val="CostingsH7"/>
      </w:pPr>
      <w:r w:rsidRPr="00905B06">
        <w:lastRenderedPageBreak/>
        <w:t>Data sources</w:t>
      </w:r>
    </w:p>
    <w:p w:rsidR="000C300F" w:rsidRPr="000C300F" w:rsidRDefault="000C300F" w:rsidP="00277ED3">
      <w:pPr>
        <w:pStyle w:val="ListBullet"/>
        <w:rPr>
          <w:lang w:eastAsia="en-AU"/>
        </w:rPr>
      </w:pPr>
      <w:r w:rsidRPr="000C300F">
        <w:rPr>
          <w:lang w:eastAsia="en-AU"/>
        </w:rPr>
        <w:t>The Department of the Environment provided expenditure estimates for:</w:t>
      </w:r>
    </w:p>
    <w:p w:rsidR="000C300F" w:rsidRPr="000C300F" w:rsidRDefault="000C300F" w:rsidP="00277ED3">
      <w:pPr>
        <w:pStyle w:val="ListBullet2"/>
        <w:rPr>
          <w:lang w:eastAsia="en-AU"/>
        </w:rPr>
      </w:pPr>
      <w:r w:rsidRPr="000C300F">
        <w:rPr>
          <w:lang w:eastAsia="en-AU"/>
        </w:rPr>
        <w:t>the Fisheries Adjustment Assistance Package  disaggregated by components over the period 2013-14 to 2016-17</w:t>
      </w:r>
    </w:p>
    <w:p w:rsidR="000C300F" w:rsidRPr="000C300F" w:rsidRDefault="000C300F" w:rsidP="00277ED3">
      <w:pPr>
        <w:pStyle w:val="ListBullet2"/>
        <w:rPr>
          <w:lang w:eastAsia="en-AU"/>
        </w:rPr>
      </w:pPr>
      <w:r w:rsidRPr="000C300F">
        <w:rPr>
          <w:lang w:eastAsia="en-AU"/>
        </w:rPr>
        <w:t>marine park plans over the period 2012-13 to 2015-16.</w:t>
      </w:r>
    </w:p>
    <w:p w:rsidR="000C300F" w:rsidRPr="000C300F" w:rsidRDefault="000C300F" w:rsidP="00277ED3">
      <w:pPr>
        <w:pStyle w:val="ListBullet"/>
      </w:pPr>
      <w:r w:rsidRPr="000C300F">
        <w:t xml:space="preserve">The Remuneration Tribunal, 2015-20 Remuneration and Allowances for Holders of Component-Time Public Office, </w:t>
      </w:r>
      <w:hyperlink r:id="rId201" w:history="1">
        <w:r w:rsidRPr="000C300F">
          <w:rPr>
            <w:color w:val="0000FF"/>
            <w:u w:val="single"/>
          </w:rPr>
          <w:t>http://www.remtribunal.gov.au/offices/Component-time-offices</w:t>
        </w:r>
      </w:hyperlink>
      <w:r w:rsidRPr="000C300F">
        <w:t>.</w:t>
      </w:r>
    </w:p>
    <w:p w:rsidR="000C300F" w:rsidRPr="000C300F" w:rsidRDefault="000C300F" w:rsidP="00277ED3">
      <w:pPr>
        <w:pStyle w:val="ListBullet"/>
      </w:pPr>
      <w:r w:rsidRPr="000C300F">
        <w:t>The Department of Finance provided indexation and efficiency dividend parameters.</w:t>
      </w:r>
    </w:p>
    <w:p w:rsidR="000C300F" w:rsidRPr="000C300F" w:rsidRDefault="000C300F" w:rsidP="000C300F">
      <w:pPr>
        <w:spacing w:before="114" w:after="114"/>
        <w:rPr>
          <w:rFonts w:ascii="Calibri" w:eastAsia="Calibri" w:hAnsi="Calibri" w:cs="Times New Roman"/>
          <w:highlight w:val="yellow"/>
        </w:rPr>
      </w:pPr>
    </w:p>
    <w:p w:rsidR="000C300F" w:rsidRPr="000C300F" w:rsidRDefault="000C300F" w:rsidP="000C300F">
      <w:pPr>
        <w:spacing w:before="114" w:after="114"/>
        <w:rPr>
          <w:rFonts w:ascii="Calibri" w:eastAsia="Calibri" w:hAnsi="Calibri" w:cs="Times New Roman"/>
          <w:highlight w:val="yellow"/>
        </w:rPr>
        <w:sectPr w:rsidR="000C300F" w:rsidRPr="000C300F" w:rsidSect="00A97AC4">
          <w:headerReference w:type="even" r:id="rId202"/>
          <w:headerReference w:type="default" r:id="rId203"/>
          <w:footerReference w:type="even" r:id="rId204"/>
          <w:footerReference w:type="default" r:id="rId205"/>
          <w:pgSz w:w="11906" w:h="16838"/>
          <w:pgMar w:top="1361" w:right="1797" w:bottom="1474" w:left="1797" w:header="283" w:footer="454" w:gutter="0"/>
          <w:cols w:space="708"/>
          <w:docGrid w:linePitch="360"/>
        </w:sectPr>
      </w:pPr>
    </w:p>
    <w:p w:rsidR="000C300F" w:rsidRPr="000C300F" w:rsidRDefault="000C300F" w:rsidP="007A4BF9">
      <w:pPr>
        <w:pStyle w:val="Heading6"/>
        <w:rPr>
          <w:rFonts w:eastAsia="Calibri"/>
        </w:rPr>
      </w:pPr>
      <w:r w:rsidRPr="000C300F">
        <w:rPr>
          <w:rFonts w:eastAsia="Calibri"/>
        </w:rPr>
        <w:lastRenderedPageBreak/>
        <w:t>Attachment A:  Marine reserves: protecting our marine ecosystems—financial implications</w:t>
      </w:r>
    </w:p>
    <w:p w:rsidR="000C300F" w:rsidRPr="000C300F" w:rsidRDefault="000C300F" w:rsidP="00905B06">
      <w:pPr>
        <w:pStyle w:val="Caption"/>
        <w:rPr>
          <w:vertAlign w:val="superscript"/>
        </w:rPr>
      </w:pPr>
      <w:r w:rsidRPr="000C300F">
        <w:t>Table A1: Marine reserves: protecting our marine ecosystems—financial implications</w:t>
      </w:r>
      <w:r w:rsidRPr="000C300F">
        <w:rPr>
          <w:vertAlign w:val="superscript"/>
        </w:rPr>
        <w:t>(a)(b)</w:t>
      </w:r>
    </w:p>
    <w:tbl>
      <w:tblPr>
        <w:tblStyle w:val="TableGrid24"/>
        <w:tblW w:w="5006" w:type="pct"/>
        <w:tblLook w:val="0680" w:firstRow="0" w:lastRow="0" w:firstColumn="1" w:lastColumn="0" w:noHBand="1" w:noVBand="1"/>
      </w:tblPr>
      <w:tblGrid>
        <w:gridCol w:w="2019"/>
        <w:gridCol w:w="864"/>
        <w:gridCol w:w="864"/>
        <w:gridCol w:w="859"/>
        <w:gridCol w:w="6"/>
        <w:gridCol w:w="863"/>
        <w:gridCol w:w="6"/>
        <w:gridCol w:w="863"/>
        <w:gridCol w:w="6"/>
        <w:gridCol w:w="863"/>
        <w:gridCol w:w="863"/>
        <w:gridCol w:w="865"/>
        <w:gridCol w:w="868"/>
        <w:gridCol w:w="868"/>
        <w:gridCol w:w="868"/>
        <w:gridCol w:w="871"/>
        <w:gridCol w:w="855"/>
      </w:tblGrid>
      <w:tr w:rsidR="000C300F" w:rsidRPr="000C300F" w:rsidTr="00083ECF">
        <w:trPr>
          <w:cantSplit/>
          <w:tblHeader/>
        </w:trPr>
        <w:tc>
          <w:tcPr>
            <w:cnfStyle w:val="001000000000" w:firstRow="0" w:lastRow="0" w:firstColumn="1" w:lastColumn="0" w:oddVBand="0" w:evenVBand="0" w:oddHBand="0" w:evenHBand="0" w:firstRowFirstColumn="0" w:firstRowLastColumn="0" w:lastRowFirstColumn="0" w:lastRowLastColumn="0"/>
            <w:tcW w:w="761" w:type="pct"/>
            <w:shd w:val="clear" w:color="auto" w:fill="D7DDE9"/>
            <w:vAlign w:val="center"/>
          </w:tcPr>
          <w:p w:rsidR="000C300F" w:rsidRPr="000C300F" w:rsidRDefault="000C300F" w:rsidP="000C300F">
            <w:pPr>
              <w:spacing w:line="240" w:lineRule="auto"/>
              <w:ind w:left="57" w:right="57"/>
              <w:rPr>
                <w:rFonts w:ascii="Calibri" w:hAnsi="Calibri"/>
                <w:sz w:val="20"/>
                <w:szCs w:val="20"/>
              </w:rPr>
            </w:pPr>
            <w:r w:rsidRPr="000C300F">
              <w:rPr>
                <w:rFonts w:ascii="Calibri" w:hAnsi="Calibri"/>
                <w:sz w:val="20"/>
                <w:szCs w:val="20"/>
              </w:rPr>
              <w:t>($m)</w:t>
            </w:r>
          </w:p>
        </w:tc>
        <w:tc>
          <w:tcPr>
            <w:tcW w:w="326" w:type="pct"/>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2016–17</w:t>
            </w:r>
          </w:p>
        </w:tc>
        <w:tc>
          <w:tcPr>
            <w:tcW w:w="326" w:type="pct"/>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2017–18</w:t>
            </w:r>
          </w:p>
        </w:tc>
        <w:tc>
          <w:tcPr>
            <w:tcW w:w="324" w:type="pct"/>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2018–19</w:t>
            </w:r>
          </w:p>
        </w:tc>
        <w:tc>
          <w:tcPr>
            <w:tcW w:w="327" w:type="pct"/>
            <w:gridSpan w:val="2"/>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2019–20</w:t>
            </w:r>
          </w:p>
        </w:tc>
        <w:tc>
          <w:tcPr>
            <w:tcW w:w="327" w:type="pct"/>
            <w:gridSpan w:val="2"/>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Total to 2019–20</w:t>
            </w:r>
          </w:p>
        </w:tc>
        <w:tc>
          <w:tcPr>
            <w:tcW w:w="325" w:type="pct"/>
            <w:gridSpan w:val="2"/>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2020–21</w:t>
            </w:r>
          </w:p>
        </w:tc>
        <w:tc>
          <w:tcPr>
            <w:tcW w:w="325" w:type="pct"/>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2021–22</w:t>
            </w:r>
          </w:p>
        </w:tc>
        <w:tc>
          <w:tcPr>
            <w:tcW w:w="326" w:type="pct"/>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2022–23</w:t>
            </w:r>
          </w:p>
        </w:tc>
        <w:tc>
          <w:tcPr>
            <w:tcW w:w="327" w:type="pct"/>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2023–24</w:t>
            </w:r>
          </w:p>
        </w:tc>
        <w:tc>
          <w:tcPr>
            <w:tcW w:w="327" w:type="pct"/>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2024–25</w:t>
            </w:r>
          </w:p>
        </w:tc>
        <w:tc>
          <w:tcPr>
            <w:tcW w:w="327" w:type="pct"/>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2025–26</w:t>
            </w:r>
          </w:p>
        </w:tc>
        <w:tc>
          <w:tcPr>
            <w:tcW w:w="328" w:type="pct"/>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2026–27</w:t>
            </w:r>
          </w:p>
        </w:tc>
        <w:tc>
          <w:tcPr>
            <w:tcW w:w="324" w:type="pct"/>
            <w:shd w:val="clear" w:color="auto" w:fill="D7DDE9"/>
            <w:vAlign w:val="center"/>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Total to 2026–27</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E9ECF3"/>
          </w:tcPr>
          <w:p w:rsidR="000C300F" w:rsidRPr="000C300F" w:rsidRDefault="000C300F" w:rsidP="000C300F">
            <w:pPr>
              <w:spacing w:line="240" w:lineRule="auto"/>
              <w:ind w:left="57" w:right="57"/>
              <w:rPr>
                <w:rFonts w:ascii="Calibri" w:hAnsi="Calibri"/>
                <w:b/>
                <w:sz w:val="20"/>
                <w:szCs w:val="20"/>
              </w:rPr>
            </w:pPr>
            <w:r w:rsidRPr="000C300F">
              <w:rPr>
                <w:rFonts w:ascii="Calibri" w:hAnsi="Calibri"/>
                <w:b/>
                <w:sz w:val="20"/>
                <w:szCs w:val="20"/>
              </w:rPr>
              <w:t>Impact on fiscal and underlying cash balances</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61" w:type="pct"/>
          </w:tcPr>
          <w:p w:rsidR="000C300F" w:rsidRPr="000C300F" w:rsidRDefault="000C300F" w:rsidP="000C300F">
            <w:pPr>
              <w:spacing w:line="240" w:lineRule="auto"/>
              <w:ind w:left="57" w:right="57"/>
              <w:rPr>
                <w:rFonts w:ascii="Calibri" w:hAnsi="Calibri"/>
                <w:sz w:val="20"/>
                <w:szCs w:val="20"/>
              </w:rPr>
            </w:pPr>
            <w:r w:rsidRPr="000C300F">
              <w:rPr>
                <w:rFonts w:ascii="Calibri" w:hAnsi="Calibri"/>
                <w:sz w:val="20"/>
                <w:szCs w:val="20"/>
              </w:rPr>
              <w:t>Component 1</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-14.8</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w:t>
            </w:r>
            <w:r w:rsidR="0060256F">
              <w:rPr>
                <w:rFonts w:ascii="Calibri" w:hAnsi="Calibri"/>
                <w:i/>
                <w:sz w:val="20"/>
                <w:szCs w:val="20"/>
              </w:rPr>
              <w:t>.0</w:t>
            </w:r>
          </w:p>
        </w:tc>
        <w:tc>
          <w:tcPr>
            <w:tcW w:w="326"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-16.9</w:t>
            </w:r>
          </w:p>
        </w:tc>
        <w:tc>
          <w:tcPr>
            <w:tcW w:w="327"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-16.9</w:t>
            </w:r>
          </w:p>
        </w:tc>
        <w:tc>
          <w:tcPr>
            <w:tcW w:w="327"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-65.7</w:t>
            </w:r>
          </w:p>
        </w:tc>
        <w:tc>
          <w:tcPr>
            <w:tcW w:w="325"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-17.1</w:t>
            </w:r>
          </w:p>
        </w:tc>
        <w:tc>
          <w:tcPr>
            <w:tcW w:w="325"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-17.2</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-17.3</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-17.4</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-17.5</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-17.7</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-17.8</w:t>
            </w:r>
          </w:p>
        </w:tc>
        <w:tc>
          <w:tcPr>
            <w:tcW w:w="324"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-187.6</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61" w:type="pct"/>
          </w:tcPr>
          <w:p w:rsidR="000C300F" w:rsidRPr="000C300F" w:rsidRDefault="000C300F" w:rsidP="000C300F">
            <w:pPr>
              <w:spacing w:line="240" w:lineRule="auto"/>
              <w:ind w:left="57" w:right="57"/>
              <w:rPr>
                <w:rFonts w:ascii="Calibri" w:hAnsi="Calibri"/>
                <w:sz w:val="20"/>
                <w:szCs w:val="20"/>
              </w:rPr>
            </w:pPr>
            <w:r w:rsidRPr="000C300F">
              <w:rPr>
                <w:rFonts w:ascii="Calibri" w:hAnsi="Calibri"/>
                <w:sz w:val="20"/>
                <w:szCs w:val="20"/>
              </w:rPr>
              <w:t>Component 2</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noProof/>
                <w:sz w:val="20"/>
                <w:szCs w:val="20"/>
              </w:rPr>
            </w:pPr>
            <w:r w:rsidRPr="000C300F">
              <w:rPr>
                <w:rFonts w:ascii="Calibri" w:hAnsi="Calibri"/>
                <w:i/>
                <w:noProof/>
                <w:sz w:val="20"/>
                <w:szCs w:val="20"/>
              </w:rPr>
              <w:t>-22.7</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noProof/>
                <w:sz w:val="20"/>
                <w:szCs w:val="20"/>
              </w:rPr>
            </w:pPr>
            <w:r w:rsidRPr="000C300F">
              <w:rPr>
                <w:rFonts w:ascii="Calibri" w:hAnsi="Calibri"/>
                <w:i/>
                <w:noProof/>
                <w:sz w:val="20"/>
                <w:szCs w:val="20"/>
              </w:rPr>
              <w:t>-28.3</w:t>
            </w:r>
          </w:p>
        </w:tc>
        <w:tc>
          <w:tcPr>
            <w:tcW w:w="326"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noProof/>
                <w:sz w:val="20"/>
                <w:szCs w:val="20"/>
              </w:rPr>
            </w:pPr>
            <w:r w:rsidRPr="000C300F">
              <w:rPr>
                <w:rFonts w:ascii="Calibri" w:hAnsi="Calibri"/>
                <w:i/>
                <w:noProof/>
                <w:sz w:val="20"/>
                <w:szCs w:val="20"/>
              </w:rPr>
              <w:t>-17.7</w:t>
            </w:r>
          </w:p>
        </w:tc>
        <w:tc>
          <w:tcPr>
            <w:tcW w:w="327"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noProof/>
                <w:sz w:val="20"/>
                <w:szCs w:val="20"/>
              </w:rPr>
            </w:pPr>
            <w:r w:rsidRPr="000C300F">
              <w:rPr>
                <w:rFonts w:ascii="Calibri" w:hAnsi="Calibri"/>
                <w:i/>
                <w:noProof/>
                <w:sz w:val="20"/>
                <w:szCs w:val="20"/>
              </w:rPr>
              <w:t>-</w:t>
            </w:r>
          </w:p>
        </w:tc>
        <w:tc>
          <w:tcPr>
            <w:tcW w:w="327"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noProof/>
                <w:sz w:val="20"/>
                <w:szCs w:val="20"/>
              </w:rPr>
            </w:pPr>
            <w:r w:rsidRPr="000C300F">
              <w:rPr>
                <w:rFonts w:ascii="Calibri" w:hAnsi="Calibri"/>
                <w:b/>
                <w:i/>
                <w:noProof/>
                <w:sz w:val="20"/>
                <w:szCs w:val="20"/>
              </w:rPr>
              <w:t>-68.8</w:t>
            </w:r>
          </w:p>
        </w:tc>
        <w:tc>
          <w:tcPr>
            <w:tcW w:w="325"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4" w:type="pct"/>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noProof/>
                <w:sz w:val="20"/>
                <w:szCs w:val="20"/>
              </w:rPr>
              <w:t>-68.8</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61" w:type="pct"/>
          </w:tcPr>
          <w:p w:rsidR="000C300F" w:rsidRPr="000C300F" w:rsidRDefault="000C300F" w:rsidP="000C300F">
            <w:pPr>
              <w:spacing w:line="240" w:lineRule="auto"/>
              <w:ind w:left="57" w:right="57"/>
              <w:rPr>
                <w:rFonts w:ascii="Calibri" w:hAnsi="Calibri"/>
                <w:sz w:val="20"/>
                <w:szCs w:val="20"/>
              </w:rPr>
            </w:pPr>
            <w:r w:rsidRPr="000C300F">
              <w:rPr>
                <w:rFonts w:ascii="Calibri" w:hAnsi="Calibri"/>
                <w:sz w:val="20"/>
                <w:szCs w:val="20"/>
              </w:rPr>
              <w:t>Component 3</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-2.0</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-4.0</w:t>
            </w:r>
          </w:p>
        </w:tc>
        <w:tc>
          <w:tcPr>
            <w:tcW w:w="326"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-4.0</w:t>
            </w:r>
          </w:p>
        </w:tc>
        <w:tc>
          <w:tcPr>
            <w:tcW w:w="327"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-4.0</w:t>
            </w:r>
          </w:p>
        </w:tc>
        <w:tc>
          <w:tcPr>
            <w:tcW w:w="327"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-14.0</w:t>
            </w:r>
          </w:p>
        </w:tc>
        <w:tc>
          <w:tcPr>
            <w:tcW w:w="325"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4"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-14.0</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61" w:type="pct"/>
          </w:tcPr>
          <w:p w:rsidR="000C300F" w:rsidRPr="000C300F" w:rsidRDefault="000C300F" w:rsidP="000C300F">
            <w:pPr>
              <w:spacing w:line="240" w:lineRule="auto"/>
              <w:ind w:left="57" w:right="57"/>
              <w:rPr>
                <w:rFonts w:ascii="Calibri" w:hAnsi="Calibri"/>
                <w:sz w:val="20"/>
                <w:szCs w:val="20"/>
              </w:rPr>
            </w:pPr>
            <w:r w:rsidRPr="000C300F">
              <w:rPr>
                <w:rFonts w:ascii="Calibri" w:hAnsi="Calibri"/>
                <w:sz w:val="20"/>
                <w:szCs w:val="20"/>
              </w:rPr>
              <w:t>Component 4</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-0.7</w:t>
            </w:r>
          </w:p>
        </w:tc>
        <w:tc>
          <w:tcPr>
            <w:tcW w:w="326"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-0.9</w:t>
            </w:r>
          </w:p>
        </w:tc>
        <w:tc>
          <w:tcPr>
            <w:tcW w:w="327"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-0.9</w:t>
            </w:r>
          </w:p>
        </w:tc>
        <w:tc>
          <w:tcPr>
            <w:tcW w:w="327" w:type="pct"/>
            <w:gridSpan w:val="2"/>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-2.5</w:t>
            </w:r>
          </w:p>
        </w:tc>
        <w:tc>
          <w:tcPr>
            <w:tcW w:w="325"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4" w:type="pct"/>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-2.5</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61" w:type="pct"/>
            <w:shd w:val="clear" w:color="auto" w:fill="D7DDE9"/>
          </w:tcPr>
          <w:p w:rsidR="000C300F" w:rsidRPr="000C300F" w:rsidRDefault="000C300F" w:rsidP="000C300F">
            <w:pPr>
              <w:spacing w:line="240" w:lineRule="auto"/>
              <w:ind w:left="57" w:right="57"/>
              <w:rPr>
                <w:rFonts w:ascii="Calibri" w:hAnsi="Calibri"/>
                <w:b/>
                <w:sz w:val="20"/>
                <w:szCs w:val="20"/>
              </w:rPr>
            </w:pPr>
            <w:r w:rsidRPr="000C300F">
              <w:rPr>
                <w:rFonts w:ascii="Calibri" w:hAnsi="Calibri"/>
                <w:b/>
                <w:sz w:val="20"/>
                <w:szCs w:val="20"/>
              </w:rPr>
              <w:t>Total</w:t>
            </w:r>
          </w:p>
        </w:tc>
        <w:tc>
          <w:tcPr>
            <w:tcW w:w="326" w:type="pct"/>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-39.5</w:t>
            </w:r>
          </w:p>
        </w:tc>
        <w:tc>
          <w:tcPr>
            <w:tcW w:w="326" w:type="pct"/>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-50.0</w:t>
            </w:r>
          </w:p>
        </w:tc>
        <w:tc>
          <w:tcPr>
            <w:tcW w:w="326" w:type="pct"/>
            <w:gridSpan w:val="2"/>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-39.5</w:t>
            </w:r>
          </w:p>
        </w:tc>
        <w:tc>
          <w:tcPr>
            <w:tcW w:w="327" w:type="pct"/>
            <w:gridSpan w:val="2"/>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-21.8</w:t>
            </w:r>
          </w:p>
        </w:tc>
        <w:tc>
          <w:tcPr>
            <w:tcW w:w="327" w:type="pct"/>
            <w:gridSpan w:val="2"/>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-151.0</w:t>
            </w:r>
          </w:p>
        </w:tc>
        <w:tc>
          <w:tcPr>
            <w:tcW w:w="325" w:type="pct"/>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-17.1</w:t>
            </w:r>
          </w:p>
        </w:tc>
        <w:tc>
          <w:tcPr>
            <w:tcW w:w="325" w:type="pct"/>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-17.2</w:t>
            </w:r>
          </w:p>
        </w:tc>
        <w:tc>
          <w:tcPr>
            <w:tcW w:w="326" w:type="pct"/>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-17.3</w:t>
            </w:r>
          </w:p>
        </w:tc>
        <w:tc>
          <w:tcPr>
            <w:tcW w:w="327" w:type="pct"/>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-17.4</w:t>
            </w:r>
          </w:p>
        </w:tc>
        <w:tc>
          <w:tcPr>
            <w:tcW w:w="327" w:type="pct"/>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-17.5</w:t>
            </w:r>
          </w:p>
        </w:tc>
        <w:tc>
          <w:tcPr>
            <w:tcW w:w="327" w:type="pct"/>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-17.7</w:t>
            </w:r>
          </w:p>
        </w:tc>
        <w:tc>
          <w:tcPr>
            <w:tcW w:w="326" w:type="pct"/>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-17.8</w:t>
            </w:r>
          </w:p>
        </w:tc>
        <w:tc>
          <w:tcPr>
            <w:tcW w:w="324" w:type="pct"/>
            <w:shd w:val="clear" w:color="auto" w:fill="D7DDE9"/>
            <w:vAlign w:val="bottom"/>
          </w:tcPr>
          <w:p w:rsidR="000C300F" w:rsidRPr="000C300F" w:rsidRDefault="000C300F" w:rsidP="000C300F">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-272.9</w:t>
            </w:r>
          </w:p>
        </w:tc>
      </w:tr>
    </w:tbl>
    <w:p w:rsidR="00822666" w:rsidRDefault="000C300F" w:rsidP="000B5C96">
      <w:pPr>
        <w:pStyle w:val="Footnotes"/>
        <w:numPr>
          <w:ilvl w:val="0"/>
          <w:numId w:val="78"/>
        </w:numPr>
        <w:ind w:left="284" w:hanging="284"/>
      </w:pPr>
      <w:r w:rsidRPr="00822666">
        <w:t>A positive number indicates an increase in revenue or a decrease in expenses or net capital investment in accrual and cash terms.  A negative number indicates a decrease in revenue or an increase in expenses or net capital investment in accrual and cash terms.</w:t>
      </w:r>
      <w:r w:rsidR="00822666">
        <w:t xml:space="preserve"> </w:t>
      </w:r>
    </w:p>
    <w:p w:rsidR="000C300F" w:rsidRPr="00822666" w:rsidRDefault="000C300F" w:rsidP="000B5C96">
      <w:pPr>
        <w:pStyle w:val="Footnotes"/>
        <w:numPr>
          <w:ilvl w:val="0"/>
          <w:numId w:val="78"/>
        </w:numPr>
        <w:ind w:left="284" w:hanging="284"/>
      </w:pPr>
      <w:r w:rsidRPr="00822666">
        <w:t>Figures may not sum to totals due to rounding.</w:t>
      </w:r>
    </w:p>
    <w:p w:rsidR="000C300F" w:rsidRPr="000C300F" w:rsidRDefault="000C300F" w:rsidP="000B5C96">
      <w:pPr>
        <w:pStyle w:val="Footnotes"/>
        <w:numPr>
          <w:ilvl w:val="0"/>
          <w:numId w:val="33"/>
        </w:numPr>
        <w:ind w:left="284" w:hanging="284"/>
      </w:pPr>
      <w:r w:rsidRPr="000C300F">
        <w:tab/>
        <w:t>Indicates nil.</w:t>
      </w:r>
    </w:p>
    <w:p w:rsidR="000C300F" w:rsidRPr="000C300F" w:rsidRDefault="000C300F" w:rsidP="00905B06">
      <w:pPr>
        <w:pStyle w:val="Caption"/>
      </w:pPr>
      <w:r w:rsidRPr="000C300F">
        <w:lastRenderedPageBreak/>
        <w:t>Table A2: Component 1: Marine park management plans—financial implications</w:t>
      </w:r>
      <w:r w:rsidRPr="000C300F">
        <w:rPr>
          <w:vertAlign w:val="superscript"/>
        </w:rPr>
        <w:t>(a)(b)</w:t>
      </w:r>
    </w:p>
    <w:tbl>
      <w:tblPr>
        <w:tblStyle w:val="TableGrid24"/>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($m)</w:t>
            </w:r>
          </w:p>
        </w:tc>
        <w:tc>
          <w:tcPr>
            <w:tcW w:w="326"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2016–17</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2017–18</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2018–19</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2019–20</w:t>
            </w:r>
          </w:p>
        </w:tc>
        <w:tc>
          <w:tcPr>
            <w:tcW w:w="327"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Total to 2019–20</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2020–21</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2021–22</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2022–23</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2023–24</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2024–25</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2025–26</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2026–27</w:t>
            </w:r>
          </w:p>
        </w:tc>
        <w:tc>
          <w:tcPr>
            <w:tcW w:w="326"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Total to 2026–27</w:t>
            </w:r>
          </w:p>
        </w:tc>
      </w:tr>
      <w:tr w:rsidR="000C300F" w:rsidRPr="000C300F" w:rsidTr="00083ECF">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C300F" w:rsidRPr="000C300F" w:rsidRDefault="000C300F" w:rsidP="000C300F">
            <w:pPr>
              <w:keepNext/>
              <w:keepLines/>
              <w:ind w:left="85" w:right="85"/>
              <w:rPr>
                <w:rFonts w:ascii="Calibri" w:hAnsi="Calibri"/>
                <w:b/>
                <w:sz w:val="20"/>
                <w:szCs w:val="20"/>
              </w:rPr>
            </w:pPr>
            <w:r w:rsidRPr="000C300F">
              <w:rPr>
                <w:rFonts w:ascii="Calibri" w:hAnsi="Calibri"/>
                <w:b/>
                <w:sz w:val="20"/>
                <w:szCs w:val="20"/>
              </w:rPr>
              <w:t>Impact on fiscal and underlying cash balances</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Administered</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Departmental</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-14.8</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-17.0</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-16.9</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-16.9</w:t>
            </w:r>
          </w:p>
        </w:tc>
        <w:tc>
          <w:tcPr>
            <w:tcW w:w="327"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-65.7</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-17.1</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-17.2</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-17.3</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-17.4</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-17.5</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-17.7</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-17.8</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-187.6</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C300F" w:rsidRPr="000C300F" w:rsidRDefault="000C300F" w:rsidP="000C300F">
            <w:pPr>
              <w:keepNext/>
              <w:keepLines/>
              <w:spacing w:line="240" w:lineRule="auto"/>
              <w:ind w:left="57" w:right="57"/>
              <w:rPr>
                <w:rFonts w:ascii="Calibri" w:hAnsi="Calibri"/>
                <w:b/>
                <w:sz w:val="20"/>
                <w:szCs w:val="20"/>
              </w:rPr>
            </w:pPr>
            <w:r w:rsidRPr="000C300F">
              <w:rPr>
                <w:rFonts w:ascii="Calibri" w:hAnsi="Calibri"/>
                <w:b/>
                <w:sz w:val="20"/>
                <w:szCs w:val="20"/>
              </w:rPr>
              <w:t>Total</w:t>
            </w:r>
          </w:p>
        </w:tc>
        <w:tc>
          <w:tcPr>
            <w:tcW w:w="326"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-14.8</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-17.0</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-16.9</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-16.9</w:t>
            </w:r>
          </w:p>
        </w:tc>
        <w:tc>
          <w:tcPr>
            <w:tcW w:w="327"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-65.7</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-17.1</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-17.2</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-17.3</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-17.4</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-17.5</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-17.7</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-17.8</w:t>
            </w:r>
          </w:p>
        </w:tc>
        <w:tc>
          <w:tcPr>
            <w:tcW w:w="326"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-187.6</w:t>
            </w:r>
          </w:p>
        </w:tc>
      </w:tr>
    </w:tbl>
    <w:p w:rsidR="000C300F" w:rsidRPr="008125CA" w:rsidRDefault="000C300F" w:rsidP="000B5C96">
      <w:pPr>
        <w:pStyle w:val="Footnotes"/>
        <w:numPr>
          <w:ilvl w:val="0"/>
          <w:numId w:val="80"/>
        </w:numPr>
        <w:ind w:left="284" w:hanging="284"/>
      </w:pPr>
      <w:r w:rsidRPr="008125CA">
        <w:t>A positive number indicates an increase in revenue or a decrease in expenses or net capital investment in accrual and cash terms.  A negative number indicates a decrease in revenue or an increase in expenses or net capital investment in accrual and cash terms. </w:t>
      </w:r>
    </w:p>
    <w:p w:rsidR="000C300F" w:rsidRPr="008125CA" w:rsidRDefault="000C300F" w:rsidP="008125CA">
      <w:pPr>
        <w:pStyle w:val="Footnotes"/>
      </w:pPr>
      <w:r w:rsidRPr="008125CA">
        <w:t>Figures may not sum to totals due to rounding.</w:t>
      </w:r>
    </w:p>
    <w:p w:rsidR="000C300F" w:rsidRPr="008125CA" w:rsidRDefault="000C300F" w:rsidP="000B5C96">
      <w:pPr>
        <w:pStyle w:val="Footnotes"/>
        <w:numPr>
          <w:ilvl w:val="0"/>
          <w:numId w:val="33"/>
        </w:numPr>
        <w:ind w:left="284" w:hanging="284"/>
      </w:pPr>
      <w:r w:rsidRPr="008125CA">
        <w:t>Indicates nil.</w:t>
      </w:r>
    </w:p>
    <w:p w:rsidR="000C300F" w:rsidRPr="000C300F" w:rsidRDefault="000C300F" w:rsidP="00905B06">
      <w:pPr>
        <w:pStyle w:val="Caption"/>
      </w:pPr>
      <w:r w:rsidRPr="000C300F">
        <w:t>Table A3: Component 2: Fisheries Adjustment Assistance Package—financial implications</w:t>
      </w:r>
      <w:r w:rsidRPr="000C300F">
        <w:rPr>
          <w:vertAlign w:val="superscript"/>
        </w:rPr>
        <w:t>(a)(b)</w:t>
      </w:r>
    </w:p>
    <w:tbl>
      <w:tblPr>
        <w:tblStyle w:val="TableGrid24"/>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($m)</w:t>
            </w:r>
          </w:p>
        </w:tc>
        <w:tc>
          <w:tcPr>
            <w:tcW w:w="326"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2016–17</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2017–18</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2018–19</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2019–20</w:t>
            </w:r>
          </w:p>
        </w:tc>
        <w:tc>
          <w:tcPr>
            <w:tcW w:w="327"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Total to 2019–20</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2020–21</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2021–22</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2022–23</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2023–24</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2024–25</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2025–26</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2026–27</w:t>
            </w:r>
          </w:p>
        </w:tc>
        <w:tc>
          <w:tcPr>
            <w:tcW w:w="326"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Total to 2026–27</w:t>
            </w:r>
          </w:p>
        </w:tc>
      </w:tr>
      <w:tr w:rsidR="000C300F" w:rsidRPr="000C300F" w:rsidTr="00083ECF">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C300F" w:rsidRPr="000C300F" w:rsidRDefault="000C300F" w:rsidP="000C300F">
            <w:pPr>
              <w:keepNext/>
              <w:keepLines/>
              <w:ind w:left="85" w:right="85"/>
              <w:rPr>
                <w:rFonts w:ascii="Calibri" w:hAnsi="Calibri"/>
                <w:b/>
                <w:sz w:val="20"/>
                <w:szCs w:val="20"/>
              </w:rPr>
            </w:pPr>
            <w:r w:rsidRPr="000C300F">
              <w:rPr>
                <w:rFonts w:ascii="Calibri" w:hAnsi="Calibri"/>
                <w:b/>
                <w:sz w:val="20"/>
                <w:szCs w:val="20"/>
              </w:rPr>
              <w:t>Impact on fiscal and underlying cash balances</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Administered</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-18.5</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-26.0</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-16.0</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-60.6</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-60.6</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Departmental</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-4.2</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-2.3</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-1.7</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-8.2</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-8.2</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C300F" w:rsidRPr="000C300F" w:rsidRDefault="000C300F" w:rsidP="000C300F">
            <w:pPr>
              <w:keepNext/>
              <w:keepLines/>
              <w:spacing w:line="240" w:lineRule="auto"/>
              <w:ind w:left="57" w:right="57"/>
              <w:rPr>
                <w:rFonts w:ascii="Calibri" w:hAnsi="Calibri"/>
                <w:b/>
                <w:sz w:val="20"/>
                <w:szCs w:val="20"/>
              </w:rPr>
            </w:pPr>
            <w:r w:rsidRPr="000C300F">
              <w:rPr>
                <w:rFonts w:ascii="Calibri" w:hAnsi="Calibri"/>
                <w:b/>
                <w:sz w:val="20"/>
                <w:szCs w:val="20"/>
              </w:rPr>
              <w:t>Total</w:t>
            </w:r>
          </w:p>
        </w:tc>
        <w:tc>
          <w:tcPr>
            <w:tcW w:w="326"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noProof/>
                <w:sz w:val="20"/>
                <w:szCs w:val="20"/>
              </w:rPr>
            </w:pPr>
            <w:r w:rsidRPr="000C300F">
              <w:rPr>
                <w:rFonts w:ascii="Calibri" w:hAnsi="Calibri"/>
                <w:b/>
                <w:noProof/>
                <w:sz w:val="20"/>
                <w:szCs w:val="20"/>
              </w:rPr>
              <w:t>-22.7</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noProof/>
                <w:sz w:val="20"/>
                <w:szCs w:val="20"/>
              </w:rPr>
            </w:pPr>
            <w:r w:rsidRPr="000C300F">
              <w:rPr>
                <w:rFonts w:ascii="Calibri" w:hAnsi="Calibri"/>
                <w:b/>
                <w:noProof/>
                <w:sz w:val="20"/>
                <w:szCs w:val="20"/>
              </w:rPr>
              <w:t>-28.3</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noProof/>
                <w:sz w:val="20"/>
                <w:szCs w:val="20"/>
              </w:rPr>
            </w:pPr>
            <w:r w:rsidRPr="000C300F">
              <w:rPr>
                <w:rFonts w:ascii="Calibri" w:hAnsi="Calibri"/>
                <w:b/>
                <w:noProof/>
                <w:sz w:val="20"/>
                <w:szCs w:val="20"/>
              </w:rPr>
              <w:t>-17.7</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noProof/>
                <w:sz w:val="20"/>
                <w:szCs w:val="20"/>
              </w:rPr>
            </w:pPr>
            <w:r w:rsidRPr="000C300F">
              <w:rPr>
                <w:rFonts w:ascii="Calibri" w:hAnsi="Calibri"/>
                <w:b/>
                <w:noProof/>
                <w:sz w:val="20"/>
                <w:szCs w:val="20"/>
              </w:rPr>
              <w:t>-</w:t>
            </w:r>
          </w:p>
        </w:tc>
        <w:tc>
          <w:tcPr>
            <w:tcW w:w="327"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noProof/>
                <w:sz w:val="20"/>
                <w:szCs w:val="20"/>
              </w:rPr>
            </w:pPr>
            <w:r w:rsidRPr="000C300F">
              <w:rPr>
                <w:rFonts w:ascii="Calibri" w:hAnsi="Calibri"/>
                <w:b/>
                <w:noProof/>
                <w:sz w:val="20"/>
                <w:szCs w:val="20"/>
              </w:rPr>
              <w:t>-68.8</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w:t>
            </w:r>
          </w:p>
        </w:tc>
        <w:tc>
          <w:tcPr>
            <w:tcW w:w="326" w:type="pct"/>
            <w:shd w:val="clear" w:color="auto" w:fill="D7DDE9"/>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noProof/>
                <w:sz w:val="20"/>
                <w:szCs w:val="20"/>
              </w:rPr>
              <w:t>-68.8</w:t>
            </w:r>
          </w:p>
        </w:tc>
      </w:tr>
    </w:tbl>
    <w:p w:rsidR="00B23443" w:rsidRDefault="000C300F" w:rsidP="000B5C96">
      <w:pPr>
        <w:pStyle w:val="Footnotes"/>
        <w:numPr>
          <w:ilvl w:val="0"/>
          <w:numId w:val="79"/>
        </w:numPr>
        <w:ind w:left="284" w:hanging="284"/>
      </w:pPr>
      <w:r w:rsidRPr="000C300F">
        <w:t>A positive number indicates an increase in revenue or a decrease in expenses or net capital investment in accrual and cash terms.  A negative number indicates a decrease in revenue or an increase in expenses or net capital investment in accrual and cash terms. </w:t>
      </w:r>
    </w:p>
    <w:p w:rsidR="00080297" w:rsidRPr="00080297" w:rsidRDefault="000C300F" w:rsidP="008125CA">
      <w:pPr>
        <w:pStyle w:val="Footnotes"/>
      </w:pPr>
      <w:r w:rsidRPr="00B23443">
        <w:t>Figures may not sum to totals due to rounding.</w:t>
      </w:r>
      <w:r w:rsidR="0067067E" w:rsidRPr="00B23443">
        <w:t xml:space="preserve"> </w:t>
      </w:r>
    </w:p>
    <w:p w:rsidR="0067067E" w:rsidRPr="00B23443" w:rsidRDefault="0067067E" w:rsidP="000B5C96">
      <w:pPr>
        <w:pStyle w:val="Footnotes"/>
        <w:numPr>
          <w:ilvl w:val="0"/>
          <w:numId w:val="33"/>
        </w:numPr>
        <w:ind w:left="284" w:hanging="284"/>
      </w:pPr>
      <w:r w:rsidRPr="00B23443">
        <w:t>Indicates nil.</w:t>
      </w:r>
    </w:p>
    <w:p w:rsidR="000C300F" w:rsidRPr="000C300F" w:rsidRDefault="000C300F" w:rsidP="00905B06">
      <w:pPr>
        <w:pStyle w:val="Caption"/>
      </w:pPr>
      <w:r w:rsidRPr="000C300F">
        <w:lastRenderedPageBreak/>
        <w:t>Table A4: Component 3: Research funding—financial implications</w:t>
      </w:r>
      <w:r w:rsidRPr="000C300F">
        <w:rPr>
          <w:vertAlign w:val="superscript"/>
        </w:rPr>
        <w:t>(a)(b)</w:t>
      </w:r>
    </w:p>
    <w:tbl>
      <w:tblPr>
        <w:tblStyle w:val="TableGrid24"/>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($m)</w:t>
            </w:r>
          </w:p>
        </w:tc>
        <w:tc>
          <w:tcPr>
            <w:tcW w:w="326"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2016–17</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2017–18</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2018–19</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2019–20</w:t>
            </w:r>
          </w:p>
        </w:tc>
        <w:tc>
          <w:tcPr>
            <w:tcW w:w="327"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Total to 2019–20</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2020–21</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2021–22</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2022–23</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2023–24</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2024–25</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2025–26</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2026–27</w:t>
            </w:r>
          </w:p>
        </w:tc>
        <w:tc>
          <w:tcPr>
            <w:tcW w:w="326"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Total to 2026–27</w:t>
            </w:r>
          </w:p>
        </w:tc>
      </w:tr>
      <w:tr w:rsidR="000C300F" w:rsidRPr="000C300F" w:rsidTr="00083ECF">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C300F" w:rsidRPr="000C300F" w:rsidRDefault="000C300F" w:rsidP="000C300F">
            <w:pPr>
              <w:keepNext/>
              <w:keepLines/>
              <w:ind w:left="85" w:right="85"/>
              <w:rPr>
                <w:rFonts w:ascii="Calibri" w:hAnsi="Calibri"/>
                <w:b/>
                <w:sz w:val="20"/>
                <w:szCs w:val="20"/>
              </w:rPr>
            </w:pPr>
            <w:r w:rsidRPr="000C300F">
              <w:rPr>
                <w:rFonts w:ascii="Calibri" w:hAnsi="Calibri"/>
                <w:b/>
                <w:sz w:val="20"/>
                <w:szCs w:val="20"/>
              </w:rPr>
              <w:t>Impact on fiscal and underlying cash balances</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Administered</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w:t>
            </w:r>
          </w:p>
        </w:tc>
      </w:tr>
      <w:tr w:rsidR="000C300F" w:rsidRPr="0060256F" w:rsidTr="00083ECF">
        <w:trPr>
          <w:cantSplit/>
        </w:trPr>
        <w:tc>
          <w:tcPr>
            <w:cnfStyle w:val="001000000000" w:firstRow="0" w:lastRow="0" w:firstColumn="1" w:lastColumn="0" w:oddVBand="0" w:evenVBand="0" w:oddHBand="0" w:evenHBand="0" w:firstRowFirstColumn="0" w:firstRowLastColumn="0" w:lastRowFirstColumn="0" w:lastRowLastColumn="0"/>
            <w:tcW w:w="771" w:type="pct"/>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Departmental</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-2.0</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-4.0</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-4.0</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-4.0</w:t>
            </w:r>
          </w:p>
        </w:tc>
        <w:tc>
          <w:tcPr>
            <w:tcW w:w="327"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-14.0</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5077ED"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5077ED">
              <w:rPr>
                <w:rFonts w:ascii="Calibri" w:hAnsi="Calibri"/>
                <w:b/>
                <w:i/>
                <w:sz w:val="20"/>
                <w:szCs w:val="20"/>
              </w:rPr>
              <w:t>-14.0</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C300F" w:rsidRPr="000C300F" w:rsidRDefault="000C300F" w:rsidP="000C300F">
            <w:pPr>
              <w:keepNext/>
              <w:keepLines/>
              <w:spacing w:line="240" w:lineRule="auto"/>
              <w:ind w:left="57" w:right="57"/>
              <w:rPr>
                <w:rFonts w:ascii="Calibri" w:hAnsi="Calibri"/>
                <w:b/>
                <w:sz w:val="20"/>
                <w:szCs w:val="20"/>
              </w:rPr>
            </w:pPr>
            <w:r w:rsidRPr="000C300F">
              <w:rPr>
                <w:rFonts w:ascii="Calibri" w:hAnsi="Calibri"/>
                <w:b/>
                <w:sz w:val="20"/>
                <w:szCs w:val="20"/>
              </w:rPr>
              <w:t>Total</w:t>
            </w:r>
          </w:p>
        </w:tc>
        <w:tc>
          <w:tcPr>
            <w:tcW w:w="326"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-2.0</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-4.0</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-4.0</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-4.0</w:t>
            </w:r>
          </w:p>
        </w:tc>
        <w:tc>
          <w:tcPr>
            <w:tcW w:w="327"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-14.0</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6"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-14.0</w:t>
            </w:r>
          </w:p>
        </w:tc>
      </w:tr>
    </w:tbl>
    <w:p w:rsidR="000C300F" w:rsidRPr="000C300F" w:rsidRDefault="000C300F" w:rsidP="000B5C96">
      <w:pPr>
        <w:pStyle w:val="Footnotes"/>
        <w:numPr>
          <w:ilvl w:val="0"/>
          <w:numId w:val="81"/>
        </w:numPr>
        <w:ind w:left="284" w:hanging="284"/>
      </w:pPr>
      <w:r w:rsidRPr="000C300F">
        <w:t>A positive number indicates an increase in revenue or a decrease in expenses or net capital investment in accrual and cash terms.  A negative number indicates a decrease in revenue or an increase in expenses or net capital investment in accrual and cash terms. </w:t>
      </w:r>
    </w:p>
    <w:p w:rsidR="000C300F" w:rsidRPr="000C300F" w:rsidRDefault="000C300F" w:rsidP="008125CA">
      <w:pPr>
        <w:pStyle w:val="Footnotes"/>
      </w:pPr>
      <w:r w:rsidRPr="000C300F">
        <w:t>Figures may not sum to totals due to rounding.</w:t>
      </w:r>
    </w:p>
    <w:p w:rsidR="000C300F" w:rsidRPr="000C300F" w:rsidRDefault="000C300F" w:rsidP="000B5C96">
      <w:pPr>
        <w:pStyle w:val="Footnotes"/>
        <w:numPr>
          <w:ilvl w:val="0"/>
          <w:numId w:val="33"/>
        </w:numPr>
        <w:ind w:left="284" w:hanging="284"/>
      </w:pPr>
      <w:r w:rsidRPr="000C300F">
        <w:t>Indicates nil.</w:t>
      </w:r>
    </w:p>
    <w:p w:rsidR="000C300F" w:rsidRPr="000C300F" w:rsidRDefault="000C300F" w:rsidP="00905B06">
      <w:pPr>
        <w:pStyle w:val="Caption"/>
      </w:pPr>
      <w:r w:rsidRPr="000C300F">
        <w:t>Table A5: Component 4: Shark finning—financial implications</w:t>
      </w:r>
      <w:r w:rsidRPr="000C300F">
        <w:rPr>
          <w:vertAlign w:val="superscript"/>
        </w:rPr>
        <w:t>(a)(b)</w:t>
      </w:r>
    </w:p>
    <w:tbl>
      <w:tblPr>
        <w:tblStyle w:val="TableGrid24"/>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($m)</w:t>
            </w:r>
          </w:p>
        </w:tc>
        <w:tc>
          <w:tcPr>
            <w:tcW w:w="326"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2016–17</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2017–18</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2018–19</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2019–20</w:t>
            </w:r>
          </w:p>
        </w:tc>
        <w:tc>
          <w:tcPr>
            <w:tcW w:w="327"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Total to 2019–20</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2020–21</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2021–22</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2022–23</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2023–24</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2024–25</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2025–26</w:t>
            </w:r>
          </w:p>
        </w:tc>
        <w:tc>
          <w:tcPr>
            <w:tcW w:w="325"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C300F">
              <w:rPr>
                <w:rFonts w:ascii="Calibri" w:hAnsi="Calibri"/>
                <w:sz w:val="20"/>
                <w:szCs w:val="20"/>
              </w:rPr>
              <w:t>2026–27</w:t>
            </w:r>
          </w:p>
        </w:tc>
        <w:tc>
          <w:tcPr>
            <w:tcW w:w="326" w:type="pct"/>
            <w:shd w:val="clear" w:color="auto" w:fill="D7DDE9"/>
            <w:vAlign w:val="center"/>
          </w:tcPr>
          <w:p w:rsidR="000C300F" w:rsidRPr="000C300F" w:rsidRDefault="000C300F" w:rsidP="000C300F">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Total to 2026–27</w:t>
            </w:r>
          </w:p>
        </w:tc>
      </w:tr>
      <w:tr w:rsidR="000C300F" w:rsidRPr="000C300F" w:rsidTr="00083ECF">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C300F" w:rsidRPr="000C300F" w:rsidRDefault="000C300F" w:rsidP="000C300F">
            <w:pPr>
              <w:keepNext/>
              <w:keepLines/>
              <w:ind w:left="85" w:right="85"/>
              <w:rPr>
                <w:rFonts w:ascii="Calibri" w:hAnsi="Calibri"/>
                <w:b/>
                <w:sz w:val="20"/>
                <w:szCs w:val="20"/>
              </w:rPr>
            </w:pPr>
            <w:r w:rsidRPr="000C300F">
              <w:rPr>
                <w:rFonts w:ascii="Calibri" w:hAnsi="Calibri"/>
                <w:b/>
                <w:sz w:val="20"/>
                <w:szCs w:val="20"/>
              </w:rPr>
              <w:t>Impact on fiscal and underlying cash balances</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Administered</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7"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tcPr>
          <w:p w:rsidR="000C300F" w:rsidRPr="000C300F" w:rsidRDefault="000C300F" w:rsidP="000C300F">
            <w:pPr>
              <w:keepNext/>
              <w:keepLines/>
              <w:spacing w:line="240" w:lineRule="auto"/>
              <w:ind w:left="57" w:right="57"/>
              <w:rPr>
                <w:rFonts w:ascii="Calibri" w:hAnsi="Calibri"/>
                <w:sz w:val="20"/>
                <w:szCs w:val="20"/>
              </w:rPr>
            </w:pPr>
            <w:r w:rsidRPr="000C300F">
              <w:rPr>
                <w:rFonts w:ascii="Calibri" w:hAnsi="Calibri"/>
                <w:sz w:val="20"/>
                <w:szCs w:val="20"/>
              </w:rPr>
              <w:t>Departmental</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-0.7</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-0.9</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-0.9</w:t>
            </w:r>
          </w:p>
        </w:tc>
        <w:tc>
          <w:tcPr>
            <w:tcW w:w="327"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-2.5</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5"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0C300F">
              <w:rPr>
                <w:rFonts w:ascii="Calibri" w:hAnsi="Calibri"/>
                <w:i/>
                <w:sz w:val="20"/>
                <w:szCs w:val="20"/>
              </w:rPr>
              <w:t>-</w:t>
            </w:r>
          </w:p>
        </w:tc>
        <w:tc>
          <w:tcPr>
            <w:tcW w:w="326" w:type="pct"/>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0C300F">
              <w:rPr>
                <w:rFonts w:ascii="Calibri" w:hAnsi="Calibri"/>
                <w:b/>
                <w:i/>
                <w:sz w:val="20"/>
                <w:szCs w:val="20"/>
              </w:rPr>
              <w:t>-2.5</w:t>
            </w:r>
          </w:p>
        </w:tc>
      </w:tr>
      <w:tr w:rsidR="000C300F" w:rsidRPr="000C300F" w:rsidTr="00083ECF">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C300F" w:rsidRPr="000C300F" w:rsidRDefault="000C300F" w:rsidP="000C300F">
            <w:pPr>
              <w:keepNext/>
              <w:keepLines/>
              <w:spacing w:line="240" w:lineRule="auto"/>
              <w:ind w:left="57" w:right="57"/>
              <w:rPr>
                <w:rFonts w:ascii="Calibri" w:hAnsi="Calibri"/>
                <w:b/>
                <w:sz w:val="20"/>
                <w:szCs w:val="20"/>
              </w:rPr>
            </w:pPr>
            <w:r w:rsidRPr="000C300F">
              <w:rPr>
                <w:rFonts w:ascii="Calibri" w:hAnsi="Calibri"/>
                <w:b/>
                <w:sz w:val="20"/>
                <w:szCs w:val="20"/>
              </w:rPr>
              <w:t>Total</w:t>
            </w:r>
          </w:p>
        </w:tc>
        <w:tc>
          <w:tcPr>
            <w:tcW w:w="326"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-0.7</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-0.9</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-0.9</w:t>
            </w:r>
          </w:p>
        </w:tc>
        <w:tc>
          <w:tcPr>
            <w:tcW w:w="327"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-2.5</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5"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w:t>
            </w:r>
          </w:p>
        </w:tc>
        <w:tc>
          <w:tcPr>
            <w:tcW w:w="326" w:type="pct"/>
            <w:shd w:val="clear" w:color="auto" w:fill="D7DDE9"/>
            <w:vAlign w:val="bottom"/>
          </w:tcPr>
          <w:p w:rsidR="000C300F" w:rsidRPr="000C300F" w:rsidRDefault="000C300F" w:rsidP="000C300F">
            <w:pPr>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C300F">
              <w:rPr>
                <w:rFonts w:ascii="Calibri" w:hAnsi="Calibri"/>
                <w:b/>
                <w:sz w:val="20"/>
                <w:szCs w:val="20"/>
              </w:rPr>
              <w:t>-2.5</w:t>
            </w:r>
          </w:p>
        </w:tc>
      </w:tr>
    </w:tbl>
    <w:p w:rsidR="0067067E" w:rsidRDefault="000C300F" w:rsidP="000B5C96">
      <w:pPr>
        <w:pStyle w:val="Footnotes"/>
        <w:numPr>
          <w:ilvl w:val="0"/>
          <w:numId w:val="82"/>
        </w:numPr>
        <w:ind w:left="284" w:hanging="284"/>
      </w:pPr>
      <w:r w:rsidRPr="0067067E">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0361A1" w:rsidRDefault="000C300F" w:rsidP="008125CA">
      <w:pPr>
        <w:pStyle w:val="Footnotes"/>
      </w:pPr>
      <w:r w:rsidRPr="0067067E">
        <w:t>Figures may not sum to totals due to rounding.</w:t>
      </w:r>
      <w:r w:rsidR="0067067E" w:rsidRPr="0067067E">
        <w:t xml:space="preserve"> </w:t>
      </w:r>
    </w:p>
    <w:p w:rsidR="0067067E" w:rsidRDefault="0067067E" w:rsidP="000B5C96">
      <w:pPr>
        <w:pStyle w:val="Footnotes"/>
        <w:numPr>
          <w:ilvl w:val="0"/>
          <w:numId w:val="33"/>
        </w:numPr>
        <w:ind w:left="284" w:hanging="284"/>
        <w:sectPr w:rsidR="0067067E" w:rsidSect="00A97AC4">
          <w:headerReference w:type="even" r:id="rId206"/>
          <w:headerReference w:type="default" r:id="rId207"/>
          <w:footerReference w:type="even" r:id="rId208"/>
          <w:footerReference w:type="default" r:id="rId209"/>
          <w:pgSz w:w="16839" w:h="11907" w:orient="landscape" w:code="9"/>
          <w:pgMar w:top="1361" w:right="1797" w:bottom="1474" w:left="1797" w:header="283" w:footer="454" w:gutter="0"/>
          <w:cols w:space="708"/>
          <w:docGrid w:linePitch="360"/>
        </w:sectPr>
      </w:pPr>
      <w:r>
        <w:t>Indicates nil.</w:t>
      </w:r>
    </w:p>
    <w:p w:rsidR="0067067E" w:rsidRDefault="0067067E" w:rsidP="007A4BF9">
      <w:pPr>
        <w:pStyle w:val="Heading5"/>
      </w:pPr>
      <w:bookmarkStart w:id="84" w:name="_Toc455655124"/>
      <w:bookmarkStart w:id="85" w:name="_Toc456766804"/>
      <w:bookmarkStart w:id="86" w:name="_Toc457819898"/>
      <w:bookmarkStart w:id="87" w:name="_Toc458015788"/>
      <w:bookmarkStart w:id="88" w:name="_Toc458090627"/>
      <w:r>
        <w:lastRenderedPageBreak/>
        <w:t>GRN021: Boost Humanitarian Intake and UNHCR resourcing</w:t>
      </w:r>
      <w:bookmarkEnd w:id="84"/>
      <w:bookmarkEnd w:id="85"/>
      <w:bookmarkEnd w:id="86"/>
      <w:bookmarkEnd w:id="87"/>
      <w:bookmarkEnd w:id="88"/>
    </w:p>
    <w:p w:rsidR="0067067E" w:rsidRDefault="0067067E" w:rsidP="007A4BF9">
      <w:pPr>
        <w:pStyle w:val="BodyText"/>
        <w:rPr>
          <w:rFonts w:ascii="Calibri" w:eastAsia="Calibri" w:hAnsi="Calibri"/>
        </w:rPr>
      </w:pPr>
      <w:r>
        <w:rPr>
          <w:noProof/>
          <w:lang w:eastAsia="en-AU"/>
        </w:rPr>
        <w:drawing>
          <wp:inline distT="0" distB="0" distL="0" distR="0" wp14:anchorId="465D4432" wp14:editId="030E0C02">
            <wp:extent cx="2696845" cy="572135"/>
            <wp:effectExtent l="0" t="0" r="8255" b="0"/>
            <wp:docPr id="460" name="Picture 46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67067E" w:rsidRPr="0067067E" w:rsidRDefault="0067067E" w:rsidP="007A4BF9">
      <w:pPr>
        <w:pStyle w:val="Heading6"/>
        <w:rPr>
          <w:rFonts w:eastAsia="Calibri"/>
        </w:rPr>
      </w:pPr>
      <w:r w:rsidRPr="0067067E">
        <w:rPr>
          <w:rFonts w:eastAsia="Calibri"/>
        </w:rPr>
        <w:t>Policy costing—during the caretaker period for the 2016 general election</w:t>
      </w:r>
    </w:p>
    <w:tbl>
      <w:tblPr>
        <w:tblStyle w:val="Style19"/>
        <w:tblW w:w="8528" w:type="dxa"/>
        <w:tblLayout w:type="fixed"/>
        <w:tblLook w:val="04A0" w:firstRow="1" w:lastRow="0" w:firstColumn="1" w:lastColumn="0" w:noHBand="0" w:noVBand="1"/>
      </w:tblPr>
      <w:tblGrid>
        <w:gridCol w:w="2943"/>
        <w:gridCol w:w="5585"/>
      </w:tblGrid>
      <w:tr w:rsidR="0067067E" w:rsidRPr="00AF49FE" w:rsidTr="0067067E">
        <w:trPr>
          <w:cnfStyle w:val="100000000000" w:firstRow="1" w:lastRow="0" w:firstColumn="0" w:lastColumn="0" w:oddVBand="0" w:evenVBand="0" w:oddHBand="0" w:evenHBand="0" w:firstRowFirstColumn="0" w:firstRowLastColumn="0" w:lastRowFirstColumn="0" w:lastRowLastColumn="0"/>
        </w:trPr>
        <w:tc>
          <w:tcPr>
            <w:tcW w:w="2943" w:type="dxa"/>
          </w:tcPr>
          <w:p w:rsidR="0067067E" w:rsidRPr="00AF49FE" w:rsidRDefault="0067067E" w:rsidP="00AF49FE">
            <w:pPr>
              <w:pStyle w:val="PullOutBoxHeading"/>
              <w:rPr>
                <w:b/>
                <w:sz w:val="22"/>
              </w:rPr>
            </w:pPr>
            <w:r w:rsidRPr="00AF49FE">
              <w:rPr>
                <w:b/>
                <w:sz w:val="22"/>
              </w:rPr>
              <w:t>Name of proposal:</w:t>
            </w:r>
          </w:p>
        </w:tc>
        <w:tc>
          <w:tcPr>
            <w:tcW w:w="5585" w:type="dxa"/>
          </w:tcPr>
          <w:p w:rsidR="0067067E" w:rsidRPr="00AF49FE" w:rsidRDefault="0067067E" w:rsidP="00AF49FE">
            <w:pPr>
              <w:pStyle w:val="PullOutBoxHeading"/>
              <w:rPr>
                <w:b/>
                <w:sz w:val="22"/>
              </w:rPr>
            </w:pPr>
            <w:r w:rsidRPr="00AF49FE">
              <w:rPr>
                <w:b/>
                <w:sz w:val="22"/>
              </w:rPr>
              <w:t>Close offshore detention and build safer pathways</w:t>
            </w:r>
          </w:p>
        </w:tc>
      </w:tr>
      <w:tr w:rsidR="0067067E" w:rsidRPr="0067067E" w:rsidTr="0067067E">
        <w:tc>
          <w:tcPr>
            <w:tcW w:w="2943" w:type="dxa"/>
          </w:tcPr>
          <w:p w:rsidR="0067067E" w:rsidRPr="0067067E" w:rsidRDefault="0067067E" w:rsidP="00635389">
            <w:pPr>
              <w:pStyle w:val="PullOutBoxBodyText"/>
            </w:pPr>
            <w:r w:rsidRPr="0067067E">
              <w:t>Summary of proposal:</w:t>
            </w:r>
          </w:p>
        </w:tc>
        <w:tc>
          <w:tcPr>
            <w:tcW w:w="5585" w:type="dxa"/>
          </w:tcPr>
          <w:p w:rsidR="0067067E" w:rsidRPr="0067067E" w:rsidRDefault="0067067E" w:rsidP="00635389">
            <w:pPr>
              <w:pStyle w:val="PullOutBoxBodyText"/>
            </w:pPr>
            <w:r w:rsidRPr="0067067E">
              <w:t>This proposal contains five components:</w:t>
            </w:r>
          </w:p>
          <w:p w:rsidR="0067067E" w:rsidRPr="0067067E" w:rsidRDefault="0067067E" w:rsidP="00635389">
            <w:pPr>
              <w:pStyle w:val="PullOutBoxBodyText"/>
              <w:rPr>
                <w:u w:val="single"/>
              </w:rPr>
            </w:pPr>
            <w:r w:rsidRPr="0067067E">
              <w:rPr>
                <w:u w:val="single"/>
              </w:rPr>
              <w:t>Component 1: End offshore detention</w:t>
            </w:r>
          </w:p>
          <w:p w:rsidR="0067067E" w:rsidRPr="0067067E" w:rsidRDefault="0067067E" w:rsidP="00635389">
            <w:pPr>
              <w:pStyle w:val="PullOutBoxBodyText"/>
            </w:pPr>
            <w:r w:rsidRPr="0067067E">
              <w:t>This component would:</w:t>
            </w:r>
          </w:p>
          <w:p w:rsidR="0067067E" w:rsidRPr="0067067E" w:rsidRDefault="0067067E" w:rsidP="00635389">
            <w:pPr>
              <w:pStyle w:val="PullOutBoxBullet"/>
              <w:rPr>
                <w:lang w:eastAsia="en-AU"/>
              </w:rPr>
            </w:pPr>
            <w:r w:rsidRPr="0067067E">
              <w:rPr>
                <w:lang w:eastAsia="en-AU"/>
              </w:rPr>
              <w:t>Abolish Australian-funded offshore detention centres, honouring all contractual commitments in place at 1 January 2017.</w:t>
            </w:r>
          </w:p>
          <w:p w:rsidR="0067067E" w:rsidRPr="0067067E" w:rsidRDefault="0067067E" w:rsidP="00635389">
            <w:pPr>
              <w:pStyle w:val="PullOutBoxBullet"/>
              <w:rPr>
                <w:lang w:eastAsia="en-AU"/>
              </w:rPr>
            </w:pPr>
            <w:r w:rsidRPr="0067067E">
              <w:rPr>
                <w:lang w:eastAsia="en-AU"/>
              </w:rPr>
              <w:t>Establish a 30-day time limit on onshore immigration detention on Christmas Island and the Australian mainland.</w:t>
            </w:r>
          </w:p>
          <w:p w:rsidR="0067067E" w:rsidRPr="0067067E" w:rsidRDefault="0067067E" w:rsidP="00635389">
            <w:pPr>
              <w:pStyle w:val="PullOutBoxBullet"/>
              <w:rPr>
                <w:lang w:eastAsia="en-AU"/>
              </w:rPr>
            </w:pPr>
            <w:r w:rsidRPr="0067067E">
              <w:rPr>
                <w:lang w:eastAsia="en-AU"/>
              </w:rPr>
              <w:t>Accommodate the majority of asylum seekers in community detention or general society while claims are processed.</w:t>
            </w:r>
          </w:p>
          <w:p w:rsidR="0067067E" w:rsidRPr="00635389" w:rsidRDefault="0067067E" w:rsidP="00635389">
            <w:pPr>
              <w:pStyle w:val="PullOutBoxBodyText"/>
              <w:rPr>
                <w:u w:val="single"/>
                <w:lang w:eastAsia="en-AU"/>
              </w:rPr>
            </w:pPr>
            <w:r w:rsidRPr="00635389">
              <w:rPr>
                <w:u w:val="single"/>
                <w:lang w:eastAsia="en-AU"/>
              </w:rPr>
              <w:t>Component 2: Increase Australia’s humanitarian intake</w:t>
            </w:r>
          </w:p>
          <w:p w:rsidR="0067067E" w:rsidRPr="0067067E" w:rsidRDefault="0067067E" w:rsidP="00635389">
            <w:pPr>
              <w:pStyle w:val="PullOutBoxBodyText"/>
              <w:rPr>
                <w:lang w:eastAsia="en-AU"/>
              </w:rPr>
            </w:pPr>
            <w:r w:rsidRPr="0067067E">
              <w:rPr>
                <w:lang w:eastAsia="en-AU"/>
              </w:rPr>
              <w:t>This component would increase Australia’s annual humanitarian intake to 40,000 places per year.  Australia’s humanitarian intake would be:</w:t>
            </w:r>
          </w:p>
          <w:p w:rsidR="0067067E" w:rsidRPr="0067067E" w:rsidRDefault="0067067E" w:rsidP="00635389">
            <w:pPr>
              <w:pStyle w:val="PullOutBoxBullet"/>
              <w:rPr>
                <w:lang w:eastAsia="en-AU"/>
              </w:rPr>
            </w:pPr>
            <w:r w:rsidRPr="0067067E">
              <w:rPr>
                <w:lang w:eastAsia="en-AU"/>
              </w:rPr>
              <w:t>2016-17: 30,000</w:t>
            </w:r>
          </w:p>
          <w:p w:rsidR="0067067E" w:rsidRPr="0067067E" w:rsidRDefault="0067067E" w:rsidP="00635389">
            <w:pPr>
              <w:pStyle w:val="PullOutBoxBullet"/>
              <w:rPr>
                <w:lang w:eastAsia="en-AU"/>
              </w:rPr>
            </w:pPr>
            <w:r w:rsidRPr="0067067E">
              <w:rPr>
                <w:lang w:eastAsia="en-AU"/>
              </w:rPr>
              <w:t>2017-18: 35,000</w:t>
            </w:r>
          </w:p>
          <w:p w:rsidR="0067067E" w:rsidRPr="0067067E" w:rsidRDefault="0067067E" w:rsidP="00635389">
            <w:pPr>
              <w:pStyle w:val="PullOutBoxBullet"/>
              <w:rPr>
                <w:lang w:eastAsia="en-AU"/>
              </w:rPr>
            </w:pPr>
            <w:r w:rsidRPr="0067067E">
              <w:rPr>
                <w:lang w:eastAsia="en-AU"/>
              </w:rPr>
              <w:t>2018-19: 40,000</w:t>
            </w:r>
          </w:p>
          <w:p w:rsidR="0067067E" w:rsidRPr="0067067E" w:rsidRDefault="0067067E" w:rsidP="00635389">
            <w:pPr>
              <w:pStyle w:val="PullOutBoxBullet"/>
              <w:rPr>
                <w:lang w:eastAsia="en-AU"/>
              </w:rPr>
            </w:pPr>
            <w:r w:rsidRPr="0067067E">
              <w:rPr>
                <w:lang w:eastAsia="en-AU"/>
              </w:rPr>
              <w:t>2019-20: 40,000</w:t>
            </w:r>
          </w:p>
          <w:p w:rsidR="0067067E" w:rsidRPr="0067067E" w:rsidRDefault="0067067E" w:rsidP="00635389">
            <w:pPr>
              <w:pStyle w:val="PullOutBoxBullet"/>
              <w:rPr>
                <w:lang w:eastAsia="en-AU"/>
              </w:rPr>
            </w:pPr>
            <w:r w:rsidRPr="0067067E">
              <w:rPr>
                <w:lang w:eastAsia="en-AU"/>
              </w:rPr>
              <w:t>Beyond the 2016-17 Budget forward estimates period Australia’s humanitarian intake would revert to current policy settings.</w:t>
            </w:r>
          </w:p>
          <w:p w:rsidR="0067067E" w:rsidRPr="00635389" w:rsidRDefault="0067067E" w:rsidP="00635389">
            <w:pPr>
              <w:pStyle w:val="PullOutBoxBodyText"/>
              <w:rPr>
                <w:u w:val="single"/>
                <w:lang w:eastAsia="en-AU"/>
              </w:rPr>
            </w:pPr>
            <w:r w:rsidRPr="00635389">
              <w:rPr>
                <w:u w:val="single"/>
                <w:lang w:eastAsia="en-AU"/>
              </w:rPr>
              <w:t>Component 3: Refugee skilled visa places</w:t>
            </w:r>
          </w:p>
          <w:p w:rsidR="0067067E" w:rsidRPr="0067067E" w:rsidRDefault="0067067E" w:rsidP="00635389">
            <w:pPr>
              <w:pStyle w:val="PullOutBoxBodyText"/>
              <w:rPr>
                <w:lang w:eastAsia="en-AU"/>
              </w:rPr>
            </w:pPr>
            <w:r w:rsidRPr="0067067E">
              <w:rPr>
                <w:lang w:eastAsia="en-AU"/>
              </w:rPr>
              <w:t>This component would reserve 10,000 places for refugees within the existing skilled migration visa program.</w:t>
            </w:r>
          </w:p>
          <w:p w:rsidR="0067067E" w:rsidRPr="00635389" w:rsidRDefault="0067067E" w:rsidP="00635389">
            <w:pPr>
              <w:pStyle w:val="PullOutBoxBodyText"/>
              <w:rPr>
                <w:b/>
                <w:u w:val="single"/>
                <w:lang w:eastAsia="en-AU"/>
              </w:rPr>
            </w:pPr>
            <w:r w:rsidRPr="00635389">
              <w:rPr>
                <w:u w:val="single"/>
                <w:lang w:eastAsia="en-AU"/>
              </w:rPr>
              <w:t>Component 4: UNHCR funding</w:t>
            </w:r>
          </w:p>
          <w:p w:rsidR="0067067E" w:rsidRPr="0067067E" w:rsidRDefault="0067067E" w:rsidP="00635389">
            <w:pPr>
              <w:pStyle w:val="PullOutBoxBodyText"/>
              <w:rPr>
                <w:b/>
                <w:lang w:eastAsia="en-AU"/>
              </w:rPr>
            </w:pPr>
            <w:r w:rsidRPr="0067067E">
              <w:rPr>
                <w:lang w:eastAsia="en-AU"/>
              </w:rPr>
              <w:t>This component would provide additional funding of $500 million to the United Nations High Commissioner for Refugees (UNHCR) over the 2016-17 Budget forward estimates period.</w:t>
            </w:r>
          </w:p>
          <w:p w:rsidR="0067067E" w:rsidRPr="00635389" w:rsidRDefault="0067067E" w:rsidP="00635389">
            <w:pPr>
              <w:pStyle w:val="PullOutBoxBodyText"/>
              <w:rPr>
                <w:b/>
                <w:u w:val="single"/>
                <w:lang w:eastAsia="en-AU"/>
              </w:rPr>
            </w:pPr>
            <w:r w:rsidRPr="00635389">
              <w:rPr>
                <w:u w:val="single"/>
                <w:lang w:eastAsia="en-AU"/>
              </w:rPr>
              <w:lastRenderedPageBreak/>
              <w:t>Component 5: Immigration administration</w:t>
            </w:r>
          </w:p>
          <w:p w:rsidR="0067067E" w:rsidRPr="0067067E" w:rsidRDefault="0067067E" w:rsidP="00635389">
            <w:pPr>
              <w:pStyle w:val="PullOutBoxBodyText"/>
              <w:rPr>
                <w:b/>
                <w:lang w:eastAsia="en-AU"/>
              </w:rPr>
            </w:pPr>
            <w:r w:rsidRPr="0067067E">
              <w:rPr>
                <w:lang w:eastAsia="en-AU"/>
              </w:rPr>
              <w:t>This component would:</w:t>
            </w:r>
          </w:p>
          <w:p w:rsidR="0067067E" w:rsidRPr="0067067E" w:rsidRDefault="0067067E" w:rsidP="00635389">
            <w:pPr>
              <w:pStyle w:val="PullOutBoxBullet"/>
              <w:rPr>
                <w:b/>
                <w:lang w:eastAsia="en-AU"/>
              </w:rPr>
            </w:pPr>
            <w:r w:rsidRPr="0067067E">
              <w:rPr>
                <w:lang w:eastAsia="en-AU"/>
              </w:rPr>
              <w:t>Abolish the Australian Border Force (ABF) and restore immigration administration to the Department of Immigration and Border Protection (DIBP).</w:t>
            </w:r>
          </w:p>
          <w:p w:rsidR="0067067E" w:rsidRPr="0067067E" w:rsidRDefault="0067067E" w:rsidP="00635389">
            <w:pPr>
              <w:pStyle w:val="PullOutBoxBullet"/>
              <w:rPr>
                <w:b/>
                <w:lang w:eastAsia="en-AU"/>
              </w:rPr>
            </w:pPr>
            <w:r w:rsidRPr="0067067E">
              <w:rPr>
                <w:lang w:eastAsia="en-AU"/>
              </w:rPr>
              <w:t>Abolish temporary protection visas (TPVs).</w:t>
            </w:r>
          </w:p>
          <w:p w:rsidR="0067067E" w:rsidRPr="0067067E" w:rsidRDefault="0067067E" w:rsidP="00635389">
            <w:pPr>
              <w:pStyle w:val="PullOutBoxBodyText"/>
              <w:rPr>
                <w:lang w:eastAsia="en-AU"/>
              </w:rPr>
            </w:pPr>
            <w:r w:rsidRPr="0067067E">
              <w:rPr>
                <w:lang w:eastAsia="en-AU"/>
              </w:rPr>
              <w:t>This proposal would commence from 1 January 2017.</w:t>
            </w:r>
          </w:p>
        </w:tc>
      </w:tr>
      <w:tr w:rsidR="0067067E" w:rsidRPr="0067067E" w:rsidTr="0067067E">
        <w:tc>
          <w:tcPr>
            <w:tcW w:w="2943" w:type="dxa"/>
          </w:tcPr>
          <w:p w:rsidR="0067067E" w:rsidRPr="0067067E" w:rsidRDefault="0067067E" w:rsidP="00635389">
            <w:pPr>
              <w:pStyle w:val="PullOutBoxBodyText"/>
            </w:pPr>
            <w:r w:rsidRPr="0067067E">
              <w:lastRenderedPageBreak/>
              <w:t>Person/party requesting costing:</w:t>
            </w:r>
          </w:p>
        </w:tc>
        <w:tc>
          <w:tcPr>
            <w:tcW w:w="5585" w:type="dxa"/>
          </w:tcPr>
          <w:p w:rsidR="0067067E" w:rsidRPr="0067067E" w:rsidRDefault="0067067E" w:rsidP="00635389">
            <w:pPr>
              <w:pStyle w:val="PullOutBoxBodyText"/>
            </w:pPr>
            <w:r w:rsidRPr="0067067E">
              <w:t>Senator Richard Di Natale, Australian Greens</w:t>
            </w:r>
          </w:p>
        </w:tc>
      </w:tr>
      <w:tr w:rsidR="0067067E" w:rsidRPr="0067067E" w:rsidTr="0067067E">
        <w:tc>
          <w:tcPr>
            <w:tcW w:w="2943" w:type="dxa"/>
          </w:tcPr>
          <w:p w:rsidR="0067067E" w:rsidRPr="0067067E" w:rsidRDefault="0067067E" w:rsidP="00635389">
            <w:pPr>
              <w:pStyle w:val="PullOutBoxBodyText"/>
            </w:pPr>
            <w:r w:rsidRPr="0067067E">
              <w:t>Date of public release of policy:</w:t>
            </w:r>
          </w:p>
        </w:tc>
        <w:tc>
          <w:tcPr>
            <w:tcW w:w="5585" w:type="dxa"/>
          </w:tcPr>
          <w:p w:rsidR="00635389" w:rsidRDefault="0067067E" w:rsidP="00635389">
            <w:pPr>
              <w:pStyle w:val="PullOutBoxBodyText"/>
            </w:pPr>
            <w:r w:rsidRPr="0067067E">
              <w:t>7 June 2016</w:t>
            </w:r>
          </w:p>
          <w:p w:rsidR="0067067E" w:rsidRPr="0067067E" w:rsidRDefault="00E46526" w:rsidP="00635389">
            <w:pPr>
              <w:pStyle w:val="PullOutBoxBodyText"/>
            </w:pPr>
            <w:hyperlink r:id="rId210" w:history="1">
              <w:r w:rsidR="0067067E" w:rsidRPr="0067067E">
                <w:rPr>
                  <w:color w:val="0000FF"/>
                  <w:u w:val="single"/>
                </w:rPr>
                <w:t>http://greens.org.au/sites/greens.org.au/files/20160607_A%20Better%20Way%20for%20People%20Seeking%20Asylum_1.pdf</w:t>
              </w:r>
            </w:hyperlink>
          </w:p>
        </w:tc>
      </w:tr>
      <w:tr w:rsidR="0067067E" w:rsidRPr="0067067E" w:rsidTr="0067067E">
        <w:tc>
          <w:tcPr>
            <w:tcW w:w="2943" w:type="dxa"/>
          </w:tcPr>
          <w:p w:rsidR="0067067E" w:rsidRPr="0067067E" w:rsidRDefault="0067067E" w:rsidP="00635389">
            <w:pPr>
              <w:pStyle w:val="PullOutBoxBodyText"/>
            </w:pPr>
            <w:r w:rsidRPr="0067067E">
              <w:t>Date costing request received:</w:t>
            </w:r>
          </w:p>
        </w:tc>
        <w:tc>
          <w:tcPr>
            <w:tcW w:w="5585" w:type="dxa"/>
          </w:tcPr>
          <w:p w:rsidR="0067067E" w:rsidRPr="0067067E" w:rsidRDefault="0067067E" w:rsidP="00635389">
            <w:pPr>
              <w:pStyle w:val="PullOutBoxBodyText"/>
            </w:pPr>
            <w:r w:rsidRPr="0067067E">
              <w:t>27 June 2016</w:t>
            </w:r>
          </w:p>
        </w:tc>
      </w:tr>
      <w:tr w:rsidR="0067067E" w:rsidRPr="0067067E" w:rsidTr="0067067E">
        <w:tc>
          <w:tcPr>
            <w:tcW w:w="2943" w:type="dxa"/>
          </w:tcPr>
          <w:p w:rsidR="0067067E" w:rsidRPr="0067067E" w:rsidRDefault="0067067E" w:rsidP="00635389">
            <w:pPr>
              <w:pStyle w:val="PullOutBoxBodyText"/>
            </w:pPr>
            <w:r w:rsidRPr="0067067E">
              <w:t>Date costing completed:</w:t>
            </w:r>
          </w:p>
        </w:tc>
        <w:tc>
          <w:tcPr>
            <w:tcW w:w="5585" w:type="dxa"/>
          </w:tcPr>
          <w:p w:rsidR="0067067E" w:rsidRPr="0067067E" w:rsidRDefault="0067067E" w:rsidP="00635389">
            <w:pPr>
              <w:pStyle w:val="PullOutBoxBodyText"/>
            </w:pPr>
            <w:r w:rsidRPr="0067067E">
              <w:t>29 June 2016</w:t>
            </w:r>
          </w:p>
        </w:tc>
      </w:tr>
      <w:tr w:rsidR="0067067E" w:rsidRPr="0067067E" w:rsidTr="0067067E">
        <w:tc>
          <w:tcPr>
            <w:tcW w:w="2943" w:type="dxa"/>
          </w:tcPr>
          <w:p w:rsidR="0067067E" w:rsidRPr="0067067E" w:rsidRDefault="0067067E" w:rsidP="00635389">
            <w:pPr>
              <w:pStyle w:val="PullOutBoxBodyText"/>
            </w:pPr>
            <w:r w:rsidRPr="0067067E">
              <w:t>Expiry date for the costing:</w:t>
            </w:r>
          </w:p>
        </w:tc>
        <w:tc>
          <w:tcPr>
            <w:tcW w:w="5585" w:type="dxa"/>
          </w:tcPr>
          <w:p w:rsidR="0067067E" w:rsidRPr="0067067E" w:rsidRDefault="0067067E" w:rsidP="00635389">
            <w:pPr>
              <w:pStyle w:val="PullOutBoxBodyText"/>
            </w:pPr>
            <w:r w:rsidRPr="0067067E">
              <w:t>Release of the next economic and fiscal outlook report</w:t>
            </w:r>
          </w:p>
        </w:tc>
      </w:tr>
    </w:tbl>
    <w:p w:rsidR="0067067E" w:rsidRPr="00905B06" w:rsidRDefault="0067067E" w:rsidP="00905B06">
      <w:pPr>
        <w:pStyle w:val="CostingsH7"/>
      </w:pPr>
      <w:r w:rsidRPr="00905B06">
        <w:t>Costing overview</w:t>
      </w:r>
    </w:p>
    <w:p w:rsidR="0067067E" w:rsidRPr="0067067E" w:rsidRDefault="0067067E" w:rsidP="00277ED3">
      <w:pPr>
        <w:pStyle w:val="BodyText"/>
      </w:pPr>
      <w:r w:rsidRPr="0067067E">
        <w:t>This proposal would be expected to increase the fiscal balance by $1,232.6 million and the underlying cash balance by $1,234.4 million over the 2016-17 Budget forward estimates period.  In fiscal balance terms, this impact reflects a decrease in administered expenses of $990.5 million, an increase in revenue of $304.4 million and a decrease in capital expenses of $2.8 million.  This would be partially offset by an increase in departmental expenses of $65.0 million.</w:t>
      </w:r>
    </w:p>
    <w:p w:rsidR="0067067E" w:rsidRPr="0067067E" w:rsidRDefault="0067067E" w:rsidP="00277ED3">
      <w:pPr>
        <w:pStyle w:val="BodyText"/>
      </w:pPr>
      <w:r w:rsidRPr="0067067E">
        <w:t>The proposal would be expected to have a different impact on the fiscal and underlying cash balances due to a lag between when services are provided and when payments are made under a range of programs.</w:t>
      </w:r>
    </w:p>
    <w:p w:rsidR="0067067E" w:rsidRPr="0067067E" w:rsidRDefault="0067067E" w:rsidP="00277ED3">
      <w:pPr>
        <w:pStyle w:val="BodyText"/>
      </w:pPr>
      <w:r w:rsidRPr="0067067E">
        <w:t xml:space="preserve">Components 1 and 2 of this proposal would have impacts beyond the 2016-17 Budget forward estimates period.  Components 3, 4 and 5 would not be expected to have impacts beyond the 2016-17 Budget forward estimates period.  A breakdown of the financial impacts of the components of this proposal over the period 2016-17 to 2026-27 has been provided at </w:t>
      </w:r>
      <w:r w:rsidRPr="0067067E">
        <w:rPr>
          <w:u w:val="single"/>
        </w:rPr>
        <w:t>Attachment A</w:t>
      </w:r>
      <w:r w:rsidRPr="0067067E">
        <w:t xml:space="preserve">.  </w:t>
      </w:r>
    </w:p>
    <w:p w:rsidR="0067067E" w:rsidRPr="0067067E" w:rsidRDefault="0067067E" w:rsidP="00277ED3">
      <w:pPr>
        <w:pStyle w:val="BodyText"/>
      </w:pPr>
      <w:r w:rsidRPr="0067067E">
        <w:t>The costs associated with the proposed increase in the humanitarian intake (Component 2) would have an increasing negative impact on the budget over the 2016-17 forward estimates period and a diminishing negative impact on the budget beyond the 2016-17 Budget forward estimates period.  This reflects the temporary nature of the increase in the humanitarian intake as well as financial impacts which extend beyond the year of arrival, such as costs of education.</w:t>
      </w:r>
    </w:p>
    <w:p w:rsidR="0067067E" w:rsidRPr="0067067E" w:rsidRDefault="0067067E" w:rsidP="00277ED3">
      <w:pPr>
        <w:pStyle w:val="BodyText"/>
        <w:rPr>
          <w:lang w:eastAsia="en-AU"/>
        </w:rPr>
      </w:pPr>
      <w:r w:rsidRPr="0067067E">
        <w:rPr>
          <w:lang w:eastAsia="en-AU"/>
        </w:rPr>
        <w:lastRenderedPageBreak/>
        <w:t>This costing is considered to be of low reliability due to the considerable uncertainty around the magnitude of the potential behavioural responses, particularly the number of boat arrival asylum seekers.</w:t>
      </w:r>
    </w:p>
    <w:p w:rsidR="0067067E" w:rsidRPr="0067067E" w:rsidRDefault="0067067E" w:rsidP="00277ED3">
      <w:pPr>
        <w:pStyle w:val="BodyText"/>
      </w:pPr>
      <w:r w:rsidRPr="0067067E">
        <w:t>This analysis does not include any potential impact of the proposal on the numbers of asylum seekers, as it is not able to be determined with any accuracy.  Any change in arrival rates as result of this proposal could significantly alter its financial impact.</w:t>
      </w:r>
    </w:p>
    <w:p w:rsidR="0067067E" w:rsidRPr="0067067E" w:rsidRDefault="0067067E" w:rsidP="00905B06">
      <w:pPr>
        <w:pStyle w:val="Caption"/>
      </w:pPr>
      <w:r w:rsidRPr="0067067E">
        <w:t>Table 1: Financial implications (outturn prices)</w:t>
      </w:r>
      <w:r w:rsidRPr="0067067E">
        <w:rPr>
          <w:vertAlign w:val="superscript"/>
        </w:rPr>
        <w:t>(a)</w:t>
      </w:r>
    </w:p>
    <w:tbl>
      <w:tblPr>
        <w:tblStyle w:val="TableGrid25"/>
        <w:tblW w:w="4993" w:type="pct"/>
        <w:tblLook w:val="04A0" w:firstRow="1" w:lastRow="0" w:firstColumn="1" w:lastColumn="0" w:noHBand="0" w:noVBand="1"/>
      </w:tblPr>
      <w:tblGrid>
        <w:gridCol w:w="2645"/>
        <w:gridCol w:w="1134"/>
        <w:gridCol w:w="1133"/>
        <w:gridCol w:w="1133"/>
        <w:gridCol w:w="1133"/>
        <w:gridCol w:w="1132"/>
      </w:tblGrid>
      <w:tr w:rsidR="0067067E" w:rsidRPr="0067067E" w:rsidTr="006706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67067E" w:rsidRPr="0067067E" w:rsidRDefault="0067067E" w:rsidP="0067067E">
            <w:pPr>
              <w:keepNext/>
              <w:keepLines/>
              <w:spacing w:line="240" w:lineRule="auto"/>
              <w:ind w:left="57" w:right="57"/>
              <w:rPr>
                <w:szCs w:val="20"/>
              </w:rPr>
            </w:pPr>
            <w:r w:rsidRPr="0067067E">
              <w:rPr>
                <w:szCs w:val="20"/>
              </w:rPr>
              <w:t>Impact on ($m)</w:t>
            </w:r>
          </w:p>
        </w:tc>
        <w:tc>
          <w:tcPr>
            <w:tcW w:w="682" w:type="pct"/>
            <w:vAlign w:val="center"/>
          </w:tcPr>
          <w:p w:rsidR="0067067E" w:rsidRPr="0067067E" w:rsidRDefault="0067067E" w:rsidP="0067067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67067E">
              <w:rPr>
                <w:szCs w:val="20"/>
              </w:rPr>
              <w:t>2016–17</w:t>
            </w:r>
          </w:p>
        </w:tc>
        <w:tc>
          <w:tcPr>
            <w:tcW w:w="682" w:type="pct"/>
            <w:vAlign w:val="center"/>
          </w:tcPr>
          <w:p w:rsidR="0067067E" w:rsidRPr="0067067E" w:rsidRDefault="0067067E" w:rsidP="0067067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67067E">
              <w:rPr>
                <w:szCs w:val="20"/>
              </w:rPr>
              <w:t>2017–18</w:t>
            </w:r>
          </w:p>
        </w:tc>
        <w:tc>
          <w:tcPr>
            <w:tcW w:w="682" w:type="pct"/>
            <w:vAlign w:val="center"/>
          </w:tcPr>
          <w:p w:rsidR="0067067E" w:rsidRPr="0067067E" w:rsidRDefault="0067067E" w:rsidP="0067067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67067E">
              <w:rPr>
                <w:szCs w:val="20"/>
              </w:rPr>
              <w:t>2018–19</w:t>
            </w:r>
          </w:p>
        </w:tc>
        <w:tc>
          <w:tcPr>
            <w:tcW w:w="682" w:type="pct"/>
            <w:vAlign w:val="center"/>
          </w:tcPr>
          <w:p w:rsidR="0067067E" w:rsidRPr="0067067E" w:rsidRDefault="0067067E" w:rsidP="0067067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7067E">
              <w:rPr>
                <w:szCs w:val="20"/>
              </w:rPr>
              <w:t>2019–20</w:t>
            </w:r>
          </w:p>
        </w:tc>
        <w:tc>
          <w:tcPr>
            <w:tcW w:w="681" w:type="pct"/>
            <w:vAlign w:val="center"/>
          </w:tcPr>
          <w:p w:rsidR="0067067E" w:rsidRPr="0067067E" w:rsidRDefault="0067067E" w:rsidP="0067067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7067E">
              <w:rPr>
                <w:b/>
                <w:szCs w:val="20"/>
              </w:rPr>
              <w:t>Total</w:t>
            </w:r>
          </w:p>
        </w:tc>
      </w:tr>
      <w:tr w:rsidR="0067067E" w:rsidRPr="0067067E" w:rsidTr="00670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67067E" w:rsidRPr="0067067E" w:rsidRDefault="0067067E" w:rsidP="0067067E">
            <w:pPr>
              <w:keepNext/>
              <w:keepLines/>
              <w:ind w:left="57" w:right="57"/>
              <w:rPr>
                <w:szCs w:val="20"/>
              </w:rPr>
            </w:pPr>
            <w:r w:rsidRPr="0067067E">
              <w:rPr>
                <w:szCs w:val="20"/>
              </w:rPr>
              <w:t>Fiscal balance</w:t>
            </w:r>
          </w:p>
        </w:tc>
        <w:tc>
          <w:tcPr>
            <w:tcW w:w="682" w:type="pct"/>
          </w:tcPr>
          <w:p w:rsidR="0067067E" w:rsidRPr="0067067E" w:rsidRDefault="0067067E" w:rsidP="0067067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430.6</w:t>
            </w:r>
          </w:p>
        </w:tc>
        <w:tc>
          <w:tcPr>
            <w:tcW w:w="682" w:type="pct"/>
          </w:tcPr>
          <w:p w:rsidR="0067067E" w:rsidRPr="0067067E" w:rsidRDefault="0067067E" w:rsidP="0067067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668.5</w:t>
            </w:r>
          </w:p>
        </w:tc>
        <w:tc>
          <w:tcPr>
            <w:tcW w:w="682" w:type="pct"/>
          </w:tcPr>
          <w:p w:rsidR="0067067E" w:rsidRPr="0067067E" w:rsidRDefault="0067067E" w:rsidP="0067067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256.4</w:t>
            </w:r>
          </w:p>
        </w:tc>
        <w:tc>
          <w:tcPr>
            <w:tcW w:w="682" w:type="pct"/>
          </w:tcPr>
          <w:p w:rsidR="0067067E" w:rsidRPr="0067067E" w:rsidRDefault="0067067E" w:rsidP="0067067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67067E">
              <w:rPr>
                <w:rFonts w:ascii="Calibri" w:hAnsi="Calibri"/>
                <w:color w:val="000000"/>
                <w:szCs w:val="20"/>
              </w:rPr>
              <w:t>-122.9</w:t>
            </w:r>
          </w:p>
        </w:tc>
        <w:tc>
          <w:tcPr>
            <w:tcW w:w="681" w:type="pct"/>
          </w:tcPr>
          <w:p w:rsidR="0067067E" w:rsidRPr="0067067E" w:rsidRDefault="0067067E" w:rsidP="0067067E">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Cs w:val="20"/>
              </w:rPr>
            </w:pPr>
            <w:r w:rsidRPr="0067067E">
              <w:rPr>
                <w:rFonts w:ascii="Calibri" w:hAnsi="Calibri"/>
                <w:b/>
                <w:color w:val="000000"/>
                <w:szCs w:val="20"/>
              </w:rPr>
              <w:t xml:space="preserve"> 1,232.6</w:t>
            </w:r>
          </w:p>
        </w:tc>
      </w:tr>
      <w:tr w:rsidR="0067067E" w:rsidRPr="0067067E" w:rsidTr="0067067E">
        <w:tc>
          <w:tcPr>
            <w:cnfStyle w:val="001000000000" w:firstRow="0" w:lastRow="0" w:firstColumn="1" w:lastColumn="0" w:oddVBand="0" w:evenVBand="0" w:oddHBand="0" w:evenHBand="0" w:firstRowFirstColumn="0" w:firstRowLastColumn="0" w:lastRowFirstColumn="0" w:lastRowLastColumn="0"/>
            <w:tcW w:w="1591" w:type="pct"/>
          </w:tcPr>
          <w:p w:rsidR="0067067E" w:rsidRPr="0067067E" w:rsidRDefault="0067067E" w:rsidP="0067067E">
            <w:pPr>
              <w:keepNext/>
              <w:keepLines/>
              <w:ind w:left="57" w:right="57"/>
              <w:rPr>
                <w:szCs w:val="20"/>
              </w:rPr>
            </w:pPr>
            <w:r w:rsidRPr="0067067E">
              <w:rPr>
                <w:szCs w:val="20"/>
              </w:rPr>
              <w:t>Underlying cash balance</w:t>
            </w:r>
          </w:p>
        </w:tc>
        <w:tc>
          <w:tcPr>
            <w:tcW w:w="682"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430.7</w:t>
            </w:r>
          </w:p>
        </w:tc>
        <w:tc>
          <w:tcPr>
            <w:tcW w:w="682"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668.7</w:t>
            </w:r>
          </w:p>
        </w:tc>
        <w:tc>
          <w:tcPr>
            <w:tcW w:w="682"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257.1</w:t>
            </w:r>
          </w:p>
        </w:tc>
        <w:tc>
          <w:tcPr>
            <w:tcW w:w="682"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-122.1</w:t>
            </w:r>
          </w:p>
        </w:tc>
        <w:tc>
          <w:tcPr>
            <w:tcW w:w="681"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67067E">
              <w:rPr>
                <w:rFonts w:ascii="Calibri" w:hAnsi="Calibri"/>
                <w:b/>
                <w:color w:val="000000"/>
                <w:szCs w:val="20"/>
              </w:rPr>
              <w:t xml:space="preserve"> 1,234.4</w:t>
            </w:r>
          </w:p>
        </w:tc>
      </w:tr>
    </w:tbl>
    <w:p w:rsidR="0067067E" w:rsidRPr="00936118" w:rsidRDefault="0067067E" w:rsidP="000B5C96">
      <w:pPr>
        <w:pStyle w:val="Footnotes"/>
        <w:numPr>
          <w:ilvl w:val="0"/>
          <w:numId w:val="83"/>
        </w:numPr>
        <w:ind w:left="284" w:hanging="284"/>
      </w:pPr>
      <w:r w:rsidRPr="00936118">
        <w:t>A positive number represents an increase in the relevant budget balance, a negative number represents a decrease.</w:t>
      </w:r>
    </w:p>
    <w:p w:rsidR="0067067E" w:rsidRPr="0067067E" w:rsidRDefault="0067067E" w:rsidP="000B5C96">
      <w:pPr>
        <w:pStyle w:val="Footnotes"/>
        <w:numPr>
          <w:ilvl w:val="0"/>
          <w:numId w:val="83"/>
        </w:numPr>
        <w:ind w:left="284" w:hanging="284"/>
      </w:pPr>
      <w:r w:rsidRPr="0067067E">
        <w:t>Figures may not sum to totals due to rounding.</w:t>
      </w:r>
    </w:p>
    <w:p w:rsidR="0067067E" w:rsidRPr="00905B06" w:rsidRDefault="0067067E" w:rsidP="00905B06">
      <w:pPr>
        <w:pStyle w:val="CostingsH7"/>
      </w:pPr>
      <w:r w:rsidRPr="00905B06">
        <w:t>Key assumptions</w:t>
      </w:r>
    </w:p>
    <w:p w:rsidR="0067067E" w:rsidRPr="0067067E" w:rsidRDefault="0067067E" w:rsidP="00277ED3">
      <w:pPr>
        <w:pStyle w:val="BodyText"/>
      </w:pPr>
      <w:r w:rsidRPr="0067067E">
        <w:t>In costing this proposal it has been assumed that:</w:t>
      </w:r>
    </w:p>
    <w:p w:rsidR="0067067E" w:rsidRPr="0067067E" w:rsidRDefault="0067067E" w:rsidP="00936118">
      <w:pPr>
        <w:pStyle w:val="ListBullet"/>
        <w:rPr>
          <w:lang w:eastAsia="en-AU"/>
        </w:rPr>
      </w:pPr>
      <w:r w:rsidRPr="0067067E">
        <w:rPr>
          <w:lang w:eastAsia="en-AU"/>
        </w:rPr>
        <w:t>Contracts related to offshore immigration detention are of a short-term nature, based on DIBP advice.</w:t>
      </w:r>
    </w:p>
    <w:p w:rsidR="0067067E" w:rsidRPr="0067067E" w:rsidRDefault="0067067E" w:rsidP="00936118">
      <w:pPr>
        <w:pStyle w:val="ListBullet"/>
        <w:rPr>
          <w:lang w:eastAsia="en-AU"/>
        </w:rPr>
      </w:pPr>
      <w:r w:rsidRPr="0067067E">
        <w:rPr>
          <w:lang w:eastAsia="en-AU"/>
        </w:rPr>
        <w:t>There would be sufficient capacity in current on-shore detention facilities to accommodate those persons who would be transferred from offshore detention.  Accordingly, the costing provides no additional capital expenditure as a result of this proposal.</w:t>
      </w:r>
    </w:p>
    <w:p w:rsidR="0067067E" w:rsidRPr="0067067E" w:rsidRDefault="0067067E" w:rsidP="00936118">
      <w:pPr>
        <w:pStyle w:val="ListBullet"/>
        <w:rPr>
          <w:lang w:eastAsia="en-AU"/>
        </w:rPr>
      </w:pPr>
      <w:r w:rsidRPr="0067067E">
        <w:rPr>
          <w:lang w:eastAsia="en-AU"/>
        </w:rPr>
        <w:t>The age breakdown of the humanitarian intake from the Department of Education and Training could be applied to all other agency models in which age disaggregation was necessary.</w:t>
      </w:r>
    </w:p>
    <w:p w:rsidR="0067067E" w:rsidRPr="0067067E" w:rsidRDefault="0067067E" w:rsidP="00936118">
      <w:pPr>
        <w:pStyle w:val="ListBullet"/>
        <w:rPr>
          <w:lang w:eastAsia="en-AU"/>
        </w:rPr>
      </w:pPr>
      <w:r w:rsidRPr="0067067E">
        <w:rPr>
          <w:lang w:eastAsia="en-AU"/>
        </w:rPr>
        <w:t>The humanitarian intake associated with the 2015-16 Mid-year Economic and Fiscal Outlook (MYEFO) measure, Syrian and Iraqi humanitarian crisis would occur over two years (2015-16 to 2016</w:t>
      </w:r>
      <w:r w:rsidRPr="0067067E">
        <w:rPr>
          <w:lang w:eastAsia="en-AU"/>
        </w:rPr>
        <w:noBreakHyphen/>
        <w:t>17) with the assumed profile based on advice from DIBP.</w:t>
      </w:r>
    </w:p>
    <w:p w:rsidR="0067067E" w:rsidRPr="0067067E" w:rsidRDefault="0067067E" w:rsidP="00936118">
      <w:pPr>
        <w:pStyle w:val="ListBullet"/>
        <w:rPr>
          <w:lang w:eastAsia="en-AU"/>
        </w:rPr>
      </w:pPr>
      <w:r w:rsidRPr="0067067E">
        <w:rPr>
          <w:lang w:eastAsia="en-AU"/>
        </w:rPr>
        <w:t>The proposal to restore ABF functions to DIBP would not have a material impact on the functions being performed or the departmental costs associated with performing these functions.</w:t>
      </w:r>
    </w:p>
    <w:p w:rsidR="0067067E" w:rsidRPr="0067067E" w:rsidRDefault="0067067E" w:rsidP="00936118">
      <w:pPr>
        <w:pStyle w:val="ListBullet"/>
        <w:rPr>
          <w:lang w:eastAsia="en-AU"/>
        </w:rPr>
      </w:pPr>
      <w:r w:rsidRPr="0067067E">
        <w:rPr>
          <w:lang w:eastAsia="en-AU"/>
        </w:rPr>
        <w:t>Existing holders of TPVs are transferred to Permanent Protection Visas upon abolition of TPVs with no material impact on costs.</w:t>
      </w:r>
    </w:p>
    <w:p w:rsidR="0067067E" w:rsidRPr="0067067E" w:rsidRDefault="0067067E" w:rsidP="00936118">
      <w:pPr>
        <w:pStyle w:val="ListBullet"/>
        <w:rPr>
          <w:lang w:eastAsia="en-AU"/>
        </w:rPr>
      </w:pPr>
      <w:r w:rsidRPr="0067067E">
        <w:rPr>
          <w:lang w:eastAsia="en-AU"/>
        </w:rPr>
        <w:t>There would be no departmental costs associated with increasing Australia’s contribution to the UNHCR.</w:t>
      </w:r>
    </w:p>
    <w:p w:rsidR="0067067E" w:rsidRPr="0067067E" w:rsidRDefault="0067067E" w:rsidP="00936118">
      <w:pPr>
        <w:pStyle w:val="ListBullet"/>
        <w:rPr>
          <w:lang w:eastAsia="en-AU"/>
        </w:rPr>
      </w:pPr>
      <w:r w:rsidRPr="0067067E">
        <w:rPr>
          <w:lang w:eastAsia="en-AU"/>
        </w:rPr>
        <w:t>The proposal to reserve 10,000 places for refugees within the existing skilled migration visa program would have no financial impact based on advice from DIBP and the requirements for the granting of skilled migrant visas would be unchanged and the visas granted would be skilled migrant visas.</w:t>
      </w:r>
    </w:p>
    <w:p w:rsidR="0067067E" w:rsidRPr="00905B06" w:rsidRDefault="0067067E" w:rsidP="00905B06">
      <w:pPr>
        <w:pStyle w:val="CostingsH7"/>
      </w:pPr>
      <w:r w:rsidRPr="00905B06">
        <w:lastRenderedPageBreak/>
        <w:t>Methodology</w:t>
      </w:r>
    </w:p>
    <w:p w:rsidR="0067067E" w:rsidRPr="0067067E" w:rsidRDefault="0067067E" w:rsidP="00277ED3">
      <w:pPr>
        <w:pStyle w:val="CostingsH8"/>
        <w:rPr>
          <w:rFonts w:eastAsia="Calibri"/>
        </w:rPr>
      </w:pPr>
      <w:r w:rsidRPr="0067067E">
        <w:rPr>
          <w:rFonts w:eastAsia="Calibri"/>
        </w:rPr>
        <w:t>Component 1: End offshore detention</w:t>
      </w:r>
    </w:p>
    <w:p w:rsidR="0067067E" w:rsidRPr="0067067E" w:rsidRDefault="0067067E" w:rsidP="00277ED3">
      <w:pPr>
        <w:pStyle w:val="BodyText"/>
      </w:pPr>
      <w:r w:rsidRPr="0067067E">
        <w:t>Costing the changes to onshore and offshore detention arrangements relied on extended onshore and offshore detention costing models provided by DIBP.  This framework was augmented to incorporate information on existing contracts associated with offshore detention provided by the DIBP.</w:t>
      </w:r>
    </w:p>
    <w:p w:rsidR="0067067E" w:rsidRPr="0067067E" w:rsidRDefault="0067067E" w:rsidP="00277ED3">
      <w:pPr>
        <w:pStyle w:val="CostingsH8"/>
        <w:rPr>
          <w:rFonts w:eastAsia="Calibri"/>
        </w:rPr>
      </w:pPr>
      <w:r w:rsidRPr="0067067E">
        <w:rPr>
          <w:rFonts w:eastAsia="Calibri"/>
        </w:rPr>
        <w:t>Component 2: Increase Australia’s humanitarian intake</w:t>
      </w:r>
    </w:p>
    <w:p w:rsidR="0067067E" w:rsidRPr="0067067E" w:rsidRDefault="0067067E" w:rsidP="00277ED3">
      <w:pPr>
        <w:pStyle w:val="BodyText"/>
      </w:pPr>
      <w:r w:rsidRPr="0067067E">
        <w:t xml:space="preserve">Costing the increase to the humanitarian intake was based on a number of agency costing models associated with the 2015-16 MYEFO measure, </w:t>
      </w:r>
      <w:r w:rsidRPr="0067067E">
        <w:rPr>
          <w:i/>
        </w:rPr>
        <w:t>Syrian and Iraqi humanitarian crisis</w:t>
      </w:r>
      <w:r w:rsidRPr="0067067E">
        <w:t>.  The intake from this measure over the 2016-17 Budget forward estimates period has been estimated based on advice from DIBP.</w:t>
      </w:r>
    </w:p>
    <w:p w:rsidR="0067067E" w:rsidRPr="0067067E" w:rsidRDefault="0067067E" w:rsidP="00277ED3">
      <w:pPr>
        <w:pStyle w:val="CostingsH8"/>
        <w:rPr>
          <w:rFonts w:eastAsia="Calibri"/>
        </w:rPr>
      </w:pPr>
      <w:r w:rsidRPr="0067067E">
        <w:rPr>
          <w:rFonts w:eastAsia="Calibri"/>
        </w:rPr>
        <w:t xml:space="preserve">Component 3: Refugee skilled visa places </w:t>
      </w:r>
    </w:p>
    <w:p w:rsidR="0067067E" w:rsidRPr="0067067E" w:rsidRDefault="0067067E" w:rsidP="00277ED3">
      <w:pPr>
        <w:pStyle w:val="BodyText"/>
        <w:rPr>
          <w:lang w:eastAsia="en-AU"/>
        </w:rPr>
      </w:pPr>
      <w:r w:rsidRPr="0067067E">
        <w:rPr>
          <w:lang w:eastAsia="en-AU"/>
        </w:rPr>
        <w:t>This component would have no financial impact (see Key assumptions).</w:t>
      </w:r>
    </w:p>
    <w:p w:rsidR="0067067E" w:rsidRPr="0067067E" w:rsidRDefault="0067067E" w:rsidP="00277ED3">
      <w:pPr>
        <w:pStyle w:val="CostingsH8"/>
        <w:rPr>
          <w:rFonts w:eastAsia="Calibri"/>
        </w:rPr>
      </w:pPr>
      <w:r w:rsidRPr="0067067E">
        <w:rPr>
          <w:rFonts w:eastAsia="Calibri"/>
        </w:rPr>
        <w:t xml:space="preserve">Component 4: </w:t>
      </w:r>
      <w:r w:rsidRPr="0067067E">
        <w:rPr>
          <w:rFonts w:eastAsia="Calibri"/>
          <w:bCs/>
        </w:rPr>
        <w:t>UNHCR funding</w:t>
      </w:r>
    </w:p>
    <w:p w:rsidR="0067067E" w:rsidRPr="0067067E" w:rsidRDefault="0067067E" w:rsidP="00277ED3">
      <w:pPr>
        <w:pStyle w:val="BodyText"/>
      </w:pPr>
      <w:r w:rsidRPr="0067067E">
        <w:t>Increasing Australia’s funding to the UNHCR was based on the specified amounts and profile across the 2016</w:t>
      </w:r>
      <w:r w:rsidRPr="0067067E">
        <w:noBreakHyphen/>
        <w:t>17 Budget forward estimates.  This component of the proposal would not have any material impact on departmental costs.</w:t>
      </w:r>
    </w:p>
    <w:p w:rsidR="0067067E" w:rsidRPr="0067067E" w:rsidRDefault="0067067E" w:rsidP="00277ED3">
      <w:pPr>
        <w:pStyle w:val="CostingsH8"/>
        <w:rPr>
          <w:rFonts w:eastAsia="Calibri"/>
        </w:rPr>
      </w:pPr>
      <w:r w:rsidRPr="0067067E">
        <w:rPr>
          <w:rFonts w:eastAsia="Calibri"/>
        </w:rPr>
        <w:t>Component 5: Immigration administration</w:t>
      </w:r>
    </w:p>
    <w:p w:rsidR="0067067E" w:rsidRPr="0067067E" w:rsidRDefault="0067067E" w:rsidP="00277ED3">
      <w:pPr>
        <w:pStyle w:val="BodyText"/>
        <w:rPr>
          <w:lang w:eastAsia="en-AU"/>
        </w:rPr>
      </w:pPr>
      <w:r w:rsidRPr="0067067E">
        <w:rPr>
          <w:lang w:eastAsia="en-AU"/>
        </w:rPr>
        <w:t>This component would have no financial impact (see Key assumptions).</w:t>
      </w:r>
    </w:p>
    <w:p w:rsidR="0067067E" w:rsidRPr="00905B06" w:rsidRDefault="0067067E" w:rsidP="00905B06">
      <w:pPr>
        <w:pStyle w:val="CostingsH7"/>
      </w:pPr>
      <w:r w:rsidRPr="00905B06">
        <w:t>Data sources</w:t>
      </w:r>
    </w:p>
    <w:p w:rsidR="0067067E" w:rsidRPr="0067067E" w:rsidRDefault="0067067E" w:rsidP="00277ED3">
      <w:pPr>
        <w:pStyle w:val="BodyText"/>
      </w:pPr>
      <w:r w:rsidRPr="0067067E">
        <w:t>Departmental costing models for the humanitarian intake associated with the 2015</w:t>
      </w:r>
      <w:r w:rsidRPr="0067067E">
        <w:noBreakHyphen/>
        <w:t xml:space="preserve">16 MYEFO measure, </w:t>
      </w:r>
      <w:r w:rsidRPr="0067067E">
        <w:rPr>
          <w:i/>
        </w:rPr>
        <w:t>Syrian and Iraqi humanitarian crisis</w:t>
      </w:r>
      <w:r w:rsidRPr="0067067E">
        <w:t xml:space="preserve"> from the:</w:t>
      </w:r>
    </w:p>
    <w:p w:rsidR="0067067E" w:rsidRPr="0067067E" w:rsidRDefault="0067067E" w:rsidP="00277ED3">
      <w:pPr>
        <w:pStyle w:val="ListBullet"/>
        <w:rPr>
          <w:lang w:eastAsia="en-AU"/>
        </w:rPr>
      </w:pPr>
      <w:r w:rsidRPr="0067067E">
        <w:rPr>
          <w:lang w:eastAsia="en-AU"/>
        </w:rPr>
        <w:t>Australian Tax Office</w:t>
      </w:r>
    </w:p>
    <w:p w:rsidR="0067067E" w:rsidRPr="0067067E" w:rsidRDefault="0067067E" w:rsidP="00277ED3">
      <w:pPr>
        <w:pStyle w:val="ListBullet"/>
        <w:rPr>
          <w:lang w:eastAsia="en-AU"/>
        </w:rPr>
      </w:pPr>
      <w:r w:rsidRPr="0067067E">
        <w:rPr>
          <w:lang w:eastAsia="en-AU"/>
        </w:rPr>
        <w:t>Department of Education and Training</w:t>
      </w:r>
    </w:p>
    <w:p w:rsidR="0067067E" w:rsidRPr="0067067E" w:rsidRDefault="0067067E" w:rsidP="00277ED3">
      <w:pPr>
        <w:pStyle w:val="ListBullet"/>
        <w:rPr>
          <w:lang w:eastAsia="en-AU"/>
        </w:rPr>
      </w:pPr>
      <w:r w:rsidRPr="0067067E">
        <w:rPr>
          <w:lang w:eastAsia="en-AU"/>
        </w:rPr>
        <w:t>Department of Employment</w:t>
      </w:r>
    </w:p>
    <w:p w:rsidR="0067067E" w:rsidRPr="0067067E" w:rsidRDefault="0067067E" w:rsidP="00277ED3">
      <w:pPr>
        <w:pStyle w:val="ListBullet"/>
        <w:rPr>
          <w:lang w:eastAsia="en-AU"/>
        </w:rPr>
      </w:pPr>
      <w:r w:rsidRPr="0067067E">
        <w:rPr>
          <w:lang w:eastAsia="en-AU"/>
        </w:rPr>
        <w:t>Department of Health</w:t>
      </w:r>
    </w:p>
    <w:p w:rsidR="0067067E" w:rsidRPr="0067067E" w:rsidRDefault="0067067E" w:rsidP="00277ED3">
      <w:pPr>
        <w:pStyle w:val="ListBullet"/>
        <w:rPr>
          <w:lang w:eastAsia="en-AU"/>
        </w:rPr>
      </w:pPr>
      <w:r w:rsidRPr="0067067E">
        <w:rPr>
          <w:lang w:eastAsia="en-AU"/>
        </w:rPr>
        <w:t>Department of Human Services</w:t>
      </w:r>
    </w:p>
    <w:p w:rsidR="0067067E" w:rsidRPr="0067067E" w:rsidRDefault="0067067E" w:rsidP="00277ED3">
      <w:pPr>
        <w:pStyle w:val="ListBullet"/>
        <w:rPr>
          <w:lang w:eastAsia="en-AU"/>
        </w:rPr>
      </w:pPr>
      <w:r w:rsidRPr="0067067E">
        <w:rPr>
          <w:lang w:eastAsia="en-AU"/>
        </w:rPr>
        <w:t>Department of Immigration and Border Protection</w:t>
      </w:r>
    </w:p>
    <w:p w:rsidR="0067067E" w:rsidRPr="0067067E" w:rsidRDefault="0067067E" w:rsidP="00277ED3">
      <w:pPr>
        <w:pStyle w:val="ListBullet"/>
        <w:rPr>
          <w:lang w:eastAsia="en-AU"/>
        </w:rPr>
      </w:pPr>
      <w:r w:rsidRPr="0067067E">
        <w:rPr>
          <w:lang w:eastAsia="en-AU"/>
        </w:rPr>
        <w:t>Department of Social Services</w:t>
      </w:r>
    </w:p>
    <w:p w:rsidR="0067067E" w:rsidRPr="0067067E" w:rsidRDefault="0067067E" w:rsidP="00277ED3">
      <w:pPr>
        <w:pStyle w:val="ListBullet"/>
        <w:rPr>
          <w:lang w:eastAsia="en-AU"/>
        </w:rPr>
      </w:pPr>
      <w:r w:rsidRPr="0067067E">
        <w:rPr>
          <w:lang w:eastAsia="en-AU"/>
        </w:rPr>
        <w:t>Department of the Treasury.</w:t>
      </w:r>
    </w:p>
    <w:p w:rsidR="0067067E" w:rsidRPr="0067067E" w:rsidRDefault="0067067E" w:rsidP="00277ED3">
      <w:pPr>
        <w:pStyle w:val="BodyText"/>
      </w:pPr>
      <w:r w:rsidRPr="0067067E">
        <w:t>DIBP also supplied details of existing contracts associated with offshore detention as well as onshore and offshore detention costing models.  Additionally, DIBP provided asylum seeker flow numbers as at 2016-17 Budget.</w:t>
      </w:r>
    </w:p>
    <w:p w:rsidR="0067067E" w:rsidRPr="0067067E" w:rsidRDefault="0067067E" w:rsidP="00277ED3">
      <w:pPr>
        <w:pStyle w:val="BodyText"/>
        <w:rPr>
          <w:rFonts w:ascii="Calibri" w:eastAsia="Calibri" w:hAnsi="Calibri"/>
        </w:rPr>
      </w:pPr>
      <w:r w:rsidRPr="0067067E">
        <w:t>The Department of Finance provided indexation and efficiency dividend parameters.</w:t>
      </w:r>
    </w:p>
    <w:p w:rsidR="0067067E" w:rsidRPr="0067067E" w:rsidRDefault="0067067E" w:rsidP="0067067E">
      <w:pPr>
        <w:spacing w:before="114" w:after="114"/>
        <w:rPr>
          <w:rFonts w:ascii="Calibri" w:eastAsia="Calibri" w:hAnsi="Calibri" w:cs="Times New Roman"/>
          <w:highlight w:val="yellow"/>
        </w:rPr>
        <w:sectPr w:rsidR="0067067E" w:rsidRPr="0067067E" w:rsidSect="00A97AC4">
          <w:headerReference w:type="even" r:id="rId211"/>
          <w:headerReference w:type="default" r:id="rId212"/>
          <w:footerReference w:type="even" r:id="rId213"/>
          <w:footerReference w:type="default" r:id="rId214"/>
          <w:headerReference w:type="first" r:id="rId215"/>
          <w:footerReference w:type="first" r:id="rId216"/>
          <w:pgSz w:w="11906" w:h="16838"/>
          <w:pgMar w:top="1361" w:right="1797" w:bottom="1474" w:left="1797" w:header="283" w:footer="454" w:gutter="0"/>
          <w:cols w:space="708"/>
          <w:docGrid w:linePitch="360"/>
        </w:sectPr>
      </w:pPr>
    </w:p>
    <w:p w:rsidR="0067067E" w:rsidRPr="0067067E" w:rsidRDefault="0067067E" w:rsidP="007A4BF9">
      <w:pPr>
        <w:pStyle w:val="Heading6"/>
        <w:rPr>
          <w:rFonts w:eastAsia="Calibri"/>
        </w:rPr>
      </w:pPr>
      <w:r w:rsidRPr="0067067E">
        <w:rPr>
          <w:rFonts w:eastAsia="Calibri"/>
        </w:rPr>
        <w:lastRenderedPageBreak/>
        <w:t>Attachment A: Close offshore detention and build safer pathways — financial implications</w:t>
      </w:r>
    </w:p>
    <w:p w:rsidR="0067067E" w:rsidRPr="0067067E" w:rsidRDefault="0067067E" w:rsidP="00905B06">
      <w:pPr>
        <w:pStyle w:val="Caption"/>
      </w:pPr>
      <w:r w:rsidRPr="0067067E">
        <w:t>Table A1: Close offshore detention and build safer pathways – Fiscal balance</w:t>
      </w:r>
      <w:r w:rsidRPr="0067067E">
        <w:rPr>
          <w:vertAlign w:val="superscript"/>
        </w:rPr>
        <w:t>(a)(b)</w:t>
      </w:r>
    </w:p>
    <w:tbl>
      <w:tblPr>
        <w:tblStyle w:val="TableGrid25"/>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($m)</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2016–17</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2017–18</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2018–19</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2019–20</w:t>
            </w:r>
          </w:p>
        </w:tc>
        <w:tc>
          <w:tcPr>
            <w:tcW w:w="327"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2019–20</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2020–21</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2021–22</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2022–23</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2023–24</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2024–25</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2025–26</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2026–27</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2026–27</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Revenue</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8.4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35.9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98.8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161.3</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304.4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195.7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200.1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204.6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209.2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213.9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218.7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223.6</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1,770.1</w:t>
            </w:r>
          </w:p>
        </w:tc>
      </w:tr>
      <w:tr w:rsidR="0067067E" w:rsidRPr="0067067E" w:rsidTr="0067067E">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67067E" w:rsidRPr="0067067E" w:rsidRDefault="0067067E" w:rsidP="0067067E">
            <w:pPr>
              <w:keepNext/>
              <w:keepLines/>
              <w:ind w:left="57" w:right="57"/>
              <w:rPr>
                <w:b/>
              </w:rPr>
            </w:pPr>
            <w:r w:rsidRPr="0067067E">
              <w:rPr>
                <w:b/>
              </w:rPr>
              <w:t>Expenses</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Administered</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421.5</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641.0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180.0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-252.0</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990.5</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-341.2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-240.4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-162.1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-18.8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177.6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281.4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356.4</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1,043.3</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Departmental</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0.1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-9.4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-23.6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-32.1</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-65.0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-8.9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6.7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10.4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13.3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15.6</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-29.2</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Capital</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0.5</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2.8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2.8</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Total expenses</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422.1</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632.6</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157.6</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-284.1</w:t>
            </w:r>
          </w:p>
        </w:tc>
        <w:tc>
          <w:tcPr>
            <w:tcW w:w="327"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928.3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-350.1</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-243.4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-160.5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-12.1</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188.1</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294.6</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371.9</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1,016.9</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rPr>
                <w:b/>
              </w:rPr>
            </w:pPr>
            <w:r w:rsidRPr="0067067E">
              <w:rPr>
                <w:b/>
              </w:rPr>
              <w:t>Total</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430.6</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668.5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256.4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-122.9</w:t>
            </w:r>
          </w:p>
        </w:tc>
        <w:tc>
          <w:tcPr>
            <w:tcW w:w="327"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1,232.6</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-154.4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-43.3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44.1</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197.1</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402.0</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513.3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595.5</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2,787.0</w:t>
            </w:r>
          </w:p>
        </w:tc>
      </w:tr>
    </w:tbl>
    <w:p w:rsidR="008525E2" w:rsidRDefault="0067067E" w:rsidP="000B5C96">
      <w:pPr>
        <w:pStyle w:val="Footnotes"/>
        <w:numPr>
          <w:ilvl w:val="0"/>
          <w:numId w:val="84"/>
        </w:numPr>
        <w:ind w:left="284" w:hanging="284"/>
      </w:pPr>
      <w:r w:rsidRPr="008525E2">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67067E" w:rsidRPr="008525E2" w:rsidRDefault="0067067E" w:rsidP="007E3AE0">
      <w:pPr>
        <w:pStyle w:val="Footnotes"/>
      </w:pPr>
      <w:r w:rsidRPr="008525E2">
        <w:t>Figures may not sum to totals due to rounding.</w:t>
      </w:r>
    </w:p>
    <w:p w:rsidR="0067067E" w:rsidRPr="0067067E" w:rsidRDefault="0067067E" w:rsidP="000B5C96">
      <w:pPr>
        <w:pStyle w:val="Footnotes"/>
        <w:numPr>
          <w:ilvl w:val="0"/>
          <w:numId w:val="33"/>
        </w:numPr>
        <w:ind w:left="284" w:hanging="284"/>
      </w:pPr>
      <w:r w:rsidRPr="0067067E">
        <w:tab/>
        <w:t>Indicates nil.</w:t>
      </w:r>
    </w:p>
    <w:p w:rsidR="0067067E" w:rsidRPr="0067067E" w:rsidRDefault="0067067E" w:rsidP="00905B06">
      <w:pPr>
        <w:pStyle w:val="Caption"/>
      </w:pPr>
      <w:r w:rsidRPr="0067067E">
        <w:lastRenderedPageBreak/>
        <w:t>Table A2: Close offshore detention and build safer pathways – Underlying cash balance</w:t>
      </w:r>
      <w:r w:rsidRPr="0067067E">
        <w:rPr>
          <w:vertAlign w:val="superscript"/>
        </w:rPr>
        <w:t>(a)(b)</w:t>
      </w:r>
    </w:p>
    <w:tbl>
      <w:tblPr>
        <w:tblStyle w:val="TableGrid25"/>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($m)</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2016–17</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2017–18</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2018–19</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2019–20</w:t>
            </w:r>
          </w:p>
        </w:tc>
        <w:tc>
          <w:tcPr>
            <w:tcW w:w="327"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2019–20</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2020–21</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2021–22</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2022–23</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2023–24</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2024–25</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2025–26</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2026–27</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2026–27</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Revenue</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67067E">
              <w:rPr>
                <w:rFonts w:ascii="Calibri" w:hAnsi="Calibri"/>
                <w:iCs/>
                <w:color w:val="000000"/>
                <w:szCs w:val="20"/>
              </w:rPr>
              <w:t xml:space="preserve"> 8.4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67067E">
              <w:rPr>
                <w:rFonts w:ascii="Calibri" w:hAnsi="Calibri"/>
                <w:iCs/>
                <w:color w:val="000000"/>
                <w:szCs w:val="20"/>
              </w:rPr>
              <w:t xml:space="preserve"> 35.9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67067E">
              <w:rPr>
                <w:rFonts w:ascii="Calibri" w:hAnsi="Calibri"/>
                <w:iCs/>
                <w:color w:val="000000"/>
                <w:szCs w:val="20"/>
              </w:rPr>
              <w:t xml:space="preserve"> 98.8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67067E">
              <w:rPr>
                <w:rFonts w:ascii="Calibri" w:hAnsi="Calibri"/>
                <w:iCs/>
                <w:color w:val="000000"/>
                <w:szCs w:val="20"/>
              </w:rPr>
              <w:t xml:space="preserve"> 161.3</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304.4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67067E">
              <w:rPr>
                <w:rFonts w:ascii="Calibri" w:hAnsi="Calibri"/>
                <w:iCs/>
                <w:color w:val="000000"/>
                <w:szCs w:val="20"/>
              </w:rPr>
              <w:t xml:space="preserve"> 195.7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67067E">
              <w:rPr>
                <w:rFonts w:ascii="Calibri" w:hAnsi="Calibri"/>
                <w:iCs/>
                <w:color w:val="000000"/>
                <w:szCs w:val="20"/>
              </w:rPr>
              <w:t xml:space="preserve"> 200.1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67067E">
              <w:rPr>
                <w:rFonts w:ascii="Calibri" w:hAnsi="Calibri"/>
                <w:iCs/>
                <w:color w:val="000000"/>
                <w:szCs w:val="20"/>
              </w:rPr>
              <w:t xml:space="preserve"> 204.6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67067E">
              <w:rPr>
                <w:rFonts w:ascii="Calibri" w:hAnsi="Calibri"/>
                <w:iCs/>
                <w:color w:val="000000"/>
                <w:szCs w:val="20"/>
              </w:rPr>
              <w:t xml:space="preserve"> 209.2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67067E">
              <w:rPr>
                <w:rFonts w:ascii="Calibri" w:hAnsi="Calibri"/>
                <w:iCs/>
                <w:color w:val="000000"/>
                <w:szCs w:val="20"/>
              </w:rPr>
              <w:t xml:space="preserve"> 213.9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67067E">
              <w:rPr>
                <w:rFonts w:ascii="Calibri" w:hAnsi="Calibri"/>
                <w:iCs/>
                <w:color w:val="000000"/>
                <w:szCs w:val="20"/>
              </w:rPr>
              <w:t xml:space="preserve"> 218.7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67067E">
              <w:rPr>
                <w:rFonts w:ascii="Calibri" w:hAnsi="Calibri"/>
                <w:iCs/>
                <w:color w:val="000000"/>
                <w:szCs w:val="20"/>
              </w:rPr>
              <w:t xml:space="preserve"> 223.6</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1,770.1</w:t>
            </w:r>
          </w:p>
        </w:tc>
      </w:tr>
      <w:tr w:rsidR="0067067E" w:rsidRPr="0067067E" w:rsidTr="0067067E">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67067E" w:rsidRPr="0067067E" w:rsidRDefault="0067067E" w:rsidP="0067067E">
            <w:pPr>
              <w:keepNext/>
              <w:keepLines/>
              <w:ind w:left="57" w:right="57"/>
              <w:rPr>
                <w:b/>
              </w:rPr>
            </w:pPr>
            <w:r w:rsidRPr="0067067E">
              <w:rPr>
                <w:b/>
              </w:rPr>
              <w:t>Expenses</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Administered</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421.7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641.2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180.6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-251.2</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992.2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-340.3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-239.6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-161.1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-18.0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178.7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282.3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357.5</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1,051.8</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Departmental</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0.1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-9.4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-23.6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-32.1</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-65.0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-8.9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6.7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10.4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13.3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15.6</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-29.2</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Capital</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0.5</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2.8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2.8</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Total expenses</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422.3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632.9</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158.3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-283.3</w:t>
            </w:r>
          </w:p>
        </w:tc>
        <w:tc>
          <w:tcPr>
            <w:tcW w:w="327"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930.0</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-349.2</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-242.5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-159.5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-11.2</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189.1</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295.6</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 xml:space="preserve"> 373.0</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1,025.4</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rPr>
                <w:b/>
              </w:rPr>
            </w:pPr>
            <w:r w:rsidRPr="0067067E">
              <w:rPr>
                <w:b/>
              </w:rPr>
              <w:t>Total</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430.7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668.7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257.1</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-122.1</w:t>
            </w:r>
          </w:p>
        </w:tc>
        <w:tc>
          <w:tcPr>
            <w:tcW w:w="327"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1,234.4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-153.5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-42.4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45.1</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198.0</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403.0</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514.3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596.6</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2,795.4</w:t>
            </w:r>
          </w:p>
        </w:tc>
      </w:tr>
    </w:tbl>
    <w:p w:rsidR="008525E2" w:rsidRDefault="0067067E" w:rsidP="000B5C96">
      <w:pPr>
        <w:pStyle w:val="Footnotes"/>
        <w:numPr>
          <w:ilvl w:val="0"/>
          <w:numId w:val="85"/>
        </w:numPr>
        <w:ind w:left="284" w:hanging="284"/>
      </w:pPr>
      <w:r w:rsidRPr="008525E2">
        <w:t>A positive number for the underlying cash balance indicates an increase in revenue or a decrease in expenses or net capital investment in cash terms.  A negative number for the underlying cash balance indicates a decrease in revenue or an increase in expenses or net capital investment in cash terms.</w:t>
      </w:r>
    </w:p>
    <w:p w:rsidR="0067067E" w:rsidRPr="008525E2" w:rsidRDefault="0067067E" w:rsidP="007E3AE0">
      <w:pPr>
        <w:pStyle w:val="Footnotes"/>
      </w:pPr>
      <w:r w:rsidRPr="008525E2">
        <w:t>Figures may not sum to totals due to rounding.</w:t>
      </w:r>
    </w:p>
    <w:p w:rsidR="0067067E" w:rsidRPr="0067067E" w:rsidRDefault="0067067E" w:rsidP="000B5C96">
      <w:pPr>
        <w:pStyle w:val="Footnotes"/>
        <w:numPr>
          <w:ilvl w:val="0"/>
          <w:numId w:val="33"/>
        </w:numPr>
        <w:ind w:left="284" w:hanging="284"/>
      </w:pPr>
      <w:r w:rsidRPr="0067067E">
        <w:tab/>
        <w:t>Indicates nil.</w:t>
      </w:r>
    </w:p>
    <w:p w:rsidR="0067067E" w:rsidRPr="0067067E" w:rsidRDefault="0067067E" w:rsidP="00905B06">
      <w:pPr>
        <w:pStyle w:val="Caption"/>
      </w:pPr>
      <w:r w:rsidRPr="0067067E">
        <w:lastRenderedPageBreak/>
        <w:t>Table A3: Component 1 - End offshore detention – Financial implications (outturn prices)</w:t>
      </w:r>
      <w:r w:rsidRPr="0067067E">
        <w:rPr>
          <w:vertAlign w:val="superscript"/>
        </w:rPr>
        <w:t>(a)(b)</w:t>
      </w:r>
      <w:r w:rsidR="0060256F">
        <w:rPr>
          <w:vertAlign w:val="superscript"/>
        </w:rPr>
        <w:t>(c)</w:t>
      </w:r>
    </w:p>
    <w:tbl>
      <w:tblPr>
        <w:tblStyle w:val="TableGrid25"/>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($m)</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2016–17</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2017–18</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2018–19</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2019–20</w:t>
            </w:r>
          </w:p>
        </w:tc>
        <w:tc>
          <w:tcPr>
            <w:tcW w:w="327"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2019–20</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2020–21</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2021–22</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2022–23</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2023–24</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2024–25</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2025–26</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2026–27</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2026–27</w:t>
            </w:r>
          </w:p>
        </w:tc>
      </w:tr>
      <w:tr w:rsidR="0067067E" w:rsidRPr="0067067E" w:rsidTr="0067067E">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67067E" w:rsidRPr="0067067E" w:rsidRDefault="0067067E" w:rsidP="0067067E">
            <w:pPr>
              <w:keepNext/>
              <w:keepLines/>
              <w:ind w:left="57" w:right="57"/>
              <w:rPr>
                <w:b/>
              </w:rPr>
            </w:pPr>
            <w:r w:rsidRPr="0067067E">
              <w:rPr>
                <w:b/>
              </w:rPr>
              <w:t>Impact on fiscal and underlying cash balances</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rPr>
                <w:b/>
              </w:rPr>
            </w:pPr>
            <w:r w:rsidRPr="0067067E">
              <w:rPr>
                <w:b/>
              </w:rPr>
              <w:t>Offshore detention</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Administered</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409.9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784.3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758.9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747.3</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2,700.4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756.6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752.0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754.6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763.0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773.3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773.3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773.3</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8,046.6</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Departmental</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16.0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31.5</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31.1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31.0</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109.7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30.9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30.9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30.8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31.0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31.4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31.4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31.4</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327.3</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Capital</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0.5</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2.8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2.8</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rPr>
                <w:b/>
              </w:rPr>
            </w:pPr>
            <w:r w:rsidRPr="0067067E">
              <w:rPr>
                <w:b/>
              </w:rPr>
              <w:t>Total offshore detention</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426.4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816.8</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791.3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778.3</w:t>
            </w:r>
          </w:p>
        </w:tc>
        <w:tc>
          <w:tcPr>
            <w:tcW w:w="327"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2,812.8</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787.5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782.9</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785.4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794.1</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804.7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804.7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804.7</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8,376.7</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rPr>
                <w:b/>
              </w:rPr>
            </w:pPr>
            <w:r w:rsidRPr="0067067E">
              <w:rPr>
                <w:b/>
              </w:rPr>
              <w:t>Onshore detention</w:t>
            </w:r>
            <w:r w:rsidRPr="0067067E">
              <w:rPr>
                <w:b/>
                <w:vertAlign w:val="superscript"/>
              </w:rPr>
              <w:t>(c)</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Administered</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87.0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217.2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212.8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204.7</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721.7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202.1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251.1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245.5</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259.3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274.7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252.0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229.4</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2,435.8</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Departmental</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-4.9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-6.0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-2.3</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-16.0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-3.0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-2.5</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-34.6</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rPr>
                <w:b/>
              </w:rPr>
            </w:pPr>
            <w:r w:rsidRPr="0067067E">
              <w:rPr>
                <w:b/>
              </w:rPr>
              <w:t>Total onshore detention</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noProof/>
                <w:color w:val="000000"/>
                <w:szCs w:val="20"/>
              </w:rPr>
              <w:t xml:space="preserve"> 82.2</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noProof/>
                <w:color w:val="000000"/>
                <w:szCs w:val="20"/>
              </w:rPr>
              <w:t xml:space="preserve"> 211.2</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noProof/>
                <w:color w:val="000000"/>
                <w:szCs w:val="20"/>
              </w:rPr>
              <w:t xml:space="preserve"> 209.9</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noProof/>
                <w:color w:val="000000"/>
                <w:szCs w:val="20"/>
              </w:rPr>
              <w:t xml:space="preserve"> 202.4</w:t>
            </w:r>
          </w:p>
        </w:tc>
        <w:tc>
          <w:tcPr>
            <w:tcW w:w="327"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705.7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noProof/>
                <w:color w:val="000000"/>
                <w:szCs w:val="20"/>
              </w:rPr>
              <w:t xml:space="preserve"> 199.8</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noProof/>
                <w:color w:val="000000"/>
                <w:szCs w:val="20"/>
              </w:rPr>
              <w:t xml:space="preserve"> 248.4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noProof/>
                <w:color w:val="000000"/>
                <w:szCs w:val="20"/>
              </w:rPr>
              <w:t xml:space="preserve"> 242.8</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noProof/>
                <w:color w:val="000000"/>
                <w:szCs w:val="20"/>
              </w:rPr>
              <w:t xml:space="preserve"> 256.5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noProof/>
                <w:color w:val="000000"/>
                <w:szCs w:val="20"/>
              </w:rPr>
              <w:t xml:space="preserve"> 271.7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noProof/>
                <w:color w:val="000000"/>
                <w:szCs w:val="20"/>
              </w:rPr>
              <w:t xml:space="preserve"> 249.3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noProof/>
                <w:color w:val="000000"/>
                <w:szCs w:val="20"/>
              </w:rPr>
              <w:t xml:space="preserve"> 226.9</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2,401.2</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rPr>
                <w:b/>
              </w:rPr>
            </w:pPr>
            <w:r w:rsidRPr="0067067E">
              <w:rPr>
                <w:b/>
              </w:rPr>
              <w:t>Total</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508.6</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1,028.0</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1,001.2</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980.7</w:t>
            </w:r>
          </w:p>
        </w:tc>
        <w:tc>
          <w:tcPr>
            <w:tcW w:w="327"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3,518.5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987.3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1,031.2</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1,028.3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1,050.6</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1,076.4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1,054.0</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1,031.6</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 xml:space="preserve"> 10,777.9</w:t>
            </w:r>
          </w:p>
        </w:tc>
      </w:tr>
    </w:tbl>
    <w:p w:rsidR="008525E2" w:rsidRDefault="0067067E" w:rsidP="000B5C96">
      <w:pPr>
        <w:pStyle w:val="Footnotes"/>
        <w:numPr>
          <w:ilvl w:val="0"/>
          <w:numId w:val="86"/>
        </w:numPr>
        <w:ind w:left="284" w:hanging="284"/>
      </w:pPr>
      <w:r w:rsidRPr="008525E2">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8525E2" w:rsidRDefault="0067067E" w:rsidP="007E3AE0">
      <w:pPr>
        <w:pStyle w:val="Footnotes"/>
      </w:pPr>
      <w:r w:rsidRPr="008525E2">
        <w:t>Figures may not sum to totals due to rounding.</w:t>
      </w:r>
    </w:p>
    <w:p w:rsidR="0067067E" w:rsidRPr="008525E2" w:rsidRDefault="0067067E" w:rsidP="007E3AE0">
      <w:pPr>
        <w:pStyle w:val="Footnotes"/>
      </w:pPr>
      <w:r w:rsidRPr="008525E2">
        <w:t>The reduction in expenditure on onshore detention reflects the difference between costs associated with onshore held detention and onshore community detention.</w:t>
      </w:r>
    </w:p>
    <w:p w:rsidR="0067067E" w:rsidRPr="0067067E" w:rsidRDefault="0067067E" w:rsidP="000B5C96">
      <w:pPr>
        <w:pStyle w:val="Footnotes"/>
        <w:numPr>
          <w:ilvl w:val="0"/>
          <w:numId w:val="33"/>
        </w:numPr>
        <w:ind w:left="284" w:hanging="284"/>
      </w:pPr>
      <w:r w:rsidRPr="0067067E">
        <w:tab/>
        <w:t>Indicates nil.</w:t>
      </w:r>
    </w:p>
    <w:p w:rsidR="0067067E" w:rsidRPr="0067067E" w:rsidRDefault="0067067E" w:rsidP="00905B06">
      <w:pPr>
        <w:pStyle w:val="Caption"/>
      </w:pPr>
      <w:r w:rsidRPr="0067067E">
        <w:t>Table A4: Component 2 – Increase Australia’s humanitarian intake – Fiscal balance</w:t>
      </w:r>
      <w:r w:rsidRPr="0067067E">
        <w:rPr>
          <w:vertAlign w:val="superscript"/>
        </w:rPr>
        <w:t>(a)(b)</w:t>
      </w:r>
    </w:p>
    <w:tbl>
      <w:tblPr>
        <w:tblStyle w:val="TableGrid25"/>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($m)</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2016–17</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2017–18</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2018–19</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2019–20</w:t>
            </w:r>
          </w:p>
        </w:tc>
        <w:tc>
          <w:tcPr>
            <w:tcW w:w="327"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2019–20</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2020–21</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2021–22</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2022–23</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2023–24</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2024–25</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2025–26</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2026–27</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2026–27</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Revenue</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8.4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35.9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98.8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161.3</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304.4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195.7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200.1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204.6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209.2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213.9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218.7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223.6</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1,770.1</w:t>
            </w:r>
          </w:p>
        </w:tc>
      </w:tr>
      <w:tr w:rsidR="0067067E" w:rsidRPr="0067067E" w:rsidTr="0067067E">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67067E" w:rsidRPr="0067067E" w:rsidRDefault="0067067E" w:rsidP="0067067E">
            <w:pPr>
              <w:keepNext/>
              <w:keepLines/>
              <w:ind w:left="57" w:right="57"/>
              <w:rPr>
                <w:b/>
              </w:rPr>
            </w:pPr>
            <w:r w:rsidRPr="0067067E">
              <w:rPr>
                <w:b/>
              </w:rPr>
              <w:t>Expenses</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Administered</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-146.8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-503.4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-934.6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-1,346.9</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-2,931.6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-1,299.8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-1,243.6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-1,162.2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-1,041.2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-870.3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-744.0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-646.3</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-9,939.1</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Departmental</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-11.0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-34.9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-51.9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-60.8</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-158.6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-37.6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-31.0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-26.5</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-21.5</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-18.0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-15.4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-13.3</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-321.9</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Total expenses</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-157.8</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-538.3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-986.5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-1,407.7</w:t>
            </w:r>
          </w:p>
        </w:tc>
        <w:tc>
          <w:tcPr>
            <w:tcW w:w="327"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-3,090.3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-1,337.4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-1,274.6</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-1,188.7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-1,062.7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-888.3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-759.3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-659.6</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-10,261.0</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rPr>
                <w:b/>
              </w:rPr>
            </w:pPr>
            <w:r w:rsidRPr="0067067E">
              <w:rPr>
                <w:b/>
              </w:rPr>
              <w:t>Total</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-149.4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-502.4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-887.7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-1,246.4</w:t>
            </w:r>
          </w:p>
        </w:tc>
        <w:tc>
          <w:tcPr>
            <w:tcW w:w="327"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-2,785.9</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-1,141.7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-1,074.5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-984.2</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-853.5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-674.4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-540.7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-436.0</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-8,490.9</w:t>
            </w:r>
          </w:p>
        </w:tc>
      </w:tr>
    </w:tbl>
    <w:p w:rsidR="00627256" w:rsidRDefault="0067067E" w:rsidP="000B5C96">
      <w:pPr>
        <w:pStyle w:val="Footnotes"/>
        <w:numPr>
          <w:ilvl w:val="0"/>
          <w:numId w:val="87"/>
        </w:numPr>
        <w:ind w:left="284" w:hanging="284"/>
      </w:pPr>
      <w:r w:rsidRPr="00627256">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67067E" w:rsidRPr="00627256" w:rsidRDefault="0067067E" w:rsidP="007E3AE0">
      <w:pPr>
        <w:pStyle w:val="Footnotes"/>
      </w:pPr>
      <w:r w:rsidRPr="00627256">
        <w:t>Figures may not sum to totals due to rounding.</w:t>
      </w:r>
    </w:p>
    <w:p w:rsidR="0067067E" w:rsidRPr="0067067E" w:rsidRDefault="0067067E" w:rsidP="00905B06">
      <w:pPr>
        <w:pStyle w:val="Caption"/>
      </w:pPr>
      <w:r w:rsidRPr="0067067E">
        <w:t>Table A5: Component 2 – Increase Australia’s humanitarian intake – Underlying cash balance</w:t>
      </w:r>
      <w:r w:rsidRPr="0067067E">
        <w:rPr>
          <w:vertAlign w:val="superscript"/>
        </w:rPr>
        <w:t>(a)(b)</w:t>
      </w:r>
    </w:p>
    <w:tbl>
      <w:tblPr>
        <w:tblStyle w:val="TableGrid25"/>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($m)</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2016–17</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2017–18</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2018–19</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2019–20</w:t>
            </w:r>
          </w:p>
        </w:tc>
        <w:tc>
          <w:tcPr>
            <w:tcW w:w="327"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2019–20</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2020–21</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2021–22</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2022–23</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2023–24</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2024–25</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2025–26</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2026–27</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2026–27</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Revenue</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8.4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35.9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98.8</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161.3</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67067E">
              <w:rPr>
                <w:rFonts w:ascii="Calibri" w:hAnsi="Calibri"/>
                <w:b/>
                <w:i/>
                <w:iCs/>
                <w:color w:val="000000"/>
                <w:szCs w:val="20"/>
              </w:rPr>
              <w:t xml:space="preserve"> 304.4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195.7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200.1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204.6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209.2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213.9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218.7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223.6</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67067E">
              <w:rPr>
                <w:rFonts w:ascii="Calibri" w:hAnsi="Calibri"/>
                <w:i/>
                <w:iCs/>
                <w:color w:val="000000"/>
                <w:szCs w:val="20"/>
              </w:rPr>
              <w:t xml:space="preserve"> </w:t>
            </w:r>
            <w:r w:rsidRPr="0067067E">
              <w:rPr>
                <w:rFonts w:ascii="Calibri" w:hAnsi="Calibri"/>
                <w:b/>
                <w:i/>
                <w:iCs/>
                <w:color w:val="000000"/>
                <w:szCs w:val="20"/>
              </w:rPr>
              <w:t>1,770.1</w:t>
            </w:r>
          </w:p>
        </w:tc>
      </w:tr>
      <w:tr w:rsidR="0067067E" w:rsidRPr="0067067E" w:rsidTr="0067067E">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67067E" w:rsidRPr="0067067E" w:rsidRDefault="0067067E" w:rsidP="0067067E">
            <w:pPr>
              <w:keepNext/>
              <w:keepLines/>
              <w:ind w:left="57" w:right="57"/>
              <w:rPr>
                <w:b/>
              </w:rPr>
            </w:pPr>
            <w:r w:rsidRPr="0067067E">
              <w:rPr>
                <w:b/>
              </w:rPr>
              <w:t>Expenses</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Administered</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-146.7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-503.1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-933.9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-1,346.1</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-2,929.9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-1,298.9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-1,242.7</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-1,161.2</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-1,040.3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-869.3</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-743.1</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-645.2</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-9,930.6</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Departmental</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-11.0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-34.9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-51.9</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-60.8</w:t>
            </w:r>
          </w:p>
        </w:tc>
        <w:tc>
          <w:tcPr>
            <w:tcW w:w="327"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-158.6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-37.6</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-31.0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-26.5</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-21.5</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-18.0</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-15.4</w:t>
            </w:r>
          </w:p>
        </w:tc>
        <w:tc>
          <w:tcPr>
            <w:tcW w:w="325"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-13.3</w:t>
            </w:r>
          </w:p>
        </w:tc>
        <w:tc>
          <w:tcPr>
            <w:tcW w:w="326" w:type="pct"/>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-321.9</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Total expenses</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-157.7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-538.0</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-985.8</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-1,406.9</w:t>
            </w:r>
          </w:p>
        </w:tc>
        <w:tc>
          <w:tcPr>
            <w:tcW w:w="327"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-3,088.5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-1,336.5</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-1,273.7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-1,187.7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-1,061.8</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-887.3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-758.4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67067E">
              <w:rPr>
                <w:rFonts w:ascii="Calibri" w:hAnsi="Calibri"/>
                <w:color w:val="000000"/>
                <w:szCs w:val="20"/>
              </w:rPr>
              <w:t>-658.5</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color w:val="000000"/>
                <w:szCs w:val="20"/>
              </w:rPr>
              <w:t>-10,252.5</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rPr>
                <w:b/>
              </w:rPr>
            </w:pPr>
            <w:r w:rsidRPr="0067067E">
              <w:rPr>
                <w:b/>
              </w:rPr>
              <w:t>Total</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-149.3</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-502.2</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-887.0</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-1,245.6</w:t>
            </w:r>
          </w:p>
        </w:tc>
        <w:tc>
          <w:tcPr>
            <w:tcW w:w="327"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-2,784.1</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-1,140.8</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-1,073.6</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-983.2</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-852.6</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-673.4</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-539.7</w:t>
            </w:r>
          </w:p>
        </w:tc>
        <w:tc>
          <w:tcPr>
            <w:tcW w:w="325"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-434.9</w:t>
            </w:r>
          </w:p>
        </w:tc>
        <w:tc>
          <w:tcPr>
            <w:tcW w:w="326" w:type="pct"/>
            <w:shd w:val="clear" w:color="auto" w:fill="D7DDE9"/>
          </w:tcPr>
          <w:p w:rsidR="0067067E" w:rsidRPr="0067067E" w:rsidRDefault="0067067E" w:rsidP="0067067E">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-8,482.4</w:t>
            </w:r>
          </w:p>
        </w:tc>
      </w:tr>
    </w:tbl>
    <w:p w:rsidR="00627256" w:rsidRDefault="0067067E" w:rsidP="000B5C96">
      <w:pPr>
        <w:pStyle w:val="Footnotes"/>
        <w:numPr>
          <w:ilvl w:val="0"/>
          <w:numId w:val="88"/>
        </w:numPr>
        <w:ind w:left="284" w:hanging="284"/>
      </w:pPr>
      <w:r w:rsidRPr="00627256">
        <w:t>A positive number for the underlying cash balance indicates an increase in revenue or a decrease in expenses or net capital investment in cash terms.  A negative number for the underlying cash balance indicates a decrease in revenue or an increase in expenses or net capital investment in cash terms.</w:t>
      </w:r>
    </w:p>
    <w:p w:rsidR="0067067E" w:rsidRPr="00627256" w:rsidRDefault="0067067E" w:rsidP="007E3AE0">
      <w:pPr>
        <w:pStyle w:val="Footnotes"/>
      </w:pPr>
      <w:r w:rsidRPr="00627256">
        <w:t>Figures may not sum to totals due to rounding.</w:t>
      </w:r>
    </w:p>
    <w:p w:rsidR="0067067E" w:rsidRPr="0067067E" w:rsidRDefault="0067067E" w:rsidP="00905B06">
      <w:pPr>
        <w:pStyle w:val="Caption"/>
      </w:pPr>
      <w:r w:rsidRPr="0067067E">
        <w:t>Table A6: Component 3: Refugee skilled visa places – Financial implications (outturn prices)</w:t>
      </w:r>
      <w:r w:rsidRPr="0067067E">
        <w:rPr>
          <w:vertAlign w:val="superscript"/>
        </w:rPr>
        <w:t>(a)(b)</w:t>
      </w:r>
    </w:p>
    <w:tbl>
      <w:tblPr>
        <w:tblStyle w:val="TableGrid25"/>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($m)</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2016–17</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2017–18</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2018–19</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2019–20</w:t>
            </w:r>
          </w:p>
        </w:tc>
        <w:tc>
          <w:tcPr>
            <w:tcW w:w="327"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2019–20</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2020–21</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2021–22</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2022–23</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2023–24</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2024–25</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2025–26</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2026–27</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2026–27</w:t>
            </w:r>
          </w:p>
        </w:tc>
      </w:tr>
      <w:tr w:rsidR="0067067E" w:rsidRPr="0067067E" w:rsidTr="0067067E">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67067E" w:rsidRPr="0067067E" w:rsidRDefault="0067067E" w:rsidP="0067067E">
            <w:pPr>
              <w:keepNext/>
              <w:keepLines/>
              <w:ind w:left="57" w:right="57"/>
              <w:rPr>
                <w:b/>
              </w:rPr>
            </w:pPr>
            <w:r w:rsidRPr="0067067E">
              <w:rPr>
                <w:b/>
              </w:rPr>
              <w:t>Impact on fiscal and underlying cash balances</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Administered</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7"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Departmental</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7"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rPr>
                <w:b/>
              </w:rPr>
            </w:pPr>
            <w:r w:rsidRPr="0067067E">
              <w:rPr>
                <w:b/>
              </w:rPr>
              <w:t>Total</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7"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r>
    </w:tbl>
    <w:p w:rsidR="00627256" w:rsidRDefault="0067067E" w:rsidP="000B5C96">
      <w:pPr>
        <w:pStyle w:val="Footnotes"/>
        <w:numPr>
          <w:ilvl w:val="0"/>
          <w:numId w:val="89"/>
        </w:numPr>
        <w:ind w:left="284" w:hanging="284"/>
      </w:pPr>
      <w:r w:rsidRPr="00627256">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67067E" w:rsidRPr="00627256" w:rsidRDefault="0067067E" w:rsidP="007E3AE0">
      <w:pPr>
        <w:pStyle w:val="Footnotes"/>
      </w:pPr>
      <w:r w:rsidRPr="00627256">
        <w:t>Figures may not sum to totals due to rounding.</w:t>
      </w:r>
    </w:p>
    <w:p w:rsidR="0067067E" w:rsidRPr="0067067E" w:rsidRDefault="0067067E" w:rsidP="000B5C96">
      <w:pPr>
        <w:pStyle w:val="Footnotes"/>
        <w:numPr>
          <w:ilvl w:val="0"/>
          <w:numId w:val="33"/>
        </w:numPr>
        <w:ind w:left="284" w:hanging="284"/>
      </w:pPr>
      <w:r w:rsidRPr="0067067E">
        <w:tab/>
        <w:t>Indicates nil.</w:t>
      </w:r>
    </w:p>
    <w:p w:rsidR="0067067E" w:rsidRPr="0067067E" w:rsidRDefault="0067067E" w:rsidP="00905B06">
      <w:pPr>
        <w:pStyle w:val="Caption"/>
      </w:pPr>
      <w:r w:rsidRPr="0067067E">
        <w:t>Table A7: Component 4: UNHCR funding – Financial implications (outturn prices)</w:t>
      </w:r>
      <w:r w:rsidRPr="0067067E">
        <w:rPr>
          <w:vertAlign w:val="superscript"/>
        </w:rPr>
        <w:t>(a)(b)</w:t>
      </w:r>
    </w:p>
    <w:tbl>
      <w:tblPr>
        <w:tblStyle w:val="TableGrid25"/>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($m)</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2016–17</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2017–18</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2018–19</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2019–20</w:t>
            </w:r>
          </w:p>
        </w:tc>
        <w:tc>
          <w:tcPr>
            <w:tcW w:w="327"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2019–20</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2020–21</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2021–22</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2022–23</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2023–24</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2024–25</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2025–26</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2026–27</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2026–27</w:t>
            </w:r>
          </w:p>
        </w:tc>
      </w:tr>
      <w:tr w:rsidR="0067067E" w:rsidRPr="0067067E" w:rsidTr="0067067E">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67067E" w:rsidRPr="0067067E" w:rsidRDefault="0067067E" w:rsidP="0067067E">
            <w:pPr>
              <w:keepNext/>
              <w:keepLines/>
              <w:ind w:left="57" w:right="57"/>
              <w:rPr>
                <w:b/>
              </w:rPr>
            </w:pPr>
            <w:r w:rsidRPr="0067067E">
              <w:rPr>
                <w:b/>
              </w:rPr>
              <w:t>Impact on fiscal and underlying cash balances</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Administered</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71.4</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142.9</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142.9</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142.9</w:t>
            </w:r>
          </w:p>
        </w:tc>
        <w:tc>
          <w:tcPr>
            <w:tcW w:w="327"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500.0</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500.0</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Departmental</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7"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rPr>
                <w:b/>
              </w:rPr>
            </w:pPr>
            <w:r w:rsidRPr="0067067E">
              <w:rPr>
                <w:b/>
              </w:rPr>
              <w:t>Total</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71.4</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142.9</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142.9</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142.9</w:t>
            </w:r>
          </w:p>
        </w:tc>
        <w:tc>
          <w:tcPr>
            <w:tcW w:w="327"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500.0</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500.0</w:t>
            </w:r>
          </w:p>
        </w:tc>
      </w:tr>
    </w:tbl>
    <w:p w:rsidR="00627256" w:rsidRDefault="0067067E" w:rsidP="000B5C96">
      <w:pPr>
        <w:pStyle w:val="Footnotes"/>
        <w:numPr>
          <w:ilvl w:val="0"/>
          <w:numId w:val="90"/>
        </w:numPr>
        <w:ind w:left="284" w:hanging="284"/>
      </w:pPr>
      <w:r w:rsidRPr="00627256">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67067E" w:rsidRPr="00627256" w:rsidRDefault="0067067E" w:rsidP="007E3AE0">
      <w:pPr>
        <w:pStyle w:val="Footnotes"/>
      </w:pPr>
      <w:r w:rsidRPr="00627256">
        <w:t>Figures may not sum to totals due to rounding.</w:t>
      </w:r>
    </w:p>
    <w:p w:rsidR="0067067E" w:rsidRPr="0067067E" w:rsidRDefault="0067067E" w:rsidP="000B5C96">
      <w:pPr>
        <w:pStyle w:val="Footnotes"/>
        <w:numPr>
          <w:ilvl w:val="0"/>
          <w:numId w:val="33"/>
        </w:numPr>
        <w:ind w:left="284" w:hanging="284"/>
      </w:pPr>
      <w:r w:rsidRPr="0067067E">
        <w:tab/>
        <w:t>Indicates nil.</w:t>
      </w:r>
    </w:p>
    <w:p w:rsidR="0067067E" w:rsidRPr="0067067E" w:rsidRDefault="0067067E" w:rsidP="00905B06">
      <w:pPr>
        <w:pStyle w:val="Caption"/>
      </w:pPr>
      <w:r w:rsidRPr="0067067E">
        <w:t>Table A8: Component 5: Immigration administration – Financial implications (outturn prices)</w:t>
      </w:r>
      <w:r w:rsidRPr="0067067E">
        <w:rPr>
          <w:vertAlign w:val="superscript"/>
        </w:rPr>
        <w:t>(a)(b)</w:t>
      </w:r>
    </w:p>
    <w:tbl>
      <w:tblPr>
        <w:tblStyle w:val="TableGrid25"/>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pPr>
            <w:r w:rsidRPr="0067067E">
              <w:t>($m)</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2016–17</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2017–18</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2018–19</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2019–20</w:t>
            </w:r>
          </w:p>
        </w:tc>
        <w:tc>
          <w:tcPr>
            <w:tcW w:w="327"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2019–20</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2020–21</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2021–22</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2022–23</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2023–24</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2024–25</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2025–26</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7067E">
              <w:rPr>
                <w:rFonts w:ascii="Calibri" w:hAnsi="Calibri"/>
              </w:rPr>
              <w:t>2026–27</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7067E">
              <w:rPr>
                <w:rFonts w:ascii="Calibri" w:hAnsi="Calibri"/>
                <w:b/>
              </w:rPr>
              <w:t>Total to 2026–27</w:t>
            </w:r>
          </w:p>
        </w:tc>
      </w:tr>
      <w:tr w:rsidR="0067067E" w:rsidRPr="0067067E" w:rsidTr="0067067E">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67067E" w:rsidRPr="0067067E" w:rsidRDefault="0067067E" w:rsidP="0067067E">
            <w:pPr>
              <w:keepNext/>
              <w:keepLines/>
              <w:ind w:left="57" w:right="57"/>
              <w:rPr>
                <w:b/>
              </w:rPr>
            </w:pPr>
            <w:r w:rsidRPr="0067067E">
              <w:rPr>
                <w:b/>
              </w:rPr>
              <w:t>Impact on fiscal and underlying cash balances</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Administered</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7"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tcPr>
          <w:p w:rsidR="0067067E" w:rsidRPr="0067067E" w:rsidRDefault="0067067E" w:rsidP="0067067E">
            <w:pPr>
              <w:keepNext/>
              <w:keepLines/>
              <w:ind w:left="57" w:right="57"/>
            </w:pPr>
            <w:r w:rsidRPr="0067067E">
              <w:t>Departmental</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7"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5"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67067E">
              <w:rPr>
                <w:rFonts w:ascii="Calibri" w:hAnsi="Calibri"/>
                <w:i/>
                <w:iCs/>
                <w:color w:val="000000"/>
                <w:szCs w:val="20"/>
              </w:rPr>
              <w:t xml:space="preserve"> -</w:t>
            </w:r>
          </w:p>
        </w:tc>
        <w:tc>
          <w:tcPr>
            <w:tcW w:w="326" w:type="pct"/>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67067E">
              <w:rPr>
                <w:rFonts w:ascii="Calibri" w:hAnsi="Calibri"/>
                <w:b/>
                <w:bCs/>
                <w:i/>
                <w:iCs/>
                <w:color w:val="000000"/>
                <w:szCs w:val="20"/>
              </w:rPr>
              <w:t xml:space="preserve"> -</w:t>
            </w:r>
          </w:p>
        </w:tc>
      </w:tr>
      <w:tr w:rsidR="0067067E" w:rsidRPr="0067067E" w:rsidTr="0067067E">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67067E" w:rsidRPr="0067067E" w:rsidRDefault="0067067E" w:rsidP="0067067E">
            <w:pPr>
              <w:keepNext/>
              <w:keepLines/>
              <w:ind w:left="57" w:right="57"/>
              <w:rPr>
                <w:b/>
              </w:rPr>
            </w:pPr>
            <w:r w:rsidRPr="0067067E">
              <w:rPr>
                <w:b/>
              </w:rPr>
              <w:t>Total</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7"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5"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c>
          <w:tcPr>
            <w:tcW w:w="326" w:type="pct"/>
            <w:shd w:val="clear" w:color="auto" w:fill="D7DDE9"/>
          </w:tcPr>
          <w:p w:rsidR="0067067E" w:rsidRPr="0067067E" w:rsidRDefault="0067067E" w:rsidP="0067067E">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67067E">
              <w:rPr>
                <w:rFonts w:ascii="Calibri" w:hAnsi="Calibri"/>
                <w:b/>
                <w:bCs/>
                <w:noProof/>
                <w:color w:val="000000"/>
                <w:szCs w:val="20"/>
              </w:rPr>
              <w:t xml:space="preserve"> -</w:t>
            </w:r>
          </w:p>
        </w:tc>
      </w:tr>
    </w:tbl>
    <w:p w:rsidR="00627256" w:rsidRDefault="0067067E" w:rsidP="000B5C96">
      <w:pPr>
        <w:pStyle w:val="Footnotes"/>
        <w:numPr>
          <w:ilvl w:val="0"/>
          <w:numId w:val="91"/>
        </w:numPr>
        <w:ind w:left="284" w:hanging="284"/>
      </w:pPr>
      <w:r w:rsidRPr="00627256">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67067E" w:rsidRPr="00627256" w:rsidRDefault="0067067E" w:rsidP="007E3AE0">
      <w:pPr>
        <w:pStyle w:val="Footnotes"/>
      </w:pPr>
      <w:r w:rsidRPr="00627256">
        <w:t>Figures may not sum to totals due to rounding.</w:t>
      </w:r>
    </w:p>
    <w:p w:rsidR="0067067E" w:rsidRDefault="0067067E" w:rsidP="000B5C96">
      <w:pPr>
        <w:pStyle w:val="Footnotes"/>
        <w:numPr>
          <w:ilvl w:val="0"/>
          <w:numId w:val="33"/>
        </w:numPr>
        <w:ind w:left="284" w:hanging="284"/>
      </w:pPr>
      <w:r w:rsidRPr="0067067E">
        <w:tab/>
        <w:t>Indicates nil.</w:t>
      </w:r>
    </w:p>
    <w:p w:rsidR="002678E3" w:rsidRDefault="002678E3" w:rsidP="007E3AE0">
      <w:pPr>
        <w:pStyle w:val="Footnotes"/>
        <w:sectPr w:rsidR="002678E3" w:rsidSect="00A97AC4">
          <w:headerReference w:type="even" r:id="rId217"/>
          <w:headerReference w:type="default" r:id="rId218"/>
          <w:footerReference w:type="even" r:id="rId219"/>
          <w:footerReference w:type="default" r:id="rId220"/>
          <w:pgSz w:w="16839" w:h="11907" w:orient="landscape" w:code="9"/>
          <w:pgMar w:top="1361" w:right="1797" w:bottom="1474" w:left="1797" w:header="283" w:footer="454" w:gutter="0"/>
          <w:cols w:space="708"/>
          <w:docGrid w:linePitch="360"/>
        </w:sectPr>
      </w:pPr>
    </w:p>
    <w:p w:rsidR="002678E3" w:rsidRPr="002678E3" w:rsidRDefault="002678E3" w:rsidP="007A4BF9">
      <w:pPr>
        <w:pStyle w:val="Heading5"/>
      </w:pPr>
      <w:bookmarkStart w:id="89" w:name="_Toc457819899"/>
      <w:bookmarkStart w:id="90" w:name="_Toc458015789"/>
      <w:bookmarkStart w:id="91" w:name="_Toc458090628"/>
      <w:bookmarkStart w:id="92" w:name="_Toc455655068"/>
      <w:bookmarkStart w:id="93" w:name="_Toc456766805"/>
      <w:r w:rsidRPr="002678E3">
        <w:t>GRN022: Community Owned Clean Energy</w:t>
      </w:r>
      <w:bookmarkEnd w:id="89"/>
      <w:bookmarkEnd w:id="90"/>
      <w:bookmarkEnd w:id="91"/>
      <w:r w:rsidRPr="002678E3">
        <w:t xml:space="preserve"> </w:t>
      </w:r>
      <w:bookmarkEnd w:id="92"/>
      <w:bookmarkEnd w:id="93"/>
    </w:p>
    <w:p w:rsidR="0067067E" w:rsidRDefault="002678E3" w:rsidP="007A4BF9">
      <w:pPr>
        <w:pStyle w:val="BodyText"/>
        <w:rPr>
          <w:rFonts w:ascii="Calibri" w:eastAsia="Calibri" w:hAnsi="Calibri"/>
        </w:rPr>
      </w:pPr>
      <w:r>
        <w:rPr>
          <w:noProof/>
          <w:lang w:eastAsia="en-AU"/>
        </w:rPr>
        <w:drawing>
          <wp:inline distT="0" distB="0" distL="0" distR="0" wp14:anchorId="4CEF5409" wp14:editId="1477B6AA">
            <wp:extent cx="2696845" cy="572135"/>
            <wp:effectExtent l="0" t="0" r="8255" b="0"/>
            <wp:docPr id="462" name="Picture 46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2678E3" w:rsidRPr="002678E3" w:rsidRDefault="002678E3" w:rsidP="007A4BF9">
      <w:pPr>
        <w:pStyle w:val="Heading6"/>
        <w:rPr>
          <w:rFonts w:eastAsia="Calibri"/>
        </w:rPr>
      </w:pPr>
      <w:r w:rsidRPr="002678E3">
        <w:rPr>
          <w:rFonts w:eastAsia="Calibri"/>
        </w:rPr>
        <w:t>Policy costing—during the caretaker period for the 2016 general election</w:t>
      </w:r>
    </w:p>
    <w:tbl>
      <w:tblPr>
        <w:tblStyle w:val="Style110"/>
        <w:tblW w:w="8340" w:type="dxa"/>
        <w:tblLook w:val="04A0" w:firstRow="1" w:lastRow="0" w:firstColumn="1" w:lastColumn="0" w:noHBand="0" w:noVBand="1"/>
      </w:tblPr>
      <w:tblGrid>
        <w:gridCol w:w="3005"/>
        <w:gridCol w:w="5335"/>
      </w:tblGrid>
      <w:tr w:rsidR="002678E3" w:rsidRPr="00AF49FE" w:rsidTr="007208C6">
        <w:trPr>
          <w:cnfStyle w:val="100000000000" w:firstRow="1" w:lastRow="0" w:firstColumn="0" w:lastColumn="0" w:oddVBand="0" w:evenVBand="0" w:oddHBand="0" w:evenHBand="0" w:firstRowFirstColumn="0" w:firstRowLastColumn="0" w:lastRowFirstColumn="0" w:lastRowLastColumn="0"/>
        </w:trPr>
        <w:tc>
          <w:tcPr>
            <w:tcW w:w="3005" w:type="dxa"/>
          </w:tcPr>
          <w:p w:rsidR="002678E3" w:rsidRPr="00AF49FE" w:rsidRDefault="002678E3" w:rsidP="00AF49FE">
            <w:pPr>
              <w:pStyle w:val="PullOutBoxHeading"/>
              <w:rPr>
                <w:b/>
                <w:sz w:val="22"/>
              </w:rPr>
            </w:pPr>
            <w:r w:rsidRPr="00AF49FE">
              <w:rPr>
                <w:b/>
                <w:sz w:val="22"/>
              </w:rPr>
              <w:t>Name of proposal:</w:t>
            </w:r>
          </w:p>
        </w:tc>
        <w:tc>
          <w:tcPr>
            <w:tcW w:w="5335" w:type="dxa"/>
          </w:tcPr>
          <w:p w:rsidR="002678E3" w:rsidRPr="00AF49FE" w:rsidRDefault="002678E3" w:rsidP="00AF49FE">
            <w:pPr>
              <w:pStyle w:val="PullOutBoxHeading"/>
              <w:rPr>
                <w:b/>
                <w:sz w:val="22"/>
              </w:rPr>
            </w:pPr>
            <w:r w:rsidRPr="00AF49FE">
              <w:rPr>
                <w:b/>
                <w:sz w:val="22"/>
              </w:rPr>
              <w:t>Community Owned Clean Energy</w:t>
            </w:r>
          </w:p>
        </w:tc>
      </w:tr>
      <w:tr w:rsidR="002678E3" w:rsidRPr="002678E3" w:rsidTr="007208C6">
        <w:tc>
          <w:tcPr>
            <w:tcW w:w="3005" w:type="dxa"/>
          </w:tcPr>
          <w:p w:rsidR="002678E3" w:rsidRPr="002678E3" w:rsidRDefault="002678E3" w:rsidP="00C65EA6">
            <w:pPr>
              <w:pStyle w:val="PullOutBoxBodyText"/>
            </w:pPr>
            <w:r w:rsidRPr="002678E3">
              <w:t>Summary of proposal:</w:t>
            </w:r>
          </w:p>
        </w:tc>
        <w:tc>
          <w:tcPr>
            <w:tcW w:w="5335" w:type="dxa"/>
          </w:tcPr>
          <w:p w:rsidR="002678E3" w:rsidRPr="002678E3" w:rsidRDefault="002678E3" w:rsidP="00C65EA6">
            <w:pPr>
              <w:pStyle w:val="PullOutBoxBodyText"/>
            </w:pPr>
            <w:r w:rsidRPr="002678E3">
              <w:t>The proposal has three components:</w:t>
            </w:r>
          </w:p>
          <w:p w:rsidR="002678E3" w:rsidRPr="002678E3" w:rsidRDefault="002678E3" w:rsidP="00C65EA6">
            <w:pPr>
              <w:pStyle w:val="PullOutBoxBodyText"/>
              <w:rPr>
                <w:u w:val="single"/>
              </w:rPr>
            </w:pPr>
            <w:r w:rsidRPr="002678E3">
              <w:rPr>
                <w:u w:val="single"/>
              </w:rPr>
              <w:t>Component 1</w:t>
            </w:r>
          </w:p>
          <w:p w:rsidR="002678E3" w:rsidRPr="002678E3" w:rsidRDefault="002678E3" w:rsidP="00C65EA6">
            <w:pPr>
              <w:pStyle w:val="PullOutBoxBodyText"/>
            </w:pPr>
            <w:r w:rsidRPr="002678E3">
              <w:t>This component includes:</w:t>
            </w:r>
          </w:p>
          <w:p w:rsidR="002678E3" w:rsidRPr="002678E3" w:rsidRDefault="002678E3" w:rsidP="00C65EA6">
            <w:pPr>
              <w:pStyle w:val="PullOutBoxBullet"/>
              <w:rPr>
                <w:lang w:eastAsia="en-AU"/>
              </w:rPr>
            </w:pPr>
            <w:r w:rsidRPr="002678E3">
              <w:rPr>
                <w:lang w:eastAsia="en-AU"/>
              </w:rPr>
              <w:t>Introducing an income tax exemption for earnings arising from investment in Community Owned Renewable Energy (CORE) projects.  Earnings arising from the generation of up to 150 per cent of average annual household electricity consumption would be considered exempt income for the purpose of calculating income tax.</w:t>
            </w:r>
          </w:p>
          <w:p w:rsidR="002678E3" w:rsidRPr="002678E3" w:rsidRDefault="002678E3" w:rsidP="00C65EA6">
            <w:pPr>
              <w:pStyle w:val="PullOutBoxBullet"/>
              <w:rPr>
                <w:lang w:eastAsia="en-AU"/>
              </w:rPr>
            </w:pPr>
            <w:r w:rsidRPr="002678E3">
              <w:rPr>
                <w:lang w:eastAsia="en-AU"/>
              </w:rPr>
              <w:t>Providing $150 million over the 2016</w:t>
            </w:r>
            <w:r w:rsidRPr="002678E3">
              <w:rPr>
                <w:lang w:eastAsia="en-AU"/>
              </w:rPr>
              <w:noBreakHyphen/>
              <w:t>17 Budget forward estimates period, $75 million in 2017</w:t>
            </w:r>
            <w:r w:rsidRPr="002678E3">
              <w:rPr>
                <w:lang w:eastAsia="en-AU"/>
              </w:rPr>
              <w:noBreakHyphen/>
              <w:t>18 and $75 million in 2018</w:t>
            </w:r>
            <w:r w:rsidRPr="002678E3">
              <w:rPr>
                <w:lang w:eastAsia="en-AU"/>
              </w:rPr>
              <w:noBreakHyphen/>
              <w:t>19, to contribute to the establishment of 50 community powerhouses, with departmental expenses to be met from within the allocated amounts.</w:t>
            </w:r>
          </w:p>
          <w:p w:rsidR="002678E3" w:rsidRPr="00C65EA6" w:rsidRDefault="002678E3" w:rsidP="00C65EA6">
            <w:pPr>
              <w:pStyle w:val="PullOutBoxBodyText"/>
              <w:rPr>
                <w:u w:val="single"/>
              </w:rPr>
            </w:pPr>
            <w:r w:rsidRPr="00C65EA6">
              <w:rPr>
                <w:u w:val="single"/>
              </w:rPr>
              <w:t>Component 2</w:t>
            </w:r>
          </w:p>
          <w:p w:rsidR="002678E3" w:rsidRPr="002678E3" w:rsidRDefault="002678E3" w:rsidP="00C65EA6">
            <w:pPr>
              <w:pStyle w:val="PullOutBoxBodyText"/>
            </w:pPr>
            <w:r w:rsidRPr="002678E3">
              <w:t>Provide $2 million per annum from 2016</w:t>
            </w:r>
            <w:r w:rsidRPr="002678E3">
              <w:noBreakHyphen/>
              <w:t>17 to support the establishment of a Community Power Network to enable business models, strategy and information to be shared between community clean energy projects, with departmental expenses to be met from within the allocated amounts.</w:t>
            </w:r>
          </w:p>
          <w:p w:rsidR="002678E3" w:rsidRPr="00C65EA6" w:rsidRDefault="002678E3" w:rsidP="00C65EA6">
            <w:pPr>
              <w:pStyle w:val="PullOutBoxBodyText"/>
              <w:rPr>
                <w:u w:val="single"/>
              </w:rPr>
            </w:pPr>
            <w:r w:rsidRPr="00C65EA6">
              <w:rPr>
                <w:u w:val="single"/>
              </w:rPr>
              <w:t>Component 3</w:t>
            </w:r>
          </w:p>
          <w:p w:rsidR="002678E3" w:rsidRPr="002678E3" w:rsidRDefault="002678E3" w:rsidP="00C65EA6">
            <w:pPr>
              <w:pStyle w:val="PullOutBoxBodyText"/>
            </w:pPr>
            <w:r w:rsidRPr="002678E3">
              <w:t>Provide $100 million over the 2016</w:t>
            </w:r>
            <w:r w:rsidRPr="002678E3">
              <w:noBreakHyphen/>
              <w:t>17 Budget forward estimates period to support the establishment of a Solar Communities program.  The program would replace the existing Solar Towns program and expand access to schools and other public institutions, and to greenfield community renewable projects, and allow funding for solar storage systems, solar photovoltaic systems, and solar hot water systems, with departmental expenses to be allocated in addition to the allocated amounts.</w:t>
            </w:r>
          </w:p>
          <w:p w:rsidR="002678E3" w:rsidRPr="002678E3" w:rsidRDefault="002678E3" w:rsidP="00C65EA6">
            <w:pPr>
              <w:pStyle w:val="PullOutBoxBodyText"/>
            </w:pPr>
            <w:r w:rsidRPr="002678E3">
              <w:t>The proposal would have effect from 1 September 2016.</w:t>
            </w:r>
          </w:p>
        </w:tc>
      </w:tr>
      <w:tr w:rsidR="002678E3" w:rsidRPr="002678E3" w:rsidTr="007208C6">
        <w:tc>
          <w:tcPr>
            <w:tcW w:w="3005" w:type="dxa"/>
          </w:tcPr>
          <w:p w:rsidR="002678E3" w:rsidRPr="002678E3" w:rsidRDefault="002678E3" w:rsidP="00C65EA6">
            <w:pPr>
              <w:pStyle w:val="PullOutBoxBodyText"/>
            </w:pPr>
            <w:r w:rsidRPr="002678E3">
              <w:t>Person/party requesting costing:</w:t>
            </w:r>
          </w:p>
        </w:tc>
        <w:tc>
          <w:tcPr>
            <w:tcW w:w="5335" w:type="dxa"/>
          </w:tcPr>
          <w:p w:rsidR="002678E3" w:rsidRPr="002678E3" w:rsidRDefault="002678E3" w:rsidP="00C65EA6">
            <w:pPr>
              <w:pStyle w:val="PullOutBoxBodyText"/>
            </w:pPr>
            <w:r w:rsidRPr="002678E3">
              <w:t>Senator Richard Di Natale, Australian Greens</w:t>
            </w:r>
          </w:p>
        </w:tc>
      </w:tr>
      <w:tr w:rsidR="002678E3" w:rsidRPr="002678E3" w:rsidTr="007208C6">
        <w:tc>
          <w:tcPr>
            <w:tcW w:w="3005" w:type="dxa"/>
          </w:tcPr>
          <w:p w:rsidR="002678E3" w:rsidRPr="002678E3" w:rsidRDefault="002678E3" w:rsidP="00C65EA6">
            <w:pPr>
              <w:pStyle w:val="PullOutBoxBodyText"/>
            </w:pPr>
            <w:r w:rsidRPr="002678E3">
              <w:t>Date of public release of policy:</w:t>
            </w:r>
          </w:p>
        </w:tc>
        <w:tc>
          <w:tcPr>
            <w:tcW w:w="5335" w:type="dxa"/>
          </w:tcPr>
          <w:p w:rsidR="002678E3" w:rsidRPr="002678E3" w:rsidRDefault="002678E3" w:rsidP="00C65EA6">
            <w:pPr>
              <w:pStyle w:val="PullOutBoxBodyText"/>
            </w:pPr>
            <w:r w:rsidRPr="002678E3">
              <w:t>5 June 2016</w:t>
            </w:r>
          </w:p>
          <w:p w:rsidR="002678E3" w:rsidRPr="002678E3" w:rsidRDefault="00E46526" w:rsidP="00C65EA6">
            <w:pPr>
              <w:pStyle w:val="PullOutBoxBodyText"/>
            </w:pPr>
            <w:hyperlink r:id="rId221" w:history="1">
              <w:r w:rsidR="002678E3" w:rsidRPr="002678E3">
                <w:rPr>
                  <w:color w:val="0000FF"/>
                  <w:u w:val="single"/>
                </w:rPr>
                <w:t>http://greens.org.au/community-renewables</w:t>
              </w:r>
            </w:hyperlink>
          </w:p>
        </w:tc>
      </w:tr>
      <w:tr w:rsidR="002678E3" w:rsidRPr="002678E3" w:rsidTr="007208C6">
        <w:tc>
          <w:tcPr>
            <w:tcW w:w="3005" w:type="dxa"/>
          </w:tcPr>
          <w:p w:rsidR="002678E3" w:rsidRPr="002678E3" w:rsidRDefault="002678E3" w:rsidP="00C65EA6">
            <w:pPr>
              <w:pStyle w:val="PullOutBoxBodyText"/>
            </w:pPr>
            <w:r w:rsidRPr="002678E3">
              <w:t>Date costing request received:</w:t>
            </w:r>
          </w:p>
        </w:tc>
        <w:tc>
          <w:tcPr>
            <w:tcW w:w="5335" w:type="dxa"/>
          </w:tcPr>
          <w:p w:rsidR="002678E3" w:rsidRPr="002678E3" w:rsidRDefault="002678E3" w:rsidP="00C65EA6">
            <w:pPr>
              <w:pStyle w:val="PullOutBoxBodyText"/>
            </w:pPr>
            <w:r w:rsidRPr="002678E3">
              <w:t>27 June 2016</w:t>
            </w:r>
          </w:p>
        </w:tc>
      </w:tr>
      <w:tr w:rsidR="002678E3" w:rsidRPr="002678E3" w:rsidTr="007208C6">
        <w:tc>
          <w:tcPr>
            <w:tcW w:w="3005" w:type="dxa"/>
          </w:tcPr>
          <w:p w:rsidR="002678E3" w:rsidRPr="002678E3" w:rsidRDefault="002678E3" w:rsidP="00C65EA6">
            <w:pPr>
              <w:pStyle w:val="PullOutBoxBodyText"/>
            </w:pPr>
            <w:r w:rsidRPr="002678E3">
              <w:t>Date costing completed:</w:t>
            </w:r>
          </w:p>
        </w:tc>
        <w:tc>
          <w:tcPr>
            <w:tcW w:w="5335" w:type="dxa"/>
          </w:tcPr>
          <w:p w:rsidR="002678E3" w:rsidRPr="002678E3" w:rsidRDefault="002678E3" w:rsidP="00C65EA6">
            <w:pPr>
              <w:pStyle w:val="PullOutBoxBodyText"/>
            </w:pPr>
            <w:r w:rsidRPr="002678E3">
              <w:t>28 June 2016</w:t>
            </w:r>
          </w:p>
        </w:tc>
      </w:tr>
      <w:tr w:rsidR="002678E3" w:rsidRPr="002678E3" w:rsidTr="007208C6">
        <w:tc>
          <w:tcPr>
            <w:tcW w:w="3005" w:type="dxa"/>
          </w:tcPr>
          <w:p w:rsidR="002678E3" w:rsidRPr="002678E3" w:rsidRDefault="002678E3" w:rsidP="00C65EA6">
            <w:pPr>
              <w:pStyle w:val="PullOutBoxBodyText"/>
            </w:pPr>
            <w:r w:rsidRPr="002678E3">
              <w:t>Expiry date for the costing:</w:t>
            </w:r>
          </w:p>
        </w:tc>
        <w:tc>
          <w:tcPr>
            <w:tcW w:w="5335" w:type="dxa"/>
          </w:tcPr>
          <w:p w:rsidR="002678E3" w:rsidRPr="002678E3" w:rsidRDefault="002678E3" w:rsidP="00C65EA6">
            <w:pPr>
              <w:pStyle w:val="PullOutBoxBodyText"/>
            </w:pPr>
            <w:r w:rsidRPr="002678E3">
              <w:t>Release of the next economic and fiscal outlook report</w:t>
            </w:r>
          </w:p>
        </w:tc>
      </w:tr>
    </w:tbl>
    <w:p w:rsidR="002678E3" w:rsidRPr="00905B06" w:rsidRDefault="002678E3" w:rsidP="00905B06">
      <w:pPr>
        <w:pStyle w:val="CostingsH7"/>
      </w:pPr>
      <w:r w:rsidRPr="00905B06">
        <w:t>Costing overview</w:t>
      </w:r>
    </w:p>
    <w:p w:rsidR="002678E3" w:rsidRPr="002678E3" w:rsidRDefault="002678E3" w:rsidP="00262F6D">
      <w:pPr>
        <w:pStyle w:val="BodyText"/>
      </w:pPr>
      <w:r w:rsidRPr="002678E3">
        <w:t>This proposal would be expected to decrease the fiscal and underlying cash balances by $265.1 million over the 2016-17 Budget forward estimates period.  This reflects a decrease in revenue of $3.5 million, and an increase of $255.6 million in administered expenses and an increase of $6.0 million in departmental expenses over this period.</w:t>
      </w:r>
    </w:p>
    <w:p w:rsidR="002678E3" w:rsidRPr="002678E3" w:rsidRDefault="002678E3" w:rsidP="00262F6D">
      <w:pPr>
        <w:pStyle w:val="BodyText"/>
      </w:pPr>
      <w:r w:rsidRPr="002678E3">
        <w:t xml:space="preserve">A breakdown of the financial implications over the 2016-17 Budget forward estimates period is provided at </w:t>
      </w:r>
      <w:r w:rsidRPr="002678E3">
        <w:rPr>
          <w:u w:val="single"/>
        </w:rPr>
        <w:t>Attachment A</w:t>
      </w:r>
      <w:r w:rsidRPr="002678E3">
        <w:t>.</w:t>
      </w:r>
    </w:p>
    <w:p w:rsidR="002678E3" w:rsidRPr="002678E3" w:rsidRDefault="002678E3" w:rsidP="00262F6D">
      <w:pPr>
        <w:pStyle w:val="BodyText"/>
      </w:pPr>
      <w:r w:rsidRPr="002678E3">
        <w:t>Components 1 and 2 would be expected to have ongoing financial implications beyond the 2016</w:t>
      </w:r>
      <w:r w:rsidRPr="002678E3">
        <w:noBreakHyphen/>
        <w:t>17 Budget forward estimates period.  The impact of the proposal in 2019</w:t>
      </w:r>
      <w:r w:rsidRPr="002678E3">
        <w:noBreakHyphen/>
        <w:t>20 is indicative of the ongoing impact of the proposal.</w:t>
      </w:r>
    </w:p>
    <w:p w:rsidR="002678E3" w:rsidRPr="002678E3" w:rsidRDefault="002678E3" w:rsidP="00262F6D">
      <w:pPr>
        <w:pStyle w:val="BodyText"/>
      </w:pPr>
      <w:r w:rsidRPr="002678E3">
        <w:t>The income tax exemption component of this costing is considered to be of low reliability.  It relies on a number of assumptions, and variations in assumptions may lead to a significant change in the estimated financial impact.</w:t>
      </w:r>
    </w:p>
    <w:p w:rsidR="002678E3" w:rsidRPr="002678E3" w:rsidRDefault="002678E3" w:rsidP="00262F6D">
      <w:pPr>
        <w:pStyle w:val="BodyText"/>
      </w:pPr>
      <w:r w:rsidRPr="002678E3">
        <w:t>The remaining components of this costing are considered to be of high reliability, as they have been estimated based on specified capped amounts.  However, no analysis has been undertaken to determine the adequacy of the prescribed funding amounts to achieve the objective of the proposal.</w:t>
      </w:r>
    </w:p>
    <w:p w:rsidR="002678E3" w:rsidRPr="002678E3" w:rsidRDefault="002678E3" w:rsidP="00905B06">
      <w:pPr>
        <w:pStyle w:val="Caption"/>
      </w:pPr>
      <w:r w:rsidRPr="002678E3">
        <w:t>Table 1: Financial implications (outturn prices)</w:t>
      </w:r>
      <w:r w:rsidRPr="002678E3">
        <w:rPr>
          <w:vertAlign w:val="superscript"/>
        </w:rPr>
        <w:t>(a)(b)</w:t>
      </w:r>
    </w:p>
    <w:tbl>
      <w:tblPr>
        <w:tblStyle w:val="TableGrid26"/>
        <w:tblW w:w="4993" w:type="pct"/>
        <w:tblLook w:val="04A0" w:firstRow="1" w:lastRow="0" w:firstColumn="1" w:lastColumn="0" w:noHBand="0" w:noVBand="1"/>
      </w:tblPr>
      <w:tblGrid>
        <w:gridCol w:w="2645"/>
        <w:gridCol w:w="1134"/>
        <w:gridCol w:w="1134"/>
        <w:gridCol w:w="1134"/>
        <w:gridCol w:w="1134"/>
        <w:gridCol w:w="1130"/>
      </w:tblGrid>
      <w:tr w:rsidR="002678E3" w:rsidRPr="002678E3" w:rsidTr="007208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2" w:type="pct"/>
            <w:vAlign w:val="center"/>
          </w:tcPr>
          <w:p w:rsidR="002678E3" w:rsidRPr="002678E3" w:rsidRDefault="002678E3" w:rsidP="002678E3">
            <w:pPr>
              <w:spacing w:line="240" w:lineRule="auto"/>
              <w:ind w:left="57" w:right="57"/>
              <w:rPr>
                <w:szCs w:val="20"/>
              </w:rPr>
            </w:pPr>
            <w:r w:rsidRPr="002678E3">
              <w:rPr>
                <w:szCs w:val="20"/>
              </w:rPr>
              <w:t>Impact on ($m)</w:t>
            </w:r>
          </w:p>
        </w:tc>
        <w:tc>
          <w:tcPr>
            <w:tcW w:w="682" w:type="pct"/>
            <w:vAlign w:val="center"/>
          </w:tcPr>
          <w:p w:rsidR="002678E3" w:rsidRPr="002678E3" w:rsidRDefault="002678E3" w:rsidP="002678E3">
            <w:pPr>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rPr>
                <w:szCs w:val="20"/>
              </w:rPr>
              <w:t>2016–17</w:t>
            </w:r>
          </w:p>
        </w:tc>
        <w:tc>
          <w:tcPr>
            <w:tcW w:w="682" w:type="pct"/>
            <w:vAlign w:val="center"/>
          </w:tcPr>
          <w:p w:rsidR="002678E3" w:rsidRPr="002678E3" w:rsidRDefault="002678E3" w:rsidP="002678E3">
            <w:pPr>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rPr>
                <w:szCs w:val="20"/>
              </w:rPr>
              <w:t>2017–18</w:t>
            </w:r>
          </w:p>
        </w:tc>
        <w:tc>
          <w:tcPr>
            <w:tcW w:w="682" w:type="pct"/>
            <w:vAlign w:val="center"/>
          </w:tcPr>
          <w:p w:rsidR="002678E3" w:rsidRPr="002678E3" w:rsidRDefault="002678E3" w:rsidP="002678E3">
            <w:pPr>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rPr>
                <w:szCs w:val="20"/>
              </w:rPr>
              <w:t>2018–19</w:t>
            </w:r>
          </w:p>
        </w:tc>
        <w:tc>
          <w:tcPr>
            <w:tcW w:w="682" w:type="pct"/>
            <w:vAlign w:val="center"/>
          </w:tcPr>
          <w:p w:rsidR="002678E3" w:rsidRPr="002678E3" w:rsidRDefault="002678E3" w:rsidP="002678E3">
            <w:pPr>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678E3">
              <w:rPr>
                <w:szCs w:val="20"/>
              </w:rPr>
              <w:t>2019–20</w:t>
            </w:r>
          </w:p>
        </w:tc>
        <w:tc>
          <w:tcPr>
            <w:tcW w:w="681" w:type="pct"/>
            <w:vAlign w:val="center"/>
          </w:tcPr>
          <w:p w:rsidR="002678E3" w:rsidRPr="002678E3" w:rsidRDefault="002678E3" w:rsidP="002678E3">
            <w:pPr>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678E3">
              <w:rPr>
                <w:b/>
                <w:szCs w:val="20"/>
              </w:rPr>
              <w:t>Total</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pct"/>
          </w:tcPr>
          <w:p w:rsidR="002678E3" w:rsidRPr="002678E3" w:rsidRDefault="002678E3" w:rsidP="002678E3">
            <w:pPr>
              <w:ind w:left="57" w:right="57"/>
              <w:rPr>
                <w:szCs w:val="20"/>
              </w:rPr>
            </w:pPr>
            <w:r w:rsidRPr="002678E3">
              <w:rPr>
                <w:szCs w:val="20"/>
              </w:rPr>
              <w:t>Fiscal balance</w:t>
            </w:r>
          </w:p>
        </w:tc>
        <w:tc>
          <w:tcPr>
            <w:tcW w:w="682" w:type="pct"/>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678E3">
              <w:rPr>
                <w:rFonts w:ascii="Calibri" w:hAnsi="Calibri"/>
                <w:color w:val="000000"/>
              </w:rPr>
              <w:t>-28.1</w:t>
            </w:r>
          </w:p>
        </w:tc>
        <w:tc>
          <w:tcPr>
            <w:tcW w:w="682" w:type="pct"/>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678E3">
              <w:rPr>
                <w:rFonts w:ascii="Calibri" w:hAnsi="Calibri"/>
                <w:color w:val="000000"/>
              </w:rPr>
              <w:t>-103.7</w:t>
            </w:r>
          </w:p>
        </w:tc>
        <w:tc>
          <w:tcPr>
            <w:tcW w:w="682" w:type="pct"/>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678E3">
              <w:rPr>
                <w:rFonts w:ascii="Calibri" w:hAnsi="Calibri"/>
                <w:color w:val="000000"/>
              </w:rPr>
              <w:t>-104.0</w:t>
            </w:r>
          </w:p>
        </w:tc>
        <w:tc>
          <w:tcPr>
            <w:tcW w:w="682" w:type="pct"/>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678E3">
              <w:rPr>
                <w:rFonts w:ascii="Calibri" w:hAnsi="Calibri"/>
                <w:color w:val="000000"/>
              </w:rPr>
              <w:t>-29.3</w:t>
            </w:r>
          </w:p>
        </w:tc>
        <w:tc>
          <w:tcPr>
            <w:tcW w:w="681" w:type="pct"/>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2678E3">
              <w:rPr>
                <w:rFonts w:ascii="Calibri" w:hAnsi="Calibri"/>
                <w:b/>
                <w:color w:val="000000"/>
              </w:rPr>
              <w:t>-265.1</w:t>
            </w:r>
          </w:p>
        </w:tc>
      </w:tr>
      <w:tr w:rsidR="002678E3" w:rsidRPr="002678E3" w:rsidTr="007208C6">
        <w:tc>
          <w:tcPr>
            <w:cnfStyle w:val="001000000000" w:firstRow="0" w:lastRow="0" w:firstColumn="1" w:lastColumn="0" w:oddVBand="0" w:evenVBand="0" w:oddHBand="0" w:evenHBand="0" w:firstRowFirstColumn="0" w:firstRowLastColumn="0" w:lastRowFirstColumn="0" w:lastRowLastColumn="0"/>
            <w:tcW w:w="1592" w:type="pct"/>
          </w:tcPr>
          <w:p w:rsidR="002678E3" w:rsidRPr="002678E3" w:rsidRDefault="002678E3" w:rsidP="002678E3">
            <w:pPr>
              <w:ind w:left="57" w:right="57"/>
              <w:rPr>
                <w:szCs w:val="20"/>
              </w:rPr>
            </w:pPr>
            <w:r w:rsidRPr="002678E3">
              <w:rPr>
                <w:szCs w:val="20"/>
              </w:rPr>
              <w:t>Underlying cash balance</w:t>
            </w:r>
          </w:p>
        </w:tc>
        <w:tc>
          <w:tcPr>
            <w:tcW w:w="682" w:type="pct"/>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678E3">
              <w:rPr>
                <w:rFonts w:ascii="Calibri" w:hAnsi="Calibri"/>
                <w:color w:val="000000"/>
              </w:rPr>
              <w:t>-28.1</w:t>
            </w:r>
          </w:p>
        </w:tc>
        <w:tc>
          <w:tcPr>
            <w:tcW w:w="682" w:type="pct"/>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678E3">
              <w:rPr>
                <w:rFonts w:ascii="Calibri" w:hAnsi="Calibri"/>
                <w:color w:val="000000"/>
              </w:rPr>
              <w:t>-103.7</w:t>
            </w:r>
          </w:p>
        </w:tc>
        <w:tc>
          <w:tcPr>
            <w:tcW w:w="682" w:type="pct"/>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678E3">
              <w:rPr>
                <w:rFonts w:ascii="Calibri" w:hAnsi="Calibri"/>
                <w:color w:val="000000"/>
              </w:rPr>
              <w:t>-104.0</w:t>
            </w:r>
          </w:p>
        </w:tc>
        <w:tc>
          <w:tcPr>
            <w:tcW w:w="682" w:type="pct"/>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678E3">
              <w:rPr>
                <w:rFonts w:ascii="Calibri" w:hAnsi="Calibri"/>
                <w:color w:val="000000"/>
              </w:rPr>
              <w:t>-29.3</w:t>
            </w:r>
          </w:p>
        </w:tc>
        <w:tc>
          <w:tcPr>
            <w:tcW w:w="681" w:type="pct"/>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2678E3">
              <w:rPr>
                <w:rFonts w:ascii="Calibri" w:hAnsi="Calibri"/>
                <w:b/>
                <w:color w:val="000000"/>
              </w:rPr>
              <w:t>-265.1</w:t>
            </w:r>
          </w:p>
        </w:tc>
      </w:tr>
    </w:tbl>
    <w:p w:rsidR="002678E3" w:rsidRPr="002678E3" w:rsidRDefault="002678E3" w:rsidP="000B5C96">
      <w:pPr>
        <w:pStyle w:val="Footnotes"/>
        <w:numPr>
          <w:ilvl w:val="0"/>
          <w:numId w:val="92"/>
        </w:numPr>
        <w:ind w:left="284" w:hanging="284"/>
      </w:pPr>
      <w:r w:rsidRPr="002678E3">
        <w:t>A positive number represents an increase in the relevant budget balance, a negative number represents a decrease.</w:t>
      </w:r>
    </w:p>
    <w:p w:rsidR="002678E3" w:rsidRPr="002678E3" w:rsidRDefault="002678E3" w:rsidP="000B5C96">
      <w:pPr>
        <w:pStyle w:val="Footnotes"/>
        <w:numPr>
          <w:ilvl w:val="0"/>
          <w:numId w:val="92"/>
        </w:numPr>
        <w:ind w:left="284" w:hanging="284"/>
      </w:pPr>
      <w:r w:rsidRPr="002678E3">
        <w:t>Figures may not sum to totals due to rounding.</w:t>
      </w:r>
    </w:p>
    <w:p w:rsidR="002678E3" w:rsidRPr="00905B06" w:rsidRDefault="002678E3" w:rsidP="00905B06">
      <w:pPr>
        <w:pStyle w:val="CostingsH7"/>
      </w:pPr>
      <w:r w:rsidRPr="00905B06">
        <w:t>Key assumptions</w:t>
      </w:r>
    </w:p>
    <w:p w:rsidR="002678E3" w:rsidRPr="002678E3" w:rsidRDefault="002678E3" w:rsidP="00262F6D">
      <w:pPr>
        <w:pStyle w:val="ListBullet"/>
        <w:rPr>
          <w:lang w:eastAsia="en-AU"/>
        </w:rPr>
      </w:pPr>
      <w:r w:rsidRPr="002678E3">
        <w:rPr>
          <w:lang w:eastAsia="en-AU"/>
        </w:rPr>
        <w:t xml:space="preserve">For the purpose of this costing, investment in CORE projects refers to investment in community entities that invest in renewable energy projects, as detailed in the Coalition for Community Energy’s </w:t>
      </w:r>
      <w:r w:rsidRPr="002678E3">
        <w:rPr>
          <w:i/>
          <w:lang w:eastAsia="en-AU"/>
        </w:rPr>
        <w:t>National Community Energy Strategy</w:t>
      </w:r>
      <w:r w:rsidRPr="002678E3">
        <w:rPr>
          <w:lang w:eastAsia="en-AU"/>
        </w:rPr>
        <w:t xml:space="preserve"> report.</w:t>
      </w:r>
    </w:p>
    <w:p w:rsidR="002678E3" w:rsidRPr="002678E3" w:rsidRDefault="002678E3" w:rsidP="00262F6D">
      <w:pPr>
        <w:pStyle w:val="ListBullet"/>
        <w:rPr>
          <w:lang w:eastAsia="en-AU"/>
        </w:rPr>
      </w:pPr>
      <w:r w:rsidRPr="002678E3">
        <w:rPr>
          <w:lang w:eastAsia="en-AU"/>
        </w:rPr>
        <w:t xml:space="preserve">Average household electricity consumption has been estimated based on the </w:t>
      </w:r>
      <w:r w:rsidRPr="002678E3">
        <w:rPr>
          <w:i/>
          <w:lang w:eastAsia="en-AU"/>
        </w:rPr>
        <w:t xml:space="preserve">Electricity bill benchmarks for residential customers </w:t>
      </w:r>
      <w:r w:rsidRPr="002678E3">
        <w:rPr>
          <w:lang w:eastAsia="en-AU"/>
        </w:rPr>
        <w:t xml:space="preserve">report by ACIL Allen Consulting and the </w:t>
      </w:r>
      <w:r w:rsidRPr="002678E3">
        <w:rPr>
          <w:i/>
          <w:lang w:eastAsia="en-AU"/>
        </w:rPr>
        <w:t>Australian electricity market analysis report to 2020 and 2030</w:t>
      </w:r>
      <w:r w:rsidRPr="002678E3">
        <w:rPr>
          <w:lang w:eastAsia="en-AU"/>
        </w:rPr>
        <w:t xml:space="preserve"> by the Commonwealth Scientific and Industrial Research Organisation (CSIRO).</w:t>
      </w:r>
    </w:p>
    <w:p w:rsidR="002678E3" w:rsidRPr="002678E3" w:rsidRDefault="002678E3" w:rsidP="00262F6D">
      <w:pPr>
        <w:pStyle w:val="ListBullet"/>
        <w:rPr>
          <w:lang w:eastAsia="en-AU"/>
        </w:rPr>
      </w:pPr>
      <w:r w:rsidRPr="002678E3">
        <w:rPr>
          <w:lang w:eastAsia="en-AU"/>
        </w:rPr>
        <w:t>The average return and number of investors for CORE projects has been estimated based on the Coalition for Community Energy National Community Energy Strategy report.</w:t>
      </w:r>
    </w:p>
    <w:p w:rsidR="002678E3" w:rsidRPr="002678E3" w:rsidRDefault="002678E3" w:rsidP="00262F6D">
      <w:pPr>
        <w:pStyle w:val="ListBullet"/>
        <w:rPr>
          <w:lang w:eastAsia="en-AU"/>
        </w:rPr>
      </w:pPr>
      <w:r w:rsidRPr="002678E3">
        <w:rPr>
          <w:lang w:eastAsia="en-AU"/>
        </w:rPr>
        <w:t>All investors in CORE projects are assumed to utilise the maximum tax exemption in each financial year.</w:t>
      </w:r>
    </w:p>
    <w:p w:rsidR="002678E3" w:rsidRPr="00905B06" w:rsidRDefault="002678E3" w:rsidP="00905B06">
      <w:pPr>
        <w:pStyle w:val="CostingsH7"/>
      </w:pPr>
      <w:r w:rsidRPr="00905B06">
        <w:t>Methodology</w:t>
      </w:r>
    </w:p>
    <w:p w:rsidR="002678E3" w:rsidRPr="002678E3" w:rsidRDefault="002678E3" w:rsidP="00262F6D">
      <w:pPr>
        <w:pStyle w:val="ListBullet"/>
        <w:rPr>
          <w:lang w:eastAsia="en-AU"/>
        </w:rPr>
      </w:pPr>
      <w:r w:rsidRPr="002678E3">
        <w:rPr>
          <w:lang w:eastAsia="en-AU"/>
        </w:rPr>
        <w:t>Exempt income for each financial year was estimated based on the number of investors, average household electricity consumption and average return per kilowatt hour.</w:t>
      </w:r>
    </w:p>
    <w:p w:rsidR="002678E3" w:rsidRPr="002678E3" w:rsidRDefault="002678E3" w:rsidP="00262F6D">
      <w:pPr>
        <w:pStyle w:val="ListBullet"/>
        <w:rPr>
          <w:lang w:eastAsia="en-AU"/>
        </w:rPr>
      </w:pPr>
      <w:r w:rsidRPr="002678E3">
        <w:rPr>
          <w:lang w:eastAsia="en-AU"/>
        </w:rPr>
        <w:t>An average marginal tax rate for investors in each financial year was estimated using a de</w:t>
      </w:r>
      <w:r w:rsidRPr="002678E3">
        <w:rPr>
          <w:lang w:eastAsia="en-AU"/>
        </w:rPr>
        <w:noBreakHyphen/>
        <w:t>identified 16 per cent sample of personal income tax and superannuation unit record files.</w:t>
      </w:r>
    </w:p>
    <w:p w:rsidR="002678E3" w:rsidRPr="002678E3" w:rsidRDefault="002678E3" w:rsidP="00262F6D">
      <w:pPr>
        <w:pStyle w:val="ListBullet"/>
        <w:rPr>
          <w:lang w:eastAsia="en-AU"/>
        </w:rPr>
      </w:pPr>
      <w:r w:rsidRPr="002678E3">
        <w:rPr>
          <w:lang w:eastAsia="en-AU"/>
        </w:rPr>
        <w:t>The financial implications for each financial year were then estimated by applying the average marginal tax rate to the exempt income.</w:t>
      </w:r>
    </w:p>
    <w:p w:rsidR="002678E3" w:rsidRPr="002678E3" w:rsidRDefault="002678E3" w:rsidP="00262F6D">
      <w:pPr>
        <w:pStyle w:val="ListBullet"/>
        <w:rPr>
          <w:lang w:eastAsia="en-AU"/>
        </w:rPr>
      </w:pPr>
      <w:r w:rsidRPr="002678E3">
        <w:rPr>
          <w:lang w:eastAsia="en-AU"/>
        </w:rPr>
        <w:t>This costing takes into account the timing of tax collections and the part-year effect of the proposal in 2016</w:t>
      </w:r>
      <w:r w:rsidRPr="002678E3">
        <w:rPr>
          <w:lang w:eastAsia="en-AU"/>
        </w:rPr>
        <w:noBreakHyphen/>
        <w:t>17.</w:t>
      </w:r>
    </w:p>
    <w:p w:rsidR="002678E3" w:rsidRPr="002678E3" w:rsidRDefault="002678E3" w:rsidP="00262F6D">
      <w:pPr>
        <w:pStyle w:val="ListBullet"/>
        <w:rPr>
          <w:lang w:eastAsia="en-AU"/>
        </w:rPr>
      </w:pPr>
      <w:r w:rsidRPr="002678E3">
        <w:rPr>
          <w:lang w:eastAsia="en-AU"/>
        </w:rPr>
        <w:t>Administered expenses are based on specified capped amounts.  Estimates for the Solar Communities component are based on an even distribution of the specified $100 million funding over each year of the 2016</w:t>
      </w:r>
      <w:r w:rsidRPr="002678E3">
        <w:rPr>
          <w:lang w:eastAsia="en-AU"/>
        </w:rPr>
        <w:noBreakHyphen/>
        <w:t>17 Budget forward estimates period.</w:t>
      </w:r>
    </w:p>
    <w:p w:rsidR="002678E3" w:rsidRPr="002678E3" w:rsidRDefault="002678E3" w:rsidP="00262F6D">
      <w:pPr>
        <w:pStyle w:val="ListBullet"/>
        <w:rPr>
          <w:lang w:eastAsia="en-AU"/>
        </w:rPr>
      </w:pPr>
      <w:r w:rsidRPr="002678E3">
        <w:rPr>
          <w:lang w:eastAsia="en-AU"/>
        </w:rPr>
        <w:t>Departmental expenses for the tax exemption component of the proposal have been estimated based on the expected ongoing administrative cost of compliance and determination of eligible entities for the tax exemption.</w:t>
      </w:r>
    </w:p>
    <w:p w:rsidR="002678E3" w:rsidRPr="002678E3" w:rsidRDefault="002678E3" w:rsidP="00262F6D">
      <w:pPr>
        <w:pStyle w:val="ListBullet"/>
        <w:rPr>
          <w:lang w:eastAsia="en-AU"/>
        </w:rPr>
      </w:pPr>
      <w:r w:rsidRPr="002678E3">
        <w:rPr>
          <w:lang w:eastAsia="en-AU"/>
        </w:rPr>
        <w:t>Departmental expenses for the community powerhouses, Solar Communities and Community Power Network components of the proposal have been estimated based on similar previous Budget measures.</w:t>
      </w:r>
    </w:p>
    <w:p w:rsidR="002678E3" w:rsidRPr="002678E3" w:rsidRDefault="002678E3" w:rsidP="00262F6D">
      <w:pPr>
        <w:pStyle w:val="ListBullet"/>
        <w:rPr>
          <w:lang w:eastAsia="en-AU"/>
        </w:rPr>
      </w:pPr>
      <w:r w:rsidRPr="002678E3">
        <w:rPr>
          <w:lang w:eastAsia="en-AU"/>
        </w:rPr>
        <w:t>Estimates have been rounded to the nearest $100,000.</w:t>
      </w:r>
    </w:p>
    <w:p w:rsidR="002678E3" w:rsidRPr="00905B06" w:rsidRDefault="002678E3" w:rsidP="00262F6D">
      <w:pPr>
        <w:pStyle w:val="CostingsH7"/>
      </w:pPr>
      <w:r w:rsidRPr="00905B06">
        <w:t>Data sources</w:t>
      </w:r>
    </w:p>
    <w:p w:rsidR="002678E3" w:rsidRPr="002678E3" w:rsidRDefault="002678E3" w:rsidP="00262F6D">
      <w:pPr>
        <w:pStyle w:val="ListBullet"/>
        <w:keepNext/>
        <w:rPr>
          <w:lang w:eastAsia="en-AU"/>
        </w:rPr>
      </w:pPr>
      <w:r w:rsidRPr="002678E3">
        <w:rPr>
          <w:lang w:eastAsia="en-AU"/>
        </w:rPr>
        <w:t>De-identified 16 per cent sample of personal income tax and superannuation unit record files for the 2012-13 financial year from the Australian Taxation Office.</w:t>
      </w:r>
    </w:p>
    <w:p w:rsidR="002678E3" w:rsidRPr="002678E3" w:rsidRDefault="002678E3" w:rsidP="00A4395C">
      <w:pPr>
        <w:pStyle w:val="ListBullet"/>
        <w:rPr>
          <w:lang w:eastAsia="en-AU"/>
        </w:rPr>
      </w:pPr>
      <w:r w:rsidRPr="00A4395C">
        <w:rPr>
          <w:i/>
          <w:lang w:eastAsia="en-AU"/>
        </w:rPr>
        <w:t>National Community Energy Strategy</w:t>
      </w:r>
      <w:r w:rsidRPr="002678E3">
        <w:rPr>
          <w:lang w:eastAsia="en-AU"/>
        </w:rPr>
        <w:t>, Coalition for Community Energy.</w:t>
      </w:r>
    </w:p>
    <w:p w:rsidR="002678E3" w:rsidRPr="002678E3" w:rsidRDefault="002678E3" w:rsidP="00A4395C">
      <w:pPr>
        <w:pStyle w:val="ListBullet"/>
        <w:rPr>
          <w:lang w:eastAsia="en-AU"/>
        </w:rPr>
      </w:pPr>
      <w:r w:rsidRPr="00A4395C">
        <w:rPr>
          <w:i/>
          <w:lang w:eastAsia="en-AU"/>
        </w:rPr>
        <w:t>Electricity bill benchmarks for residential customers</w:t>
      </w:r>
      <w:r w:rsidRPr="002678E3">
        <w:rPr>
          <w:lang w:eastAsia="en-AU"/>
        </w:rPr>
        <w:t xml:space="preserve"> – March 2015, ACIL Allen Consulting.</w:t>
      </w:r>
    </w:p>
    <w:p w:rsidR="002678E3" w:rsidRPr="002678E3" w:rsidRDefault="002678E3" w:rsidP="00A4395C">
      <w:pPr>
        <w:pStyle w:val="ListBullet"/>
        <w:rPr>
          <w:lang w:eastAsia="en-AU"/>
        </w:rPr>
      </w:pPr>
      <w:r w:rsidRPr="00A4395C">
        <w:rPr>
          <w:i/>
          <w:lang w:eastAsia="en-AU"/>
        </w:rPr>
        <w:t>Australian electricity market analysis report to 2020 and 2030</w:t>
      </w:r>
      <w:r w:rsidRPr="002678E3">
        <w:rPr>
          <w:lang w:eastAsia="en-AU"/>
        </w:rPr>
        <w:t>, CSIRO.</w:t>
      </w:r>
    </w:p>
    <w:p w:rsidR="002678E3" w:rsidRPr="002678E3" w:rsidRDefault="002678E3" w:rsidP="00A4395C">
      <w:pPr>
        <w:pStyle w:val="ListBullet"/>
        <w:rPr>
          <w:lang w:eastAsia="en-AU"/>
        </w:rPr>
      </w:pPr>
      <w:r w:rsidRPr="002678E3">
        <w:rPr>
          <w:lang w:eastAsia="en-AU"/>
        </w:rPr>
        <w:t>The Department of the Environment (DoE) provided information on funding for the Solar Towns program.</w:t>
      </w:r>
    </w:p>
    <w:p w:rsidR="002678E3" w:rsidRDefault="002678E3" w:rsidP="00A4395C">
      <w:pPr>
        <w:pStyle w:val="ListBullet"/>
        <w:rPr>
          <w:lang w:eastAsia="en-AU"/>
        </w:rPr>
      </w:pPr>
      <w:r w:rsidRPr="002678E3">
        <w:rPr>
          <w:lang w:eastAsia="en-AU"/>
        </w:rPr>
        <w:t>The Department of Finance provided indexation and efficiency dividend parameters.</w:t>
      </w:r>
    </w:p>
    <w:p w:rsidR="00CC1A0C" w:rsidRPr="002678E3" w:rsidRDefault="00CC1A0C" w:rsidP="00CC1A0C">
      <w:pPr>
        <w:pStyle w:val="ListBullet"/>
        <w:numPr>
          <w:ilvl w:val="0"/>
          <w:numId w:val="0"/>
        </w:numPr>
        <w:ind w:left="454" w:hanging="454"/>
        <w:rPr>
          <w:lang w:eastAsia="en-AU"/>
        </w:rPr>
        <w:sectPr w:rsidR="00CC1A0C" w:rsidRPr="002678E3" w:rsidSect="00A97AC4">
          <w:headerReference w:type="even" r:id="rId222"/>
          <w:headerReference w:type="default" r:id="rId223"/>
          <w:footerReference w:type="even" r:id="rId224"/>
          <w:footerReference w:type="default" r:id="rId225"/>
          <w:headerReference w:type="first" r:id="rId226"/>
          <w:footerReference w:type="first" r:id="rId227"/>
          <w:pgSz w:w="11907" w:h="16839"/>
          <w:pgMar w:top="1361" w:right="1797" w:bottom="1474" w:left="1797" w:header="283" w:footer="454" w:gutter="0"/>
          <w:cols w:space="708"/>
          <w:docGrid w:linePitch="360"/>
        </w:sectPr>
      </w:pPr>
    </w:p>
    <w:p w:rsidR="002678E3" w:rsidRPr="002678E3" w:rsidRDefault="002678E3" w:rsidP="007A4BF9">
      <w:pPr>
        <w:pStyle w:val="Heading6"/>
        <w:rPr>
          <w:rFonts w:eastAsia="Calibri"/>
        </w:rPr>
      </w:pPr>
      <w:r w:rsidRPr="002678E3">
        <w:rPr>
          <w:rFonts w:eastAsia="Calibri"/>
        </w:rPr>
        <w:t>Attachment A: Community Owned Clean Energy—financial implications</w:t>
      </w:r>
    </w:p>
    <w:p w:rsidR="002678E3" w:rsidRPr="002678E3" w:rsidRDefault="002678E3" w:rsidP="00905B06">
      <w:pPr>
        <w:pStyle w:val="Caption"/>
      </w:pPr>
      <w:r w:rsidRPr="002678E3">
        <w:t>Table A1: Community Owned Clean Energy (combined impact) —Financial implications (outturn prices)</w:t>
      </w:r>
      <w:r w:rsidRPr="002678E3">
        <w:rPr>
          <w:vertAlign w:val="superscript"/>
        </w:rPr>
        <w:t>(a)(b)</w:t>
      </w:r>
    </w:p>
    <w:tbl>
      <w:tblPr>
        <w:tblStyle w:val="TableGrid26"/>
        <w:tblW w:w="4995" w:type="pct"/>
        <w:tblInd w:w="5"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2678E3" w:rsidRPr="002678E3"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2678E3">
            <w:pPr>
              <w:keepNext/>
              <w:keepLines/>
              <w:spacing w:line="240" w:lineRule="auto"/>
              <w:ind w:left="57" w:right="57"/>
              <w:rPr>
                <w:b/>
                <w:szCs w:val="20"/>
              </w:rPr>
            </w:pPr>
            <w:r w:rsidRPr="002678E3">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2678E3">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678E3">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2678E3">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678E3">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2678E3">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678E3">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2678E3">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678E3">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2678E3">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2678E3">
              <w:rPr>
                <w:b/>
              </w:rPr>
              <w:t>Total to 2019–20</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2678E3" w:rsidRPr="002678E3" w:rsidRDefault="002678E3" w:rsidP="002678E3">
            <w:pPr>
              <w:keepNext/>
              <w:keepLines/>
              <w:ind w:left="57" w:right="57"/>
              <w:rPr>
                <w:b/>
              </w:rPr>
            </w:pPr>
            <w:r w:rsidRPr="002678E3">
              <w:rPr>
                <w:b/>
              </w:rPr>
              <w:t>Impact on fiscal and underlying cash balances</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2678E3" w:rsidRPr="002678E3" w:rsidRDefault="002678E3" w:rsidP="002678E3">
            <w:pPr>
              <w:keepNext/>
              <w:keepLines/>
              <w:ind w:left="57" w:right="57"/>
              <w:rPr>
                <w:b/>
              </w:rPr>
            </w:pPr>
            <w:r w:rsidRPr="002678E3">
              <w:rPr>
                <w:b/>
              </w:rPr>
              <w:t>Revenue</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ind w:left="57" w:right="57"/>
              <w:rPr>
                <w:color w:val="000000"/>
                <w:szCs w:val="20"/>
              </w:rPr>
            </w:pPr>
            <w:r w:rsidRPr="002678E3">
              <w:rPr>
                <w:color w:val="000000"/>
                <w:szCs w:val="20"/>
              </w:rPr>
              <w:t>Revenue</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 xml:space="preserve">-0.2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 xml:space="preserve">-0.8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 xml:space="preserve">-1.1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 xml:space="preserve">-1.4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szCs w:val="20"/>
              </w:rPr>
            </w:pPr>
            <w:r w:rsidRPr="002678E3">
              <w:rPr>
                <w:rFonts w:ascii="Calibri" w:hAnsi="Calibri"/>
                <w:b/>
                <w:i/>
                <w:iCs/>
                <w:color w:val="000000"/>
                <w:szCs w:val="20"/>
              </w:rPr>
              <w:t xml:space="preserve">-3.5 </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2678E3" w:rsidRPr="002678E3" w:rsidRDefault="002678E3" w:rsidP="002678E3">
            <w:pPr>
              <w:keepNext/>
              <w:keepLines/>
              <w:ind w:left="57" w:right="57"/>
              <w:rPr>
                <w:b/>
              </w:rPr>
            </w:pPr>
            <w:r w:rsidRPr="002678E3">
              <w:rPr>
                <w:b/>
              </w:rPr>
              <w:t>Expenses</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ind w:left="57" w:right="57"/>
              <w:rPr>
                <w:color w:val="000000"/>
                <w:szCs w:val="20"/>
              </w:rPr>
            </w:pPr>
            <w:r w:rsidRPr="002678E3">
              <w:rPr>
                <w:color w:val="000000"/>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2678E3">
              <w:rPr>
                <w:rFonts w:ascii="Calibri" w:hAnsi="Calibri"/>
                <w:i/>
                <w:iCs/>
                <w:color w:val="000000"/>
                <w:szCs w:val="20"/>
              </w:rPr>
              <w:t xml:space="preserve">-26.9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2678E3">
              <w:rPr>
                <w:rFonts w:ascii="Calibri" w:hAnsi="Calibri"/>
                <w:i/>
                <w:iCs/>
                <w:color w:val="000000"/>
                <w:szCs w:val="20"/>
              </w:rPr>
              <w:t xml:space="preserve">-100.9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2678E3">
              <w:rPr>
                <w:rFonts w:ascii="Calibri" w:hAnsi="Calibri"/>
                <w:i/>
                <w:iCs/>
                <w:color w:val="000000"/>
                <w:szCs w:val="20"/>
              </w:rPr>
              <w:t xml:space="preserve">-100.9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2678E3">
              <w:rPr>
                <w:rFonts w:ascii="Calibri" w:hAnsi="Calibri"/>
                <w:i/>
                <w:iCs/>
                <w:color w:val="000000"/>
                <w:szCs w:val="20"/>
              </w:rPr>
              <w:t xml:space="preserve">-26.9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b/>
                <w:i/>
                <w:iCs/>
                <w:color w:val="000000"/>
                <w:szCs w:val="20"/>
              </w:rPr>
            </w:pPr>
            <w:r w:rsidRPr="002678E3">
              <w:rPr>
                <w:rFonts w:ascii="Calibri" w:hAnsi="Calibri"/>
                <w:b/>
                <w:i/>
                <w:iCs/>
                <w:color w:val="000000"/>
                <w:szCs w:val="20"/>
              </w:rPr>
              <w:t xml:space="preserve">-255.6 </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ind w:left="57" w:right="57"/>
              <w:rPr>
                <w:color w:val="000000"/>
                <w:szCs w:val="20"/>
              </w:rPr>
            </w:pPr>
            <w:r w:rsidRPr="002678E3">
              <w:rPr>
                <w:color w:val="000000"/>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2678E3">
              <w:rPr>
                <w:rFonts w:ascii="Calibri" w:hAnsi="Calibri"/>
                <w:i/>
                <w:iCs/>
                <w:color w:val="000000"/>
                <w:szCs w:val="20"/>
              </w:rPr>
              <w:t xml:space="preserve">-1.0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2678E3">
              <w:rPr>
                <w:rFonts w:ascii="Calibri" w:hAnsi="Calibri"/>
                <w:i/>
                <w:iCs/>
                <w:color w:val="000000"/>
                <w:szCs w:val="20"/>
              </w:rPr>
              <w:t xml:space="preserve">-2.0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2678E3">
              <w:rPr>
                <w:rFonts w:ascii="Calibri" w:hAnsi="Calibri"/>
                <w:i/>
                <w:iCs/>
                <w:color w:val="000000"/>
                <w:szCs w:val="20"/>
              </w:rPr>
              <w:t xml:space="preserve">-2.0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2678E3">
              <w:rPr>
                <w:rFonts w:ascii="Calibri" w:hAnsi="Calibri"/>
                <w:i/>
                <w:iCs/>
                <w:color w:val="000000"/>
                <w:szCs w:val="20"/>
              </w:rPr>
              <w:t xml:space="preserve">-1.0 </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2678E3">
              <w:rPr>
                <w:rFonts w:ascii="Calibri" w:hAnsi="Calibri"/>
                <w:b/>
                <w:i/>
                <w:iCs/>
                <w:color w:val="000000"/>
                <w:szCs w:val="20"/>
              </w:rPr>
              <w:t xml:space="preserve">-6.0 </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ind w:left="57" w:right="57"/>
              <w:rPr>
                <w:b/>
                <w:bCs/>
                <w:color w:val="000000"/>
                <w:szCs w:val="20"/>
              </w:rPr>
            </w:pPr>
            <w:r w:rsidRPr="002678E3">
              <w:rPr>
                <w:b/>
                <w:bCs/>
                <w:color w:val="000000"/>
                <w:szCs w:val="20"/>
              </w:rPr>
              <w:t>Total expenses</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 xml:space="preserve">-27.9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 xml:space="preserve">-102.9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 xml:space="preserve">-102.9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 xml:space="preserve">-27.9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 xml:space="preserve">-261.6 </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ind w:left="57" w:right="57"/>
              <w:rPr>
                <w:b/>
                <w:bCs/>
                <w:color w:val="000000"/>
                <w:szCs w:val="20"/>
              </w:rPr>
            </w:pPr>
            <w:r w:rsidRPr="002678E3">
              <w:rPr>
                <w:b/>
                <w:bCs/>
                <w:color w:val="000000"/>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 xml:space="preserve">-28.1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 xml:space="preserve">-103.7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 xml:space="preserve">-104.0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 xml:space="preserve">-29.3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2678E3">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 xml:space="preserve">-265.1 </w:t>
            </w:r>
          </w:p>
        </w:tc>
      </w:tr>
    </w:tbl>
    <w:p w:rsidR="00736595" w:rsidRDefault="002678E3" w:rsidP="000B5C96">
      <w:pPr>
        <w:pStyle w:val="Footnotes"/>
        <w:numPr>
          <w:ilvl w:val="0"/>
          <w:numId w:val="93"/>
        </w:numPr>
        <w:ind w:left="284" w:hanging="284"/>
      </w:pPr>
      <w:r w:rsidRPr="00736595">
        <w:t>A positive number indicates an increase in revenue or decrease in expenses or net capital investment in accrual and cash terms.  A negative number indicates a decrease in revenue or an increase in expenses or net capital investment in accrual and cash terms.</w:t>
      </w:r>
    </w:p>
    <w:p w:rsidR="002678E3" w:rsidRPr="00736595" w:rsidRDefault="002678E3" w:rsidP="00892D28">
      <w:pPr>
        <w:pStyle w:val="Footnotes"/>
      </w:pPr>
      <w:r w:rsidRPr="00736595">
        <w:t>Figures may not sum to totals due to rounding.</w:t>
      </w:r>
    </w:p>
    <w:p w:rsidR="002678E3" w:rsidRPr="002678E3" w:rsidRDefault="002678E3" w:rsidP="000B5C96">
      <w:pPr>
        <w:pStyle w:val="Footnotes"/>
        <w:numPr>
          <w:ilvl w:val="0"/>
          <w:numId w:val="33"/>
        </w:numPr>
        <w:ind w:left="284" w:hanging="284"/>
      </w:pPr>
      <w:r w:rsidRPr="002678E3">
        <w:tab/>
        <w:t>Indicates nil.</w:t>
      </w:r>
    </w:p>
    <w:p w:rsidR="002678E3" w:rsidRPr="002678E3" w:rsidRDefault="002678E3" w:rsidP="00892D28">
      <w:pPr>
        <w:pStyle w:val="Caption"/>
      </w:pPr>
      <w:r w:rsidRPr="002678E3">
        <w:t>Table A2: Component 1: Introduction of tax breaks for investment in CORE and establishment of Community Powerhouses—Financial implications (outturn prices)</w:t>
      </w:r>
      <w:r w:rsidRPr="002678E3">
        <w:rPr>
          <w:vertAlign w:val="superscript"/>
        </w:rPr>
        <w:t>(a)(b)</w:t>
      </w:r>
    </w:p>
    <w:tbl>
      <w:tblPr>
        <w:tblStyle w:val="TableGrid26"/>
        <w:tblW w:w="4995" w:type="pct"/>
        <w:tblInd w:w="5"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2678E3" w:rsidRPr="002678E3"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rPr>
                <w:szCs w:val="20"/>
              </w:rPr>
            </w:pPr>
            <w:r w:rsidRPr="002678E3">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2678E3">
              <w:rPr>
                <w:b/>
              </w:rPr>
              <w:t>Total to 2019–20</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2678E3" w:rsidRPr="002678E3" w:rsidRDefault="002678E3" w:rsidP="00892D28">
            <w:pPr>
              <w:keepNext/>
              <w:keepLines/>
              <w:ind w:left="57" w:right="57"/>
              <w:rPr>
                <w:b/>
              </w:rPr>
            </w:pPr>
            <w:r w:rsidRPr="002678E3">
              <w:rPr>
                <w:b/>
              </w:rPr>
              <w:t>Impact on fiscal and underlying cash balances</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2678E3" w:rsidRPr="002678E3" w:rsidRDefault="002678E3" w:rsidP="00892D28">
            <w:pPr>
              <w:keepNext/>
              <w:keepLines/>
              <w:ind w:left="57" w:right="57"/>
              <w:rPr>
                <w:b/>
              </w:rPr>
            </w:pPr>
            <w:r w:rsidRPr="002678E3">
              <w:rPr>
                <w:b/>
              </w:rPr>
              <w:t>Revenue</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ind w:left="57" w:right="57"/>
              <w:rPr>
                <w:color w:val="000000"/>
                <w:szCs w:val="20"/>
              </w:rPr>
            </w:pPr>
            <w:r w:rsidRPr="002678E3">
              <w:rPr>
                <w:color w:val="000000"/>
                <w:szCs w:val="20"/>
              </w:rPr>
              <w:t>CORE income tax exemption</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-0.2</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-0.8</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-1.1</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-1.4</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szCs w:val="20"/>
              </w:rPr>
            </w:pPr>
            <w:r w:rsidRPr="002678E3">
              <w:rPr>
                <w:rFonts w:ascii="Calibri" w:hAnsi="Calibri"/>
                <w:b/>
                <w:i/>
                <w:iCs/>
                <w:color w:val="000000"/>
                <w:szCs w:val="20"/>
              </w:rPr>
              <w:t>-3.5</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2678E3" w:rsidRPr="002678E3" w:rsidRDefault="002678E3" w:rsidP="00892D28">
            <w:pPr>
              <w:keepNext/>
              <w:keepLines/>
              <w:ind w:left="57" w:right="57"/>
              <w:rPr>
                <w:b/>
              </w:rPr>
            </w:pPr>
            <w:r w:rsidRPr="002678E3">
              <w:rPr>
                <w:b/>
              </w:rPr>
              <w:t>Expenses</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ind w:left="57" w:right="57"/>
              <w:rPr>
                <w:color w:val="000000"/>
                <w:szCs w:val="20"/>
              </w:rPr>
            </w:pPr>
            <w:r w:rsidRPr="002678E3">
              <w:rPr>
                <w:color w:val="000000"/>
                <w:szCs w:val="20"/>
              </w:rPr>
              <w:t>Administered – Community Powerhouses</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-74.0</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-74.0</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szCs w:val="20"/>
              </w:rPr>
            </w:pPr>
            <w:r w:rsidRPr="002678E3">
              <w:rPr>
                <w:rFonts w:ascii="Calibri" w:hAnsi="Calibri"/>
                <w:b/>
                <w:i/>
                <w:iCs/>
                <w:color w:val="000000"/>
                <w:szCs w:val="20"/>
              </w:rPr>
              <w:t>-148.0</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ind w:left="57" w:right="57"/>
              <w:rPr>
                <w:color w:val="000000"/>
                <w:szCs w:val="20"/>
              </w:rPr>
            </w:pPr>
            <w:r w:rsidRPr="002678E3">
              <w:rPr>
                <w:color w:val="000000"/>
                <w:szCs w:val="20"/>
              </w:rPr>
              <w:t>Departmental – CORE – ATO</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-0.2</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-0.2</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-0.2</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-0.2</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2678E3">
              <w:rPr>
                <w:rFonts w:ascii="Calibri" w:hAnsi="Calibri"/>
                <w:b/>
                <w:i/>
                <w:iCs/>
                <w:color w:val="000000"/>
                <w:szCs w:val="20"/>
              </w:rPr>
              <w:t>-0.8</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ind w:left="57" w:right="57"/>
              <w:rPr>
                <w:color w:val="000000"/>
                <w:szCs w:val="20"/>
              </w:rPr>
            </w:pPr>
            <w:r w:rsidRPr="002678E3">
              <w:rPr>
                <w:color w:val="000000"/>
                <w:szCs w:val="20"/>
              </w:rPr>
              <w:t>Departmental – Community Powerhouses – DoE</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2678E3">
              <w:rPr>
                <w:rFonts w:ascii="Calibri" w:hAnsi="Calibri"/>
                <w:i/>
                <w:iCs/>
                <w:color w:val="000000"/>
                <w:szCs w:val="20"/>
              </w:rPr>
              <w:t>-1.0</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2678E3">
              <w:rPr>
                <w:rFonts w:ascii="Calibri" w:hAnsi="Calibri"/>
                <w:i/>
                <w:iCs/>
                <w:color w:val="000000"/>
                <w:szCs w:val="20"/>
              </w:rPr>
              <w:t>-1.0</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iCs/>
                <w:color w:val="000000"/>
                <w:szCs w:val="20"/>
              </w:rPr>
            </w:pPr>
            <w:r w:rsidRPr="002678E3">
              <w:rPr>
                <w:rFonts w:ascii="Calibri" w:hAnsi="Calibri"/>
                <w:b/>
                <w:i/>
                <w:iCs/>
                <w:color w:val="000000"/>
                <w:szCs w:val="20"/>
              </w:rPr>
              <w:t>-2.0</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ind w:left="57" w:right="57"/>
              <w:rPr>
                <w:b/>
                <w:bCs/>
                <w:color w:val="000000"/>
                <w:szCs w:val="20"/>
              </w:rPr>
            </w:pPr>
            <w:r w:rsidRPr="002678E3">
              <w:rPr>
                <w:b/>
                <w:bCs/>
                <w:color w:val="000000"/>
                <w:szCs w:val="20"/>
              </w:rPr>
              <w:t>Total expenses</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-0.2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-75.2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-75.2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-0.2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-150.8</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ind w:left="57" w:right="57"/>
              <w:rPr>
                <w:b/>
                <w:bCs/>
                <w:color w:val="000000"/>
                <w:szCs w:val="20"/>
              </w:rPr>
            </w:pPr>
            <w:r w:rsidRPr="002678E3">
              <w:rPr>
                <w:b/>
                <w:bCs/>
                <w:color w:val="000000"/>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-0.4</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-76.0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-76.3</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-1.6</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-154.3</w:t>
            </w:r>
          </w:p>
        </w:tc>
      </w:tr>
    </w:tbl>
    <w:p w:rsidR="002678E3" w:rsidRPr="00736595" w:rsidRDefault="002678E3" w:rsidP="000B5C96">
      <w:pPr>
        <w:pStyle w:val="Footnotes"/>
        <w:keepNext/>
        <w:keepLines/>
        <w:numPr>
          <w:ilvl w:val="0"/>
          <w:numId w:val="94"/>
        </w:numPr>
        <w:ind w:left="284" w:hanging="284"/>
      </w:pPr>
      <w:r w:rsidRPr="00736595">
        <w:t>A positive number indicates an increase in revenue or decrease in expenses or net capital investment in accrual and cash terms.  A negative number indicates a decrease in revenue or an increase in expenses or net capital investment in accrual and cash terms.</w:t>
      </w:r>
    </w:p>
    <w:p w:rsidR="002678E3" w:rsidRPr="002678E3" w:rsidRDefault="002678E3" w:rsidP="00892D28">
      <w:pPr>
        <w:pStyle w:val="Footnotes"/>
        <w:keepNext/>
        <w:keepLines/>
      </w:pPr>
      <w:r w:rsidRPr="002678E3">
        <w:t>Figures may not sum to totals due to rounding.</w:t>
      </w:r>
    </w:p>
    <w:p w:rsidR="002678E3" w:rsidRPr="002678E3" w:rsidRDefault="002678E3" w:rsidP="000B5C96">
      <w:pPr>
        <w:pStyle w:val="Footnotes"/>
        <w:numPr>
          <w:ilvl w:val="0"/>
          <w:numId w:val="33"/>
        </w:numPr>
        <w:ind w:left="284" w:hanging="284"/>
      </w:pPr>
      <w:r w:rsidRPr="002678E3">
        <w:tab/>
        <w:t>Indicates nil.</w:t>
      </w:r>
    </w:p>
    <w:p w:rsidR="002678E3" w:rsidRPr="002678E3" w:rsidRDefault="002678E3" w:rsidP="00892D28">
      <w:pPr>
        <w:pStyle w:val="Caption"/>
      </w:pPr>
      <w:r w:rsidRPr="002678E3">
        <w:t>Table A3: Component 2: Establishment of a Community Power Network—Financial implications (outturn prices)</w:t>
      </w:r>
      <w:r w:rsidRPr="002678E3">
        <w:rPr>
          <w:vertAlign w:val="superscript"/>
        </w:rPr>
        <w:t>(a)(b)</w:t>
      </w:r>
    </w:p>
    <w:tbl>
      <w:tblPr>
        <w:tblStyle w:val="TableGrid26"/>
        <w:tblW w:w="4995" w:type="pct"/>
        <w:tblInd w:w="5"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2678E3" w:rsidRPr="002678E3"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rPr>
                <w:szCs w:val="20"/>
              </w:rPr>
            </w:pPr>
            <w:r w:rsidRPr="002678E3">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2678E3">
              <w:rPr>
                <w:b/>
              </w:rPr>
              <w:t>Total to 2019–20</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2678E3" w:rsidRPr="002678E3" w:rsidRDefault="002678E3" w:rsidP="00892D28">
            <w:pPr>
              <w:keepNext/>
              <w:keepLines/>
              <w:ind w:left="57" w:right="57"/>
              <w:rPr>
                <w:b/>
              </w:rPr>
            </w:pPr>
            <w:r w:rsidRPr="002678E3">
              <w:rPr>
                <w:b/>
              </w:rPr>
              <w:t>Impact on fiscal and underlying cash balances</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2678E3" w:rsidRPr="002678E3" w:rsidRDefault="002678E3" w:rsidP="00892D28">
            <w:pPr>
              <w:keepNext/>
              <w:keepLines/>
              <w:ind w:left="57" w:right="57"/>
              <w:rPr>
                <w:b/>
              </w:rPr>
            </w:pPr>
            <w:r w:rsidRPr="002678E3">
              <w:rPr>
                <w:b/>
              </w:rPr>
              <w:t>Expenses</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ind w:left="57" w:right="57"/>
              <w:rPr>
                <w:color w:val="000000"/>
                <w:szCs w:val="20"/>
              </w:rPr>
            </w:pPr>
            <w:r w:rsidRPr="002678E3">
              <w:rPr>
                <w:color w:val="000000"/>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-1.9</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-1.9</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-1.9</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-1.9</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szCs w:val="20"/>
              </w:rPr>
            </w:pPr>
            <w:r w:rsidRPr="002678E3">
              <w:rPr>
                <w:rFonts w:ascii="Calibri" w:hAnsi="Calibri"/>
                <w:b/>
                <w:i/>
                <w:iCs/>
                <w:color w:val="000000"/>
                <w:szCs w:val="20"/>
              </w:rPr>
              <w:t>-7.6</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ind w:left="57" w:right="57"/>
              <w:rPr>
                <w:color w:val="000000"/>
                <w:szCs w:val="20"/>
              </w:rPr>
            </w:pPr>
            <w:r w:rsidRPr="002678E3">
              <w:rPr>
                <w:color w:val="000000"/>
                <w:szCs w:val="20"/>
              </w:rPr>
              <w:t>Departmental – DoE</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-0.1</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-0.1</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-0.1</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-0.1</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2678E3">
              <w:rPr>
                <w:rFonts w:ascii="Calibri" w:hAnsi="Calibri"/>
                <w:b/>
                <w:i/>
                <w:iCs/>
                <w:color w:val="000000"/>
                <w:szCs w:val="20"/>
              </w:rPr>
              <w:t>-0.4</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ind w:left="57" w:right="57"/>
              <w:rPr>
                <w:b/>
                <w:bCs/>
                <w:color w:val="000000"/>
                <w:szCs w:val="20"/>
              </w:rPr>
            </w:pPr>
            <w:r w:rsidRPr="002678E3">
              <w:rPr>
                <w:b/>
                <w:bCs/>
                <w:color w:val="000000"/>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-2.0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-2.0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-2.0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-2.0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color w:val="000000"/>
                <w:szCs w:val="20"/>
              </w:rPr>
              <w:t>-8.0</w:t>
            </w:r>
          </w:p>
        </w:tc>
      </w:tr>
    </w:tbl>
    <w:p w:rsidR="002678E3" w:rsidRPr="00736595" w:rsidRDefault="002678E3" w:rsidP="000B5C96">
      <w:pPr>
        <w:pStyle w:val="Footnotes"/>
        <w:keepNext/>
        <w:keepLines/>
        <w:numPr>
          <w:ilvl w:val="0"/>
          <w:numId w:val="95"/>
        </w:numPr>
        <w:ind w:left="284" w:hanging="284"/>
      </w:pPr>
      <w:r w:rsidRPr="00736595">
        <w:t>A positive number indicates an increase in revenue or decrease in expenses or net capital investment in accrual and cash terms.  A negative number indicates a decrease in revenue or an increase in expenses or net capital investment in accrual and cash terms.</w:t>
      </w:r>
    </w:p>
    <w:p w:rsidR="002678E3" w:rsidRPr="002678E3" w:rsidRDefault="002678E3" w:rsidP="00892D28">
      <w:pPr>
        <w:pStyle w:val="Footnotes"/>
        <w:keepNext/>
        <w:keepLines/>
      </w:pPr>
      <w:r w:rsidRPr="002678E3">
        <w:t>Figures may not sum to totals due to rounding.</w:t>
      </w:r>
    </w:p>
    <w:p w:rsidR="002678E3" w:rsidRPr="002678E3" w:rsidRDefault="002678E3" w:rsidP="000B5C96">
      <w:pPr>
        <w:pStyle w:val="Footnotes"/>
        <w:numPr>
          <w:ilvl w:val="0"/>
          <w:numId w:val="33"/>
        </w:numPr>
        <w:ind w:left="284" w:hanging="284"/>
      </w:pPr>
      <w:r w:rsidRPr="002678E3">
        <w:tab/>
        <w:t>Indicates nil.</w:t>
      </w:r>
    </w:p>
    <w:p w:rsidR="002678E3" w:rsidRPr="002678E3" w:rsidRDefault="002678E3" w:rsidP="00892D28">
      <w:pPr>
        <w:pStyle w:val="Caption"/>
      </w:pPr>
      <w:r w:rsidRPr="002678E3">
        <w:t>Table A4: Component 3: Replacement of existing Solar Towns program —Financial implications (outturn prices)</w:t>
      </w:r>
      <w:r w:rsidRPr="002678E3">
        <w:rPr>
          <w:vertAlign w:val="superscript"/>
        </w:rPr>
        <w:t>(a)(b)</w:t>
      </w:r>
    </w:p>
    <w:tbl>
      <w:tblPr>
        <w:tblStyle w:val="TableGrid26"/>
        <w:tblW w:w="4995" w:type="pct"/>
        <w:tblInd w:w="5"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2678E3" w:rsidRPr="002678E3"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rPr>
                <w:szCs w:val="20"/>
              </w:rPr>
            </w:pPr>
            <w:r w:rsidRPr="002678E3">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678E3">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2678E3" w:rsidRPr="002678E3" w:rsidRDefault="002678E3" w:rsidP="00892D28">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2678E3">
              <w:rPr>
                <w:b/>
              </w:rPr>
              <w:t>Total to 2019–20</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2678E3" w:rsidRPr="002678E3" w:rsidRDefault="002678E3" w:rsidP="00892D28">
            <w:pPr>
              <w:keepNext/>
              <w:keepLines/>
              <w:ind w:left="57" w:right="57"/>
              <w:rPr>
                <w:b/>
              </w:rPr>
            </w:pPr>
            <w:r w:rsidRPr="002678E3">
              <w:rPr>
                <w:b/>
              </w:rPr>
              <w:t>Impact on fiscal and underlying cash balances</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2678E3" w:rsidRPr="002678E3" w:rsidRDefault="002678E3" w:rsidP="00892D28">
            <w:pPr>
              <w:keepNext/>
              <w:keepLines/>
              <w:ind w:left="57" w:right="57"/>
              <w:rPr>
                <w:b/>
              </w:rPr>
            </w:pPr>
            <w:r w:rsidRPr="002678E3">
              <w:rPr>
                <w:b/>
              </w:rPr>
              <w:t>Expenses</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ind w:left="57" w:right="57"/>
              <w:rPr>
                <w:color w:val="000000"/>
                <w:szCs w:val="20"/>
              </w:rPr>
            </w:pPr>
            <w:r w:rsidRPr="002678E3">
              <w:rPr>
                <w:color w:val="000000"/>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-25.0</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-25.0</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-25.0</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-25.0</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szCs w:val="20"/>
              </w:rPr>
            </w:pPr>
            <w:r w:rsidRPr="002678E3">
              <w:rPr>
                <w:rFonts w:ascii="Calibri" w:hAnsi="Calibri"/>
                <w:b/>
                <w:i/>
                <w:iCs/>
                <w:color w:val="000000"/>
                <w:szCs w:val="20"/>
              </w:rPr>
              <w:t>-100.0</w:t>
            </w:r>
          </w:p>
        </w:tc>
      </w:tr>
      <w:tr w:rsidR="002678E3" w:rsidRPr="002678E3"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ind w:left="57" w:right="57"/>
              <w:rPr>
                <w:color w:val="000000"/>
                <w:szCs w:val="20"/>
              </w:rPr>
            </w:pPr>
            <w:r w:rsidRPr="002678E3">
              <w:rPr>
                <w:color w:val="000000"/>
                <w:szCs w:val="20"/>
              </w:rPr>
              <w:t>Departmental – DoE</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-0.7</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-0.7</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-0.7</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2678E3">
              <w:rPr>
                <w:rFonts w:ascii="Calibri" w:hAnsi="Calibri"/>
                <w:i/>
                <w:iCs/>
                <w:color w:val="000000"/>
                <w:szCs w:val="20"/>
              </w:rPr>
              <w:t>-0.7</w:t>
            </w:r>
          </w:p>
        </w:tc>
        <w:tc>
          <w:tcPr>
            <w:tcW w:w="682" w:type="pct"/>
            <w:tcBorders>
              <w:top w:val="single" w:sz="4" w:space="0" w:color="788184"/>
              <w:left w:val="single" w:sz="4" w:space="0" w:color="788184"/>
              <w:bottom w:val="single" w:sz="4" w:space="0" w:color="788184"/>
              <w:right w:val="single" w:sz="4" w:space="0" w:color="788184"/>
            </w:tcBorders>
          </w:tcPr>
          <w:p w:rsidR="002678E3" w:rsidRPr="002678E3" w:rsidRDefault="002678E3" w:rsidP="00892D28">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2678E3">
              <w:rPr>
                <w:rFonts w:ascii="Calibri" w:hAnsi="Calibri"/>
                <w:b/>
                <w:i/>
                <w:iCs/>
                <w:color w:val="000000"/>
                <w:szCs w:val="20"/>
              </w:rPr>
              <w:t>-2.8</w:t>
            </w:r>
          </w:p>
        </w:tc>
      </w:tr>
      <w:tr w:rsidR="002678E3" w:rsidRPr="002678E3"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ind w:left="57" w:right="57"/>
              <w:rPr>
                <w:b/>
                <w:bCs/>
                <w:color w:val="000000"/>
                <w:szCs w:val="20"/>
              </w:rPr>
            </w:pPr>
            <w:r w:rsidRPr="002678E3">
              <w:rPr>
                <w:b/>
                <w:bCs/>
                <w:color w:val="000000"/>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-25.7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-25.7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-25.7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-25.7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2678E3" w:rsidRPr="002678E3" w:rsidRDefault="002678E3" w:rsidP="00892D28">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2678E3">
              <w:rPr>
                <w:rFonts w:ascii="Calibri" w:hAnsi="Calibri"/>
                <w:b/>
                <w:bCs/>
                <w:noProof/>
                <w:color w:val="000000"/>
                <w:szCs w:val="20"/>
              </w:rPr>
              <w:t>-102.8</w:t>
            </w:r>
          </w:p>
        </w:tc>
      </w:tr>
    </w:tbl>
    <w:p w:rsidR="00627AE9" w:rsidRDefault="002678E3" w:rsidP="000B5C96">
      <w:pPr>
        <w:pStyle w:val="Footnotes"/>
        <w:keepNext/>
        <w:keepLines/>
        <w:numPr>
          <w:ilvl w:val="0"/>
          <w:numId w:val="96"/>
        </w:numPr>
        <w:ind w:left="284" w:hanging="284"/>
      </w:pPr>
      <w:r w:rsidRPr="00627AE9">
        <w:t>A positive number indicates an increase in revenue or decrease in expenses or net capital investment in accrual and cash terms.  A negative number indicates a decrease in revenue or an increase in expenses or net capital investment in accrual and cash terms.</w:t>
      </w:r>
      <w:r w:rsidR="00627AE9">
        <w:t xml:space="preserve"> </w:t>
      </w:r>
    </w:p>
    <w:p w:rsidR="002678E3" w:rsidRPr="00627AE9" w:rsidRDefault="002678E3" w:rsidP="00892D28">
      <w:pPr>
        <w:pStyle w:val="Footnotes"/>
        <w:keepNext/>
        <w:keepLines/>
      </w:pPr>
      <w:r w:rsidRPr="00627AE9">
        <w:t>Figures may not sum to totals due to rounding.</w:t>
      </w:r>
    </w:p>
    <w:p w:rsidR="002678E3" w:rsidRPr="002678E3" w:rsidRDefault="002678E3" w:rsidP="000B5C96">
      <w:pPr>
        <w:pStyle w:val="Footnotes"/>
        <w:numPr>
          <w:ilvl w:val="0"/>
          <w:numId w:val="33"/>
        </w:numPr>
        <w:ind w:left="284" w:hanging="284"/>
      </w:pPr>
      <w:r w:rsidRPr="002678E3">
        <w:tab/>
        <w:t>Indicates nil.</w:t>
      </w:r>
    </w:p>
    <w:p w:rsidR="007208C6" w:rsidRDefault="007208C6" w:rsidP="00892D28">
      <w:pPr>
        <w:pStyle w:val="Footnotes"/>
        <w:rPr>
          <w:sz w:val="22"/>
          <w:szCs w:val="22"/>
        </w:rPr>
        <w:sectPr w:rsidR="007208C6" w:rsidSect="002678E3">
          <w:pgSz w:w="11907" w:h="16839" w:code="9"/>
          <w:pgMar w:top="1361" w:right="1797" w:bottom="1474" w:left="1797" w:header="283" w:footer="454" w:gutter="0"/>
          <w:cols w:space="708"/>
          <w:docGrid w:linePitch="360"/>
        </w:sectPr>
      </w:pPr>
    </w:p>
    <w:p w:rsidR="007208C6" w:rsidRPr="007208C6" w:rsidRDefault="007208C6" w:rsidP="007A4BF9">
      <w:pPr>
        <w:pStyle w:val="Heading5"/>
      </w:pPr>
      <w:bookmarkStart w:id="94" w:name="_Toc455655097"/>
      <w:bookmarkStart w:id="95" w:name="_Toc456766806"/>
      <w:bookmarkStart w:id="96" w:name="_Toc457819900"/>
      <w:bookmarkStart w:id="97" w:name="_Toc458015790"/>
      <w:bookmarkStart w:id="98" w:name="_Toc458090629"/>
      <w:r w:rsidRPr="007208C6">
        <w:t>GRN023: Reducing Income Inequality</w:t>
      </w:r>
      <w:bookmarkEnd w:id="94"/>
      <w:bookmarkEnd w:id="95"/>
      <w:bookmarkEnd w:id="96"/>
      <w:bookmarkEnd w:id="97"/>
      <w:bookmarkEnd w:id="98"/>
    </w:p>
    <w:p w:rsidR="002678E3" w:rsidRDefault="007208C6" w:rsidP="007A4BF9">
      <w:pPr>
        <w:pStyle w:val="BodyText"/>
        <w:rPr>
          <w:rFonts w:ascii="Calibri" w:eastAsia="Calibri" w:hAnsi="Calibri"/>
        </w:rPr>
      </w:pPr>
      <w:r>
        <w:rPr>
          <w:noProof/>
          <w:lang w:eastAsia="en-AU"/>
        </w:rPr>
        <w:drawing>
          <wp:inline distT="0" distB="0" distL="0" distR="0" wp14:anchorId="4FA7569F" wp14:editId="61B2FACF">
            <wp:extent cx="2696845" cy="572135"/>
            <wp:effectExtent l="0" t="0" r="8255" b="0"/>
            <wp:docPr id="464" name="Picture 46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7208C6" w:rsidRPr="007208C6" w:rsidRDefault="007208C6" w:rsidP="007A4BF9">
      <w:pPr>
        <w:pStyle w:val="Heading6"/>
        <w:rPr>
          <w:rFonts w:eastAsia="Calibri"/>
        </w:rPr>
      </w:pPr>
      <w:r w:rsidRPr="007208C6">
        <w:rPr>
          <w:rFonts w:eastAsia="Calibri"/>
        </w:rPr>
        <w:t>Policy costing—during the caretaker period for the 2016 general election</w:t>
      </w:r>
    </w:p>
    <w:tbl>
      <w:tblPr>
        <w:tblStyle w:val="Style111"/>
        <w:tblW w:w="8340" w:type="dxa"/>
        <w:tblLook w:val="04A0" w:firstRow="1" w:lastRow="0" w:firstColumn="1" w:lastColumn="0" w:noHBand="0" w:noVBand="1"/>
      </w:tblPr>
      <w:tblGrid>
        <w:gridCol w:w="3005"/>
        <w:gridCol w:w="5335"/>
      </w:tblGrid>
      <w:tr w:rsidR="007208C6" w:rsidRPr="00AF49FE" w:rsidTr="007208C6">
        <w:trPr>
          <w:cnfStyle w:val="100000000000" w:firstRow="1" w:lastRow="0" w:firstColumn="0" w:lastColumn="0" w:oddVBand="0" w:evenVBand="0" w:oddHBand="0" w:evenHBand="0" w:firstRowFirstColumn="0" w:firstRowLastColumn="0" w:lastRowFirstColumn="0" w:lastRowLastColumn="0"/>
        </w:trPr>
        <w:tc>
          <w:tcPr>
            <w:tcW w:w="3005" w:type="dxa"/>
          </w:tcPr>
          <w:p w:rsidR="007208C6" w:rsidRPr="00AF49FE" w:rsidRDefault="007208C6" w:rsidP="00AF49FE">
            <w:pPr>
              <w:pStyle w:val="PullOutBoxHeading"/>
              <w:rPr>
                <w:b/>
                <w:sz w:val="22"/>
              </w:rPr>
            </w:pPr>
            <w:r w:rsidRPr="00AF49FE">
              <w:rPr>
                <w:b/>
                <w:sz w:val="22"/>
              </w:rPr>
              <w:t>Name of proposal:</w:t>
            </w:r>
          </w:p>
        </w:tc>
        <w:tc>
          <w:tcPr>
            <w:tcW w:w="5335" w:type="dxa"/>
          </w:tcPr>
          <w:p w:rsidR="007208C6" w:rsidRPr="00AF49FE" w:rsidRDefault="007208C6" w:rsidP="00AF49FE">
            <w:pPr>
              <w:pStyle w:val="PullOutBoxHeading"/>
              <w:rPr>
                <w:b/>
                <w:sz w:val="22"/>
              </w:rPr>
            </w:pPr>
            <w:r w:rsidRPr="00AF49FE">
              <w:rPr>
                <w:b/>
                <w:sz w:val="22"/>
              </w:rPr>
              <w:t>Reducing income inequality</w:t>
            </w:r>
          </w:p>
        </w:tc>
      </w:tr>
      <w:tr w:rsidR="007208C6" w:rsidRPr="00BD2867" w:rsidTr="007208C6">
        <w:tc>
          <w:tcPr>
            <w:tcW w:w="3005" w:type="dxa"/>
          </w:tcPr>
          <w:p w:rsidR="007208C6" w:rsidRPr="007208C6" w:rsidRDefault="007208C6" w:rsidP="00BD2867">
            <w:pPr>
              <w:pStyle w:val="PullOutBoxBodyText"/>
            </w:pPr>
            <w:r w:rsidRPr="007208C6">
              <w:t>Summary of proposal:</w:t>
            </w:r>
          </w:p>
        </w:tc>
        <w:tc>
          <w:tcPr>
            <w:tcW w:w="5335" w:type="dxa"/>
          </w:tcPr>
          <w:p w:rsidR="007208C6" w:rsidRPr="007208C6" w:rsidRDefault="007208C6" w:rsidP="00BD2867">
            <w:pPr>
              <w:pStyle w:val="PullOutBoxBodyText"/>
            </w:pPr>
            <w:r w:rsidRPr="007208C6">
              <w:t>This proposal has a number of components, with components 1 and 2 being increases to income support payments, component 3 being a reversal of earlier cuts to income support payments, and components 4 to 7 being a range of policies intended to strengthen the social safety net.</w:t>
            </w:r>
          </w:p>
          <w:p w:rsidR="007208C6" w:rsidRPr="00BD2867" w:rsidRDefault="007208C6" w:rsidP="00BD2867">
            <w:pPr>
              <w:pStyle w:val="PullOutBoxBodyText"/>
              <w:rPr>
                <w:u w:val="single"/>
              </w:rPr>
            </w:pPr>
            <w:r w:rsidRPr="00BD2867">
              <w:rPr>
                <w:u w:val="single"/>
              </w:rPr>
              <w:t xml:space="preserve">Component 1: Increase the rates of Newstart Allowance and Youth Allowance for single people </w:t>
            </w:r>
          </w:p>
          <w:p w:rsidR="007208C6" w:rsidRPr="007208C6" w:rsidRDefault="007208C6" w:rsidP="00BD2867">
            <w:pPr>
              <w:pStyle w:val="PullOutBoxBullet"/>
              <w:rPr>
                <w:lang w:eastAsia="en-AU"/>
              </w:rPr>
            </w:pPr>
            <w:r w:rsidRPr="007208C6">
              <w:rPr>
                <w:lang w:eastAsia="en-AU"/>
              </w:rPr>
              <w:t>Increase the single rates of Newstart Allowance (NSA) and independent Youth Allowance (YA) by $55 a week.</w:t>
            </w:r>
          </w:p>
          <w:p w:rsidR="007208C6" w:rsidRPr="007208C6" w:rsidRDefault="007208C6" w:rsidP="00BD2867">
            <w:pPr>
              <w:pStyle w:val="PullOutBoxBullet"/>
              <w:rPr>
                <w:lang w:eastAsia="en-AU"/>
              </w:rPr>
            </w:pPr>
            <w:r w:rsidRPr="007208C6">
              <w:rPr>
                <w:lang w:eastAsia="en-AU"/>
              </w:rPr>
              <w:t>Change the indexation arrangements for these payments from the Consumer Price Index (CPI) to the higher of the CPI, Male Total Average Weekly Earnings (MTAWE), or Pensioner and Beneficiary Cost of Living Index (PBCLI).</w:t>
            </w:r>
          </w:p>
          <w:p w:rsidR="007208C6" w:rsidRPr="007208C6" w:rsidRDefault="007208C6" w:rsidP="00BD2867">
            <w:pPr>
              <w:pStyle w:val="PullOutBoxBullet"/>
              <w:rPr>
                <w:lang w:eastAsia="en-AU"/>
              </w:rPr>
            </w:pPr>
            <w:r w:rsidRPr="007208C6">
              <w:rPr>
                <w:lang w:eastAsia="en-AU"/>
              </w:rPr>
              <w:t>Decrease the eligibility age to access NSA from 25 years to 22 years of age.</w:t>
            </w:r>
          </w:p>
          <w:p w:rsidR="007208C6" w:rsidRPr="00BD2867" w:rsidRDefault="007208C6" w:rsidP="00BD2867">
            <w:pPr>
              <w:pStyle w:val="PullOutBoxBodyText"/>
              <w:rPr>
                <w:u w:val="single"/>
              </w:rPr>
            </w:pPr>
            <w:r w:rsidRPr="00BD2867">
              <w:rPr>
                <w:u w:val="single"/>
              </w:rPr>
              <w:t>Component 2: Increase the Parenting Payment (Single)</w:t>
            </w:r>
          </w:p>
          <w:p w:rsidR="007208C6" w:rsidRPr="007208C6" w:rsidRDefault="007208C6" w:rsidP="00BD2867">
            <w:pPr>
              <w:pStyle w:val="PullOutBoxBullet"/>
              <w:rPr>
                <w:lang w:eastAsia="en-AU"/>
              </w:rPr>
            </w:pPr>
            <w:r w:rsidRPr="007208C6">
              <w:rPr>
                <w:lang w:eastAsia="en-AU"/>
              </w:rPr>
              <w:t>Increase the Parenting Payment (Single) (PPS) qualifying age of the youngest dependent child from eight to 16 years of age.</w:t>
            </w:r>
          </w:p>
          <w:p w:rsidR="007208C6" w:rsidRPr="00BD2867" w:rsidRDefault="007208C6" w:rsidP="00BD2867">
            <w:pPr>
              <w:pStyle w:val="PullOutBoxBodyText"/>
              <w:rPr>
                <w:u w:val="single"/>
              </w:rPr>
            </w:pPr>
            <w:r w:rsidRPr="00BD2867">
              <w:rPr>
                <w:u w:val="single"/>
              </w:rPr>
              <w:t>Component 3: Reverse Budget measures</w:t>
            </w:r>
          </w:p>
          <w:p w:rsidR="007208C6" w:rsidRPr="007208C6" w:rsidRDefault="007208C6" w:rsidP="00BD2867">
            <w:pPr>
              <w:pStyle w:val="PullOutBoxBullet"/>
              <w:rPr>
                <w:lang w:eastAsia="en-AU"/>
              </w:rPr>
            </w:pPr>
            <w:r w:rsidRPr="007208C6">
              <w:rPr>
                <w:lang w:eastAsia="en-AU"/>
              </w:rPr>
              <w:t>Reverse the 2014</w:t>
            </w:r>
            <w:r w:rsidRPr="007208C6">
              <w:rPr>
                <w:lang w:eastAsia="en-AU"/>
              </w:rPr>
              <w:noBreakHyphen/>
              <w:t xml:space="preserve">15 Budget measure </w:t>
            </w:r>
            <w:r w:rsidRPr="00BD2867">
              <w:rPr>
                <w:i/>
                <w:lang w:eastAsia="en-AU"/>
              </w:rPr>
              <w:t>Apply the One-Week Ordinary Waiting Period to all Working Age Payments</w:t>
            </w:r>
            <w:r w:rsidRPr="00AD37B9">
              <w:rPr>
                <w:lang w:eastAsia="en-AU"/>
              </w:rPr>
              <w:t xml:space="preserve"> </w:t>
            </w:r>
            <w:r w:rsidRPr="007208C6">
              <w:rPr>
                <w:lang w:eastAsia="en-AU"/>
              </w:rPr>
              <w:t>and the related 2015</w:t>
            </w:r>
            <w:r w:rsidRPr="007208C6">
              <w:rPr>
                <w:lang w:eastAsia="en-AU"/>
              </w:rPr>
              <w:noBreakHyphen/>
              <w:t xml:space="preserve">16 Budget measure </w:t>
            </w:r>
            <w:r w:rsidRPr="00BD2867">
              <w:rPr>
                <w:i/>
              </w:rPr>
              <w:t>Exclude Widow Allowance from the One</w:t>
            </w:r>
            <w:r w:rsidRPr="00BD2867">
              <w:rPr>
                <w:i/>
              </w:rPr>
              <w:noBreakHyphen/>
              <w:t>Week Ordinary Waiting Period for all Working Age Payments</w:t>
            </w:r>
            <w:r w:rsidRPr="007208C6">
              <w:rPr>
                <w:lang w:eastAsia="en-AU"/>
              </w:rPr>
              <w:t>.</w:t>
            </w:r>
          </w:p>
          <w:p w:rsidR="007208C6" w:rsidRPr="007208C6" w:rsidRDefault="007208C6" w:rsidP="00BD2867">
            <w:pPr>
              <w:pStyle w:val="PullOutBoxBullet"/>
              <w:rPr>
                <w:lang w:eastAsia="en-AU"/>
              </w:rPr>
            </w:pPr>
            <w:r w:rsidRPr="007208C6">
              <w:rPr>
                <w:lang w:eastAsia="en-AU"/>
              </w:rPr>
              <w:t xml:space="preserve">Reverse the relevant parts of the 2015-16 Budget measure </w:t>
            </w:r>
            <w:r w:rsidRPr="00BD2867">
              <w:rPr>
                <w:i/>
                <w:lang w:eastAsia="en-AU"/>
              </w:rPr>
              <w:t>Youth Employment Strategy – revised waiting period for youth income suppor</w:t>
            </w:r>
            <w:r w:rsidRPr="007208C6">
              <w:rPr>
                <w:lang w:eastAsia="en-AU"/>
              </w:rPr>
              <w:t>t to abolish the four week waiting period for young people to receive youth income support payments.</w:t>
            </w:r>
          </w:p>
          <w:p w:rsidR="007208C6" w:rsidRPr="007208C6" w:rsidRDefault="007208C6" w:rsidP="00FF2E93">
            <w:pPr>
              <w:pStyle w:val="PullOutBoxBullet"/>
              <w:spacing w:before="240"/>
              <w:rPr>
                <w:lang w:eastAsia="en-AU"/>
              </w:rPr>
            </w:pPr>
            <w:r w:rsidRPr="007208C6">
              <w:rPr>
                <w:lang w:eastAsia="en-AU"/>
              </w:rPr>
              <w:t xml:space="preserve">Reverse the 2014-15 Budget measure </w:t>
            </w:r>
            <w:r w:rsidRPr="00BD2867">
              <w:rPr>
                <w:i/>
                <w:lang w:eastAsia="en-AU"/>
              </w:rPr>
              <w:t>Maintain Eligibility thresholds for Australian Government payments for three years</w:t>
            </w:r>
            <w:r w:rsidRPr="007208C6">
              <w:rPr>
                <w:lang w:eastAsia="en-AU"/>
              </w:rPr>
              <w:t>.  (This includes the pause in indexation of the income threshold for PPS)</w:t>
            </w:r>
          </w:p>
          <w:p w:rsidR="007208C6" w:rsidRPr="007208C6" w:rsidRDefault="007208C6" w:rsidP="00BD2867">
            <w:pPr>
              <w:pStyle w:val="PullOutBoxBullet"/>
              <w:rPr>
                <w:lang w:eastAsia="en-AU"/>
              </w:rPr>
            </w:pPr>
            <w:r w:rsidRPr="007208C6">
              <w:rPr>
                <w:lang w:eastAsia="en-AU"/>
              </w:rPr>
              <w:t xml:space="preserve">Reverse in full the 2014-15 Mid-Year Economic and Fiscal Outlook (MYEFO) measure </w:t>
            </w:r>
            <w:r w:rsidRPr="00BD2867">
              <w:rPr>
                <w:i/>
                <w:lang w:eastAsia="en-AU"/>
              </w:rPr>
              <w:t>Cessation of social security benefits for certain people confined in a psychiatric institution</w:t>
            </w:r>
            <w:r w:rsidRPr="007208C6">
              <w:rPr>
                <w:lang w:eastAsia="en-AU"/>
              </w:rPr>
              <w:t>.</w:t>
            </w:r>
          </w:p>
          <w:p w:rsidR="007208C6" w:rsidRPr="00BD2867" w:rsidRDefault="007208C6" w:rsidP="00BD2867">
            <w:pPr>
              <w:pStyle w:val="PullOutBoxBodyText"/>
              <w:rPr>
                <w:u w:val="single"/>
              </w:rPr>
            </w:pPr>
            <w:r w:rsidRPr="00BD2867">
              <w:rPr>
                <w:u w:val="single"/>
              </w:rPr>
              <w:t>Component 4: Develop a National anti-poverty strategy</w:t>
            </w:r>
          </w:p>
          <w:p w:rsidR="007208C6" w:rsidRPr="007208C6" w:rsidRDefault="007208C6" w:rsidP="00BD2867">
            <w:pPr>
              <w:pStyle w:val="PullOutBoxBullet"/>
              <w:rPr>
                <w:lang w:eastAsia="en-AU"/>
              </w:rPr>
            </w:pPr>
            <w:r w:rsidRPr="007208C6">
              <w:rPr>
                <w:lang w:eastAsia="en-AU"/>
              </w:rPr>
              <w:t>Provide funding of $12 million over three years (indexed by the CPI) to develop a national anti</w:t>
            </w:r>
            <w:r w:rsidRPr="007208C6">
              <w:rPr>
                <w:lang w:eastAsia="en-AU"/>
              </w:rPr>
              <w:noBreakHyphen/>
              <w:t>poverty strategy.</w:t>
            </w:r>
          </w:p>
          <w:p w:rsidR="007208C6" w:rsidRPr="00BD2867" w:rsidRDefault="007208C6" w:rsidP="00BD2867">
            <w:pPr>
              <w:pStyle w:val="PullOutBoxBodyText"/>
              <w:rPr>
                <w:u w:val="single"/>
              </w:rPr>
            </w:pPr>
            <w:r w:rsidRPr="00BD2867">
              <w:rPr>
                <w:u w:val="single"/>
              </w:rPr>
              <w:t xml:space="preserve">Component 5: Abolish Work for the Dole </w:t>
            </w:r>
          </w:p>
          <w:p w:rsidR="007208C6" w:rsidRPr="007208C6" w:rsidRDefault="007208C6" w:rsidP="00BD2867">
            <w:pPr>
              <w:pStyle w:val="PullOutBoxBullet"/>
              <w:rPr>
                <w:lang w:eastAsia="en-AU"/>
              </w:rPr>
            </w:pPr>
            <w:r w:rsidRPr="007208C6">
              <w:rPr>
                <w:lang w:eastAsia="en-AU"/>
              </w:rPr>
              <w:t>Abolish Work for the Dole and redirect the savings to community based initiatives.</w:t>
            </w:r>
          </w:p>
          <w:p w:rsidR="007208C6" w:rsidRPr="00BD2867" w:rsidRDefault="007208C6" w:rsidP="00BD2867">
            <w:pPr>
              <w:pStyle w:val="PullOutBoxBodyText"/>
              <w:rPr>
                <w:u w:val="single"/>
              </w:rPr>
            </w:pPr>
            <w:r w:rsidRPr="00BD2867">
              <w:rPr>
                <w:u w:val="single"/>
              </w:rPr>
              <w:t>Component 6: Improve access to community services</w:t>
            </w:r>
          </w:p>
          <w:p w:rsidR="007208C6" w:rsidRPr="007208C6" w:rsidRDefault="007208C6" w:rsidP="00BD2867">
            <w:pPr>
              <w:pStyle w:val="PullOutBoxBullet"/>
              <w:rPr>
                <w:lang w:eastAsia="en-AU"/>
              </w:rPr>
            </w:pPr>
            <w:r w:rsidRPr="007208C6">
              <w:rPr>
                <w:lang w:eastAsia="en-AU"/>
              </w:rPr>
              <w:t>Provide an additional $200m over four years to boost funding to community services.</w:t>
            </w:r>
          </w:p>
          <w:p w:rsidR="007208C6" w:rsidRPr="007208C6" w:rsidRDefault="007208C6" w:rsidP="00517F2F">
            <w:pPr>
              <w:pStyle w:val="ListBullet"/>
              <w:rPr>
                <w:lang w:eastAsia="en-AU"/>
              </w:rPr>
            </w:pPr>
            <w:r w:rsidRPr="007208C6">
              <w:rPr>
                <w:lang w:eastAsia="en-AU"/>
              </w:rPr>
              <w:t xml:space="preserve">Provide $304 million over four years to offset the reduced funding from the 2014-15 Budget measure </w:t>
            </w:r>
            <w:r w:rsidRPr="007208C6">
              <w:rPr>
                <w:i/>
                <w:lang w:eastAsia="en-AU"/>
              </w:rPr>
              <w:t>Discretionary Grant Programme Reform.</w:t>
            </w:r>
          </w:p>
          <w:p w:rsidR="007208C6" w:rsidRPr="007208C6" w:rsidRDefault="007208C6" w:rsidP="00BD2867">
            <w:pPr>
              <w:pStyle w:val="PullOutBoxBullet"/>
              <w:rPr>
                <w:lang w:eastAsia="en-AU"/>
              </w:rPr>
            </w:pPr>
            <w:r w:rsidRPr="007208C6">
              <w:rPr>
                <w:lang w:eastAsia="en-AU"/>
              </w:rPr>
              <w:t>Provide $10.1 million over the forward estimates period to prepare a national access plan, including the mapping of services to community needs.</w:t>
            </w:r>
          </w:p>
          <w:p w:rsidR="007208C6" w:rsidRPr="00BD2867" w:rsidRDefault="007208C6" w:rsidP="00BD2867">
            <w:pPr>
              <w:pStyle w:val="PullOutBoxBodyText"/>
              <w:rPr>
                <w:u w:val="single"/>
              </w:rPr>
            </w:pPr>
            <w:r w:rsidRPr="00BD2867">
              <w:rPr>
                <w:u w:val="single"/>
              </w:rPr>
              <w:t>Component 7: Establish an Equity Commission</w:t>
            </w:r>
          </w:p>
          <w:p w:rsidR="007208C6" w:rsidRPr="007208C6" w:rsidRDefault="007208C6" w:rsidP="00BD2867">
            <w:pPr>
              <w:pStyle w:val="PullOutBoxBullet"/>
              <w:rPr>
                <w:lang w:eastAsia="en-AU"/>
              </w:rPr>
            </w:pPr>
            <w:r w:rsidRPr="007208C6">
              <w:rPr>
                <w:lang w:eastAsia="en-AU"/>
              </w:rPr>
              <w:t>Establish an ongoing Equity Commission (the Commission) consisting of approximately 30-36 staff.  The Commission would provide public advice to Government and the Parliament on living costs for various groups and household types - in particular, for income support recipients.</w:t>
            </w:r>
          </w:p>
          <w:p w:rsidR="007208C6" w:rsidRPr="007208C6" w:rsidRDefault="007208C6" w:rsidP="00BD2867">
            <w:pPr>
              <w:pStyle w:val="PullOutBoxBodyText"/>
            </w:pPr>
            <w:r w:rsidRPr="007208C6">
              <w:t>All components of this proposal would have effect from 1 September 2016.</w:t>
            </w:r>
          </w:p>
        </w:tc>
      </w:tr>
      <w:tr w:rsidR="007208C6" w:rsidRPr="007208C6" w:rsidTr="007208C6">
        <w:tc>
          <w:tcPr>
            <w:tcW w:w="3005" w:type="dxa"/>
          </w:tcPr>
          <w:p w:rsidR="007208C6" w:rsidRPr="007208C6" w:rsidRDefault="007208C6" w:rsidP="00BD2867">
            <w:pPr>
              <w:pStyle w:val="PullOutBoxBodyText"/>
            </w:pPr>
            <w:r w:rsidRPr="007208C6">
              <w:t>Person/party requesting costing:</w:t>
            </w:r>
          </w:p>
        </w:tc>
        <w:tc>
          <w:tcPr>
            <w:tcW w:w="5335" w:type="dxa"/>
          </w:tcPr>
          <w:p w:rsidR="007208C6" w:rsidRPr="007208C6" w:rsidRDefault="007208C6" w:rsidP="00BD2867">
            <w:pPr>
              <w:pStyle w:val="PullOutBoxBodyText"/>
            </w:pPr>
            <w:r w:rsidRPr="007208C6">
              <w:t>Senator Richard Di Natale, Australian Greens</w:t>
            </w:r>
          </w:p>
        </w:tc>
      </w:tr>
      <w:tr w:rsidR="007208C6" w:rsidRPr="007208C6" w:rsidTr="007208C6">
        <w:tc>
          <w:tcPr>
            <w:tcW w:w="3005" w:type="dxa"/>
          </w:tcPr>
          <w:p w:rsidR="007208C6" w:rsidRPr="007208C6" w:rsidRDefault="007208C6" w:rsidP="00BD2867">
            <w:pPr>
              <w:pStyle w:val="PullOutBoxBodyText"/>
            </w:pPr>
            <w:r w:rsidRPr="007208C6">
              <w:t>Date of public release of policy:</w:t>
            </w:r>
          </w:p>
        </w:tc>
        <w:tc>
          <w:tcPr>
            <w:tcW w:w="5335" w:type="dxa"/>
          </w:tcPr>
          <w:p w:rsidR="007208C6" w:rsidRPr="007208C6" w:rsidRDefault="007208C6" w:rsidP="00BD2867">
            <w:pPr>
              <w:pStyle w:val="PullOutBoxBodyText"/>
            </w:pPr>
            <w:r w:rsidRPr="007208C6">
              <w:t>10 June 2016</w:t>
            </w:r>
          </w:p>
          <w:p w:rsidR="007208C6" w:rsidRPr="007208C6" w:rsidRDefault="00E46526" w:rsidP="00BD2867">
            <w:pPr>
              <w:pStyle w:val="PullOutBoxBodyText"/>
            </w:pPr>
            <w:hyperlink r:id="rId228" w:history="1">
              <w:r w:rsidR="007208C6" w:rsidRPr="007208C6">
                <w:rPr>
                  <w:color w:val="0000FF"/>
                  <w:u w:val="single"/>
                </w:rPr>
                <w:t>http://rachel-siewert.greensmps.org.au/content/media-releases/everyone-deserves-fair-access-social-services-0</w:t>
              </w:r>
            </w:hyperlink>
            <w:r w:rsidR="007208C6" w:rsidRPr="007208C6">
              <w:t xml:space="preserve">; </w:t>
            </w:r>
            <w:hyperlink r:id="rId229" w:history="1">
              <w:r w:rsidR="007208C6" w:rsidRPr="007208C6">
                <w:rPr>
                  <w:color w:val="0000FF"/>
                  <w:u w:val="single"/>
                </w:rPr>
                <w:t>greens.org.au/inequality</w:t>
              </w:r>
            </w:hyperlink>
          </w:p>
        </w:tc>
      </w:tr>
      <w:tr w:rsidR="007208C6" w:rsidRPr="00BD2867" w:rsidTr="00517F2F">
        <w:tc>
          <w:tcPr>
            <w:tcW w:w="3005" w:type="dxa"/>
            <w:shd w:val="clear" w:color="auto" w:fill="FFFFFF" w:themeFill="background1"/>
          </w:tcPr>
          <w:p w:rsidR="007208C6" w:rsidRPr="00BD2867" w:rsidRDefault="007208C6" w:rsidP="00BD2867">
            <w:pPr>
              <w:pStyle w:val="PullOutBoxBodyText"/>
            </w:pPr>
            <w:r w:rsidRPr="00BD2867">
              <w:t>Date costing request received:</w:t>
            </w:r>
          </w:p>
        </w:tc>
        <w:tc>
          <w:tcPr>
            <w:tcW w:w="5335" w:type="dxa"/>
            <w:shd w:val="clear" w:color="auto" w:fill="FFFFFF" w:themeFill="background1"/>
          </w:tcPr>
          <w:p w:rsidR="007208C6" w:rsidRPr="00BD2867" w:rsidRDefault="007208C6" w:rsidP="00BD2867">
            <w:pPr>
              <w:pStyle w:val="PullOutBoxBodyText"/>
            </w:pPr>
            <w:r w:rsidRPr="00BD2867">
              <w:t>27 June 2016</w:t>
            </w:r>
          </w:p>
        </w:tc>
      </w:tr>
      <w:tr w:rsidR="007208C6" w:rsidRPr="007208C6" w:rsidTr="007208C6">
        <w:tc>
          <w:tcPr>
            <w:tcW w:w="3005" w:type="dxa"/>
          </w:tcPr>
          <w:p w:rsidR="007208C6" w:rsidRPr="007208C6" w:rsidRDefault="007208C6" w:rsidP="00FF2E93">
            <w:pPr>
              <w:pStyle w:val="PullOutBoxBodyText"/>
              <w:keepNext/>
              <w:keepLines/>
            </w:pPr>
            <w:r w:rsidRPr="007208C6">
              <w:t>Date costing completed:</w:t>
            </w:r>
          </w:p>
        </w:tc>
        <w:tc>
          <w:tcPr>
            <w:tcW w:w="5335" w:type="dxa"/>
          </w:tcPr>
          <w:p w:rsidR="007208C6" w:rsidRPr="007208C6" w:rsidRDefault="007208C6" w:rsidP="00FF2E93">
            <w:pPr>
              <w:pStyle w:val="PullOutBoxBodyText"/>
              <w:keepNext/>
              <w:keepLines/>
            </w:pPr>
            <w:r w:rsidRPr="007208C6">
              <w:t>29 June 2016</w:t>
            </w:r>
          </w:p>
        </w:tc>
      </w:tr>
      <w:tr w:rsidR="007208C6" w:rsidRPr="007208C6" w:rsidTr="007208C6">
        <w:tc>
          <w:tcPr>
            <w:tcW w:w="3005" w:type="dxa"/>
          </w:tcPr>
          <w:p w:rsidR="007208C6" w:rsidRPr="007208C6" w:rsidRDefault="007208C6" w:rsidP="00BD2867">
            <w:pPr>
              <w:pStyle w:val="PullOutBoxBodyText"/>
            </w:pPr>
            <w:r w:rsidRPr="007208C6">
              <w:t>Expiry date for the costing:</w:t>
            </w:r>
          </w:p>
        </w:tc>
        <w:tc>
          <w:tcPr>
            <w:tcW w:w="5335" w:type="dxa"/>
          </w:tcPr>
          <w:p w:rsidR="007208C6" w:rsidRPr="007208C6" w:rsidRDefault="007208C6" w:rsidP="00BD2867">
            <w:pPr>
              <w:pStyle w:val="PullOutBoxBodyText"/>
            </w:pPr>
            <w:r w:rsidRPr="007208C6">
              <w:t>Release of the next economic and fiscal outlook report</w:t>
            </w:r>
          </w:p>
        </w:tc>
      </w:tr>
    </w:tbl>
    <w:p w:rsidR="007208C6" w:rsidRPr="00905B06" w:rsidRDefault="007208C6" w:rsidP="00905B06">
      <w:pPr>
        <w:pStyle w:val="CostingsH7"/>
      </w:pPr>
      <w:r w:rsidRPr="00905B06">
        <w:t>Costing overview</w:t>
      </w:r>
    </w:p>
    <w:p w:rsidR="007208C6" w:rsidRPr="007208C6" w:rsidRDefault="007208C6" w:rsidP="00AF17F5">
      <w:pPr>
        <w:pStyle w:val="BodyText"/>
      </w:pPr>
      <w:r w:rsidRPr="007208C6">
        <w:t>This proposal would be expected to decrease the fiscal and underlying cash balances by $10,815.0 million over the 2016-17 Budget forward estimates period.  This impact reflects an increase in expenses of $11,175.0 million and an increase in revenue of $360.0 million over this period.</w:t>
      </w:r>
    </w:p>
    <w:p w:rsidR="007208C6" w:rsidRPr="007208C6" w:rsidRDefault="007208C6" w:rsidP="00AF17F5">
      <w:pPr>
        <w:pStyle w:val="BodyText"/>
      </w:pPr>
      <w:r w:rsidRPr="007208C6">
        <w:t>Components 1, 2, 3, and 7 would have ongoing financial impacts that extend beyond the 2016</w:t>
      </w:r>
      <w:r w:rsidRPr="007208C6">
        <w:noBreakHyphen/>
        <w:t>17 Budget forward estimates period.  These impacts would increase at a similar rate to the growth across the 2016</w:t>
      </w:r>
      <w:r w:rsidRPr="007208C6">
        <w:noBreakHyphen/>
        <w:t>17 Budget forward estimates period.</w:t>
      </w:r>
    </w:p>
    <w:p w:rsidR="007208C6" w:rsidRPr="007208C6" w:rsidRDefault="007208C6" w:rsidP="00AF17F5">
      <w:pPr>
        <w:pStyle w:val="BodyText"/>
        <w:rPr>
          <w:u w:val="single"/>
        </w:rPr>
      </w:pPr>
      <w:r w:rsidRPr="007208C6">
        <w:t xml:space="preserve">A detailed breakdown of the financial impacts of this proposal over the 2016-17 Budget forward estimates period for the total (Table A1) and by component (Tables A2-A8) is provided at </w:t>
      </w:r>
      <w:r w:rsidRPr="007208C6">
        <w:rPr>
          <w:u w:val="single"/>
        </w:rPr>
        <w:t>Attachment A.</w:t>
      </w:r>
    </w:p>
    <w:p w:rsidR="007208C6" w:rsidRPr="007208C6" w:rsidRDefault="007208C6" w:rsidP="00AF17F5">
      <w:pPr>
        <w:pStyle w:val="BodyText"/>
      </w:pPr>
      <w:r w:rsidRPr="007208C6">
        <w:t>Components 1 to 3 are considered to be of medium reliability as the Parliamentary Budget Office (PBO) has made assumptions about future growth in the number of income support payment recipients, their income, and other characteristics.</w:t>
      </w:r>
    </w:p>
    <w:p w:rsidR="007208C6" w:rsidRPr="007208C6" w:rsidRDefault="007208C6" w:rsidP="00AF17F5">
      <w:pPr>
        <w:pStyle w:val="BodyText"/>
      </w:pPr>
      <w:r w:rsidRPr="007208C6">
        <w:t>Components 4 to 6 are considered to be of high reliability as they are based on a specified capped amount or a reallocation of existing administered funding.</w:t>
      </w:r>
    </w:p>
    <w:p w:rsidR="007208C6" w:rsidRPr="007208C6" w:rsidRDefault="007208C6" w:rsidP="00AF17F5">
      <w:pPr>
        <w:pStyle w:val="BodyText"/>
      </w:pPr>
      <w:r w:rsidRPr="007208C6">
        <w:t>Component 7 is considered to be of medium reliability due to uncertainty surrounding whether the staffing resources are adequate to undertake the work of the Commission.</w:t>
      </w:r>
    </w:p>
    <w:p w:rsidR="007208C6" w:rsidRPr="007208C6" w:rsidRDefault="007208C6" w:rsidP="00905B06">
      <w:pPr>
        <w:pStyle w:val="Caption"/>
      </w:pPr>
      <w:r w:rsidRPr="007208C6">
        <w:t>Table 1: Financial implications (outturn prices)</w:t>
      </w:r>
      <w:r w:rsidRPr="007208C6">
        <w:rPr>
          <w:vertAlign w:val="superscript"/>
        </w:rPr>
        <w:t>(a)(b)</w:t>
      </w:r>
    </w:p>
    <w:tbl>
      <w:tblPr>
        <w:tblStyle w:val="TableGrid27"/>
        <w:tblW w:w="4993" w:type="pct"/>
        <w:tblLook w:val="04A0" w:firstRow="1" w:lastRow="0" w:firstColumn="1" w:lastColumn="0" w:noHBand="0" w:noVBand="1"/>
      </w:tblPr>
      <w:tblGrid>
        <w:gridCol w:w="2645"/>
        <w:gridCol w:w="1134"/>
        <w:gridCol w:w="1133"/>
        <w:gridCol w:w="1133"/>
        <w:gridCol w:w="1133"/>
        <w:gridCol w:w="1132"/>
      </w:tblGrid>
      <w:tr w:rsidR="007208C6" w:rsidRPr="007208C6" w:rsidTr="007208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7208C6" w:rsidRPr="007208C6" w:rsidRDefault="007208C6" w:rsidP="007208C6">
            <w:pPr>
              <w:keepNext/>
              <w:keepLines/>
              <w:spacing w:line="240" w:lineRule="auto"/>
              <w:ind w:left="57" w:right="57"/>
              <w:rPr>
                <w:szCs w:val="20"/>
              </w:rPr>
            </w:pPr>
            <w:r w:rsidRPr="007208C6">
              <w:rPr>
                <w:szCs w:val="20"/>
              </w:rPr>
              <w:t>Impact on ($m)</w:t>
            </w:r>
          </w:p>
        </w:tc>
        <w:tc>
          <w:tcPr>
            <w:tcW w:w="682" w:type="pct"/>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208C6">
              <w:rPr>
                <w:szCs w:val="20"/>
              </w:rPr>
              <w:t>2016–17</w:t>
            </w:r>
          </w:p>
        </w:tc>
        <w:tc>
          <w:tcPr>
            <w:tcW w:w="682" w:type="pct"/>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208C6">
              <w:rPr>
                <w:szCs w:val="20"/>
              </w:rPr>
              <w:t>2017–18</w:t>
            </w:r>
          </w:p>
        </w:tc>
        <w:tc>
          <w:tcPr>
            <w:tcW w:w="682" w:type="pct"/>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208C6">
              <w:rPr>
                <w:szCs w:val="20"/>
              </w:rPr>
              <w:t>2018–19</w:t>
            </w:r>
          </w:p>
        </w:tc>
        <w:tc>
          <w:tcPr>
            <w:tcW w:w="682" w:type="pct"/>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rPr>
                <w:szCs w:val="20"/>
              </w:rPr>
              <w:t>2019–20</w:t>
            </w:r>
          </w:p>
        </w:tc>
        <w:tc>
          <w:tcPr>
            <w:tcW w:w="681" w:type="pct"/>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rPr>
                <w:b/>
                <w:szCs w:val="20"/>
              </w:rPr>
              <w:t>Total</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7208C6" w:rsidRPr="007208C6" w:rsidRDefault="007208C6" w:rsidP="007208C6">
            <w:pPr>
              <w:keepNext/>
              <w:keepLines/>
              <w:ind w:left="57" w:right="57"/>
              <w:rPr>
                <w:szCs w:val="20"/>
              </w:rPr>
            </w:pPr>
            <w:r w:rsidRPr="007208C6">
              <w:rPr>
                <w:szCs w:val="20"/>
              </w:rPr>
              <w:t>Fiscal balance</w:t>
            </w:r>
          </w:p>
        </w:tc>
        <w:tc>
          <w:tcPr>
            <w:tcW w:w="682" w:type="pct"/>
          </w:tcPr>
          <w:p w:rsidR="007208C6" w:rsidRPr="007208C6" w:rsidRDefault="007208C6" w:rsidP="00E9722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7208C6">
              <w:rPr>
                <w:rFonts w:ascii="Calibri" w:hAnsi="Calibri"/>
                <w:bCs/>
                <w:color w:val="000000"/>
              </w:rPr>
              <w:t>-2,624.0</w:t>
            </w:r>
          </w:p>
        </w:tc>
        <w:tc>
          <w:tcPr>
            <w:tcW w:w="682" w:type="pct"/>
          </w:tcPr>
          <w:p w:rsidR="007208C6" w:rsidRPr="007208C6" w:rsidRDefault="007208C6" w:rsidP="00E9722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7208C6">
              <w:rPr>
                <w:rFonts w:ascii="Calibri" w:hAnsi="Calibri"/>
                <w:bCs/>
                <w:color w:val="000000"/>
              </w:rPr>
              <w:t>-2,746.0</w:t>
            </w:r>
          </w:p>
        </w:tc>
        <w:tc>
          <w:tcPr>
            <w:tcW w:w="682" w:type="pct"/>
          </w:tcPr>
          <w:p w:rsidR="007208C6" w:rsidRPr="007208C6" w:rsidRDefault="007208C6" w:rsidP="00E9722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7208C6">
              <w:rPr>
                <w:rFonts w:ascii="Calibri" w:hAnsi="Calibri"/>
                <w:bCs/>
                <w:color w:val="000000"/>
              </w:rPr>
              <w:t>-2,712.0</w:t>
            </w:r>
          </w:p>
        </w:tc>
        <w:tc>
          <w:tcPr>
            <w:tcW w:w="682" w:type="pct"/>
          </w:tcPr>
          <w:p w:rsidR="007208C6" w:rsidRPr="007208C6" w:rsidRDefault="007208C6" w:rsidP="00E9722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7208C6">
              <w:rPr>
                <w:rFonts w:ascii="Calibri" w:hAnsi="Calibri"/>
                <w:bCs/>
                <w:color w:val="000000"/>
              </w:rPr>
              <w:t>-2,733.0</w:t>
            </w:r>
          </w:p>
        </w:tc>
        <w:tc>
          <w:tcPr>
            <w:tcW w:w="681" w:type="pct"/>
          </w:tcPr>
          <w:p w:rsidR="007208C6" w:rsidRPr="007208C6" w:rsidRDefault="007208C6" w:rsidP="00E9722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7208C6">
              <w:rPr>
                <w:rFonts w:ascii="Calibri" w:hAnsi="Calibri"/>
                <w:b/>
                <w:bCs/>
                <w:color w:val="000000"/>
              </w:rPr>
              <w:t>-10,815.0</w:t>
            </w:r>
          </w:p>
        </w:tc>
      </w:tr>
      <w:tr w:rsidR="007208C6" w:rsidRPr="007208C6" w:rsidTr="007208C6">
        <w:tc>
          <w:tcPr>
            <w:cnfStyle w:val="001000000000" w:firstRow="0" w:lastRow="0" w:firstColumn="1" w:lastColumn="0" w:oddVBand="0" w:evenVBand="0" w:oddHBand="0" w:evenHBand="0" w:firstRowFirstColumn="0" w:firstRowLastColumn="0" w:lastRowFirstColumn="0" w:lastRowLastColumn="0"/>
            <w:tcW w:w="1591" w:type="pct"/>
          </w:tcPr>
          <w:p w:rsidR="007208C6" w:rsidRPr="007208C6" w:rsidRDefault="007208C6" w:rsidP="007208C6">
            <w:pPr>
              <w:keepNext/>
              <w:keepLines/>
              <w:ind w:left="57" w:right="57"/>
              <w:rPr>
                <w:szCs w:val="20"/>
              </w:rPr>
            </w:pPr>
            <w:r w:rsidRPr="007208C6">
              <w:rPr>
                <w:szCs w:val="20"/>
              </w:rPr>
              <w:t>Underlying cash balance</w:t>
            </w:r>
          </w:p>
        </w:tc>
        <w:tc>
          <w:tcPr>
            <w:tcW w:w="682" w:type="pct"/>
          </w:tcPr>
          <w:p w:rsidR="007208C6" w:rsidRPr="007208C6" w:rsidRDefault="007208C6" w:rsidP="00E9722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208C6">
              <w:rPr>
                <w:rFonts w:ascii="Calibri" w:hAnsi="Calibri"/>
                <w:bCs/>
                <w:color w:val="000000"/>
              </w:rPr>
              <w:t>-2,624.0</w:t>
            </w:r>
          </w:p>
        </w:tc>
        <w:tc>
          <w:tcPr>
            <w:tcW w:w="682" w:type="pct"/>
          </w:tcPr>
          <w:p w:rsidR="007208C6" w:rsidRPr="007208C6" w:rsidRDefault="007208C6" w:rsidP="00E9722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208C6">
              <w:rPr>
                <w:rFonts w:ascii="Calibri" w:hAnsi="Calibri"/>
                <w:bCs/>
                <w:color w:val="000000"/>
              </w:rPr>
              <w:t>-2,746.0</w:t>
            </w:r>
          </w:p>
        </w:tc>
        <w:tc>
          <w:tcPr>
            <w:tcW w:w="682" w:type="pct"/>
          </w:tcPr>
          <w:p w:rsidR="007208C6" w:rsidRPr="007208C6" w:rsidRDefault="007208C6" w:rsidP="00E9722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208C6">
              <w:rPr>
                <w:rFonts w:ascii="Calibri" w:hAnsi="Calibri"/>
                <w:bCs/>
                <w:color w:val="000000"/>
              </w:rPr>
              <w:t>-2,712.0</w:t>
            </w:r>
          </w:p>
        </w:tc>
        <w:tc>
          <w:tcPr>
            <w:tcW w:w="682" w:type="pct"/>
          </w:tcPr>
          <w:p w:rsidR="007208C6" w:rsidRPr="007208C6" w:rsidRDefault="007208C6" w:rsidP="00E9722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208C6">
              <w:rPr>
                <w:rFonts w:ascii="Calibri" w:hAnsi="Calibri"/>
                <w:bCs/>
                <w:color w:val="000000"/>
              </w:rPr>
              <w:t>-2,733.0</w:t>
            </w:r>
          </w:p>
        </w:tc>
        <w:tc>
          <w:tcPr>
            <w:tcW w:w="681" w:type="pct"/>
          </w:tcPr>
          <w:p w:rsidR="007208C6" w:rsidRPr="007208C6" w:rsidRDefault="007208C6" w:rsidP="00E9722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208C6">
              <w:rPr>
                <w:rFonts w:ascii="Calibri" w:hAnsi="Calibri"/>
                <w:b/>
                <w:bCs/>
                <w:color w:val="000000"/>
              </w:rPr>
              <w:t>-10,815.0</w:t>
            </w:r>
          </w:p>
        </w:tc>
      </w:tr>
    </w:tbl>
    <w:p w:rsidR="007208C6" w:rsidRPr="00AF137C" w:rsidRDefault="007208C6" w:rsidP="000B5C96">
      <w:pPr>
        <w:pStyle w:val="Footnotes"/>
        <w:numPr>
          <w:ilvl w:val="0"/>
          <w:numId w:val="97"/>
        </w:numPr>
        <w:ind w:left="284" w:hanging="284"/>
      </w:pPr>
      <w:r w:rsidRPr="00AF137C">
        <w:t>A positive number represents an increase in the relevant budget balance; a negative number represents a decrease.</w:t>
      </w:r>
    </w:p>
    <w:p w:rsidR="007208C6" w:rsidRPr="007208C6" w:rsidRDefault="007208C6" w:rsidP="000B5C96">
      <w:pPr>
        <w:pStyle w:val="Footnotes"/>
        <w:numPr>
          <w:ilvl w:val="0"/>
          <w:numId w:val="97"/>
        </w:numPr>
        <w:ind w:left="284" w:hanging="284"/>
      </w:pPr>
      <w:r w:rsidRPr="007208C6">
        <w:t>Figures may not sum to totals due to rounding.</w:t>
      </w:r>
    </w:p>
    <w:p w:rsidR="007208C6" w:rsidRPr="007208C6" w:rsidRDefault="007208C6" w:rsidP="00BD2867">
      <w:pPr>
        <w:pStyle w:val="CostingsH7"/>
        <w:rPr>
          <w:rFonts w:eastAsia="Calibri"/>
        </w:rPr>
      </w:pPr>
      <w:r w:rsidRPr="007208C6">
        <w:rPr>
          <w:rFonts w:eastAsia="Calibri"/>
        </w:rPr>
        <w:t>Key assumptions</w:t>
      </w:r>
    </w:p>
    <w:p w:rsidR="007208C6" w:rsidRPr="007208C6" w:rsidRDefault="007208C6" w:rsidP="007208C6">
      <w:pPr>
        <w:spacing w:before="114" w:after="114"/>
        <w:rPr>
          <w:rFonts w:ascii="Calibri" w:eastAsia="Calibri" w:hAnsi="Calibri" w:cs="Times New Roman"/>
          <w:u w:val="single"/>
        </w:rPr>
      </w:pPr>
      <w:r w:rsidRPr="007208C6">
        <w:rPr>
          <w:rFonts w:ascii="Calibri" w:eastAsia="Calibri" w:hAnsi="Calibri" w:cs="Times New Roman"/>
          <w:u w:val="single"/>
        </w:rPr>
        <w:t>Components 1</w:t>
      </w:r>
      <w:r w:rsidRPr="007208C6">
        <w:rPr>
          <w:rFonts w:ascii="Calibri" w:eastAsia="Calibri" w:hAnsi="Calibri" w:cs="Times New Roman"/>
          <w:u w:val="single"/>
        </w:rPr>
        <w:noBreakHyphen/>
        <w:t>2</w:t>
      </w:r>
    </w:p>
    <w:p w:rsidR="007208C6" w:rsidRPr="007208C6" w:rsidRDefault="007208C6" w:rsidP="00AF137C">
      <w:pPr>
        <w:pStyle w:val="ListBullet"/>
        <w:rPr>
          <w:lang w:eastAsia="en-AU"/>
        </w:rPr>
      </w:pPr>
      <w:r w:rsidRPr="007208C6">
        <w:rPr>
          <w:lang w:eastAsia="en-AU"/>
        </w:rPr>
        <w:t>The PBO has assumed that all single, principal carers currently receiving NSA would transfer to PPS.</w:t>
      </w:r>
    </w:p>
    <w:p w:rsidR="007208C6" w:rsidRPr="007208C6" w:rsidRDefault="007208C6" w:rsidP="00FF2E93">
      <w:pPr>
        <w:keepNext/>
        <w:keepLines/>
        <w:spacing w:before="114" w:after="114"/>
        <w:rPr>
          <w:rFonts w:ascii="Calibri" w:eastAsia="Calibri" w:hAnsi="Calibri" w:cs="Times New Roman"/>
          <w:u w:val="single"/>
        </w:rPr>
      </w:pPr>
      <w:r w:rsidRPr="007208C6">
        <w:rPr>
          <w:rFonts w:ascii="Calibri" w:eastAsia="Calibri" w:hAnsi="Calibri" w:cs="Times New Roman"/>
          <w:u w:val="single"/>
        </w:rPr>
        <w:t>Component 7</w:t>
      </w:r>
    </w:p>
    <w:p w:rsidR="007208C6" w:rsidRPr="007208C6" w:rsidRDefault="007208C6" w:rsidP="00FF2E93">
      <w:pPr>
        <w:pStyle w:val="ListBullet"/>
        <w:keepNext/>
        <w:rPr>
          <w:lang w:eastAsia="en-AU"/>
        </w:rPr>
      </w:pPr>
      <w:r w:rsidRPr="007208C6">
        <w:rPr>
          <w:lang w:eastAsia="en-AU"/>
        </w:rPr>
        <w:t>Staff of the Commission would progressively join the organisation, resulting in a half year impact on average in 2016-17.</w:t>
      </w:r>
    </w:p>
    <w:p w:rsidR="007208C6" w:rsidRPr="007208C6" w:rsidRDefault="007208C6" w:rsidP="00AF137C">
      <w:pPr>
        <w:pStyle w:val="ListBullet"/>
        <w:rPr>
          <w:lang w:eastAsia="en-AU"/>
        </w:rPr>
      </w:pPr>
      <w:r w:rsidRPr="007208C6">
        <w:rPr>
          <w:lang w:eastAsia="en-AU"/>
        </w:rPr>
        <w:t>Set-up costs for the Commission of $1.5 million would be required in 2016-17.</w:t>
      </w:r>
    </w:p>
    <w:p w:rsidR="007208C6" w:rsidRPr="00905B06" w:rsidRDefault="007208C6" w:rsidP="00905B06">
      <w:pPr>
        <w:pStyle w:val="CostingsH7"/>
      </w:pPr>
      <w:r w:rsidRPr="00905B06">
        <w:t>Methodology</w:t>
      </w:r>
    </w:p>
    <w:p w:rsidR="007208C6" w:rsidRPr="00AF17F5" w:rsidRDefault="007208C6" w:rsidP="00AF17F5">
      <w:pPr>
        <w:pStyle w:val="CostingsH8"/>
        <w:rPr>
          <w:rFonts w:eastAsia="Calibri"/>
          <w:b w:val="0"/>
          <w:color w:val="auto"/>
          <w:sz w:val="22"/>
          <w:szCs w:val="22"/>
          <w:u w:val="single"/>
        </w:rPr>
      </w:pPr>
      <w:r w:rsidRPr="00AF17F5">
        <w:rPr>
          <w:rFonts w:eastAsia="Calibri"/>
          <w:b w:val="0"/>
          <w:color w:val="auto"/>
          <w:sz w:val="22"/>
          <w:szCs w:val="22"/>
          <w:u w:val="single"/>
        </w:rPr>
        <w:t>Component 1</w:t>
      </w:r>
      <w:r w:rsidRPr="00AF17F5">
        <w:rPr>
          <w:rFonts w:eastAsia="Calibri"/>
          <w:b w:val="0"/>
          <w:color w:val="auto"/>
          <w:sz w:val="22"/>
          <w:szCs w:val="22"/>
          <w:u w:val="single"/>
        </w:rPr>
        <w:noBreakHyphen/>
        <w:t>2</w:t>
      </w:r>
    </w:p>
    <w:p w:rsidR="007208C6" w:rsidRPr="007208C6" w:rsidRDefault="007208C6" w:rsidP="00AF17F5">
      <w:pPr>
        <w:pStyle w:val="BodyText"/>
      </w:pPr>
      <w:r w:rsidRPr="007208C6">
        <w:t>Administered expenses for this component of the proposal were calculated by estimating changes in the number of recipients of affected entitlements (including NSA, PPS and YA) and multiplying this by the estimated change in payment rates under the proposal.</w:t>
      </w:r>
    </w:p>
    <w:p w:rsidR="007208C6" w:rsidRPr="007208C6" w:rsidRDefault="007208C6" w:rsidP="00AF17F5">
      <w:pPr>
        <w:pStyle w:val="BodyText"/>
      </w:pPr>
      <w:r w:rsidRPr="007208C6">
        <w:t>Departmental expenses were estimated based on the changes in the number of new recipients accessing the payments multiplied by the unit cost of administering the payments.</w:t>
      </w:r>
    </w:p>
    <w:p w:rsidR="007208C6" w:rsidRPr="007208C6" w:rsidRDefault="007208C6" w:rsidP="00AF17F5">
      <w:pPr>
        <w:pStyle w:val="BodyText"/>
      </w:pPr>
      <w:r w:rsidRPr="007208C6">
        <w:t>The change in recipients includes the transfer of all single, principal carers currently receiving NSA to the PPS.</w:t>
      </w:r>
    </w:p>
    <w:p w:rsidR="007208C6" w:rsidRPr="007208C6" w:rsidRDefault="007208C6" w:rsidP="00AF17F5">
      <w:pPr>
        <w:pStyle w:val="BodyText"/>
      </w:pPr>
      <w:r w:rsidRPr="007208C6">
        <w:t>Estimates of administered expenses and revenue have been rounded to the nearest $5 million.  Departmental expenses have been rounded to the nearest $1 million.</w:t>
      </w:r>
    </w:p>
    <w:p w:rsidR="007208C6" w:rsidRPr="00AF17F5" w:rsidRDefault="007208C6" w:rsidP="00AF17F5">
      <w:pPr>
        <w:pStyle w:val="CostingsH8"/>
        <w:rPr>
          <w:rFonts w:eastAsia="Calibri"/>
          <w:b w:val="0"/>
          <w:color w:val="auto"/>
          <w:sz w:val="22"/>
          <w:szCs w:val="22"/>
          <w:u w:val="single"/>
        </w:rPr>
      </w:pPr>
      <w:r w:rsidRPr="00AF17F5">
        <w:rPr>
          <w:rFonts w:eastAsia="Calibri"/>
          <w:b w:val="0"/>
          <w:color w:val="auto"/>
          <w:sz w:val="22"/>
          <w:szCs w:val="22"/>
          <w:u w:val="single"/>
        </w:rPr>
        <w:t>Component 3</w:t>
      </w:r>
    </w:p>
    <w:p w:rsidR="007208C6" w:rsidRPr="007208C6" w:rsidRDefault="007208C6" w:rsidP="00AF17F5">
      <w:pPr>
        <w:pStyle w:val="BodyText"/>
      </w:pPr>
      <w:r w:rsidRPr="007208C6">
        <w:t>This component of the costing was estimated by reversing the impact of related measures in the 2014-15 and 2015-16 Budgets and the 2014-15 MYEFO.</w:t>
      </w:r>
    </w:p>
    <w:p w:rsidR="007208C6" w:rsidRPr="007208C6" w:rsidRDefault="007208C6" w:rsidP="00AF17F5">
      <w:pPr>
        <w:pStyle w:val="BodyText"/>
      </w:pPr>
      <w:r w:rsidRPr="007208C6">
        <w:t>Estimates of administered and departmental expenses have been rounded to the nearest $5 million.</w:t>
      </w:r>
    </w:p>
    <w:p w:rsidR="007208C6" w:rsidRPr="00AF17F5" w:rsidRDefault="007208C6" w:rsidP="00AF17F5">
      <w:pPr>
        <w:pStyle w:val="CostingsH8"/>
        <w:rPr>
          <w:rFonts w:eastAsia="Calibri"/>
          <w:b w:val="0"/>
          <w:color w:val="auto"/>
          <w:sz w:val="22"/>
          <w:szCs w:val="22"/>
          <w:u w:val="single"/>
        </w:rPr>
      </w:pPr>
      <w:r w:rsidRPr="00AF17F5">
        <w:rPr>
          <w:rFonts w:eastAsia="Calibri"/>
          <w:b w:val="0"/>
          <w:color w:val="auto"/>
          <w:sz w:val="22"/>
          <w:szCs w:val="22"/>
          <w:u w:val="single"/>
        </w:rPr>
        <w:t>Component 4</w:t>
      </w:r>
    </w:p>
    <w:p w:rsidR="007208C6" w:rsidRPr="007208C6" w:rsidRDefault="007208C6" w:rsidP="00AF17F5">
      <w:pPr>
        <w:pStyle w:val="BodyText"/>
      </w:pPr>
      <w:r w:rsidRPr="007208C6">
        <w:t>Administered and departmental expenditure for this component of the proposal are as specified in the request.</w:t>
      </w:r>
    </w:p>
    <w:p w:rsidR="007208C6" w:rsidRPr="00AF17F5" w:rsidRDefault="007208C6" w:rsidP="00AF17F5">
      <w:pPr>
        <w:pStyle w:val="CostingsH8"/>
        <w:rPr>
          <w:rFonts w:eastAsia="Calibri"/>
          <w:b w:val="0"/>
          <w:color w:val="auto"/>
          <w:sz w:val="22"/>
          <w:szCs w:val="22"/>
          <w:u w:val="single"/>
        </w:rPr>
      </w:pPr>
      <w:r w:rsidRPr="00AF17F5">
        <w:rPr>
          <w:rFonts w:eastAsia="Calibri"/>
          <w:b w:val="0"/>
          <w:color w:val="auto"/>
          <w:sz w:val="22"/>
          <w:szCs w:val="22"/>
          <w:u w:val="single"/>
        </w:rPr>
        <w:t>Component 5</w:t>
      </w:r>
    </w:p>
    <w:p w:rsidR="007208C6" w:rsidRPr="007208C6" w:rsidRDefault="007208C6" w:rsidP="00AF17F5">
      <w:pPr>
        <w:pStyle w:val="BodyText"/>
      </w:pPr>
      <w:r w:rsidRPr="007208C6">
        <w:t>This component of the costing has been based on total funding for the Work for the Dole Scheme.</w:t>
      </w:r>
    </w:p>
    <w:p w:rsidR="007208C6" w:rsidRPr="00AF17F5" w:rsidRDefault="007208C6" w:rsidP="00AF17F5">
      <w:pPr>
        <w:pStyle w:val="CostingsH8"/>
        <w:rPr>
          <w:rFonts w:eastAsia="Calibri"/>
          <w:b w:val="0"/>
          <w:color w:val="auto"/>
          <w:sz w:val="22"/>
          <w:szCs w:val="22"/>
          <w:u w:val="single"/>
        </w:rPr>
      </w:pPr>
      <w:r w:rsidRPr="00AF17F5">
        <w:rPr>
          <w:rFonts w:eastAsia="Calibri"/>
          <w:b w:val="0"/>
          <w:color w:val="auto"/>
          <w:sz w:val="22"/>
          <w:szCs w:val="22"/>
          <w:u w:val="single"/>
        </w:rPr>
        <w:t>Component 6</w:t>
      </w:r>
    </w:p>
    <w:p w:rsidR="007208C6" w:rsidRPr="007208C6" w:rsidRDefault="007208C6" w:rsidP="00AF17F5">
      <w:pPr>
        <w:pStyle w:val="BodyText"/>
      </w:pPr>
      <w:r w:rsidRPr="007208C6">
        <w:t>Departmental expenditure estimates for preparing the National Access Plan were based on annual funding provided for the Australia’s Future Tax System</w:t>
      </w:r>
      <w:r w:rsidR="00895C1D">
        <w:t xml:space="preserve"> review ($10 million) over four </w:t>
      </w:r>
      <w:r w:rsidRPr="007208C6">
        <w:t>years using the net effect of the appropriate indexation parameter and the efficiency dividend.</w:t>
      </w:r>
    </w:p>
    <w:p w:rsidR="007208C6" w:rsidRPr="007208C6" w:rsidRDefault="007208C6" w:rsidP="00AF17F5">
      <w:pPr>
        <w:pStyle w:val="BodyText"/>
      </w:pPr>
      <w:r w:rsidRPr="007208C6">
        <w:t>Administered expenditure for increased funding for community grants is as specified in the request; $504 million ($200 million in additional funding plus $304 million from redirected funding).</w:t>
      </w:r>
    </w:p>
    <w:p w:rsidR="007208C6" w:rsidRPr="007208C6" w:rsidRDefault="007208C6" w:rsidP="00AF17F5">
      <w:pPr>
        <w:pStyle w:val="BodyText"/>
      </w:pPr>
      <w:r w:rsidRPr="007208C6">
        <w:t>Departmental expenditure estimates relating to the additional community grants were estimated from similar programs and account for the net effect of indexation parameters and the efficiency dividend, in accordance with the Department of Finance costing practices.</w:t>
      </w:r>
    </w:p>
    <w:p w:rsidR="007208C6" w:rsidRPr="00AF17F5" w:rsidRDefault="007208C6" w:rsidP="00AF17F5">
      <w:pPr>
        <w:pStyle w:val="CostingsH8"/>
        <w:rPr>
          <w:rFonts w:eastAsia="Calibri"/>
          <w:b w:val="0"/>
          <w:color w:val="auto"/>
          <w:sz w:val="22"/>
          <w:szCs w:val="22"/>
          <w:u w:val="single"/>
        </w:rPr>
      </w:pPr>
      <w:r w:rsidRPr="00AF17F5">
        <w:rPr>
          <w:rFonts w:eastAsia="Calibri"/>
          <w:b w:val="0"/>
          <w:color w:val="auto"/>
          <w:sz w:val="22"/>
          <w:szCs w:val="22"/>
          <w:u w:val="single"/>
        </w:rPr>
        <w:t>Component 7</w:t>
      </w:r>
    </w:p>
    <w:p w:rsidR="007208C6" w:rsidRPr="007208C6" w:rsidRDefault="007208C6" w:rsidP="00AF17F5">
      <w:pPr>
        <w:pStyle w:val="BodyText"/>
        <w:rPr>
          <w:rFonts w:ascii="Cambria" w:hAnsi="Cambria"/>
          <w:bCs/>
          <w:iCs/>
          <w:color w:val="2B3B5F"/>
          <w:kern w:val="20"/>
          <w:sz w:val="28"/>
          <w:szCs w:val="28"/>
        </w:rPr>
      </w:pPr>
      <w:r w:rsidRPr="007208C6">
        <w:t>The PBO used a standard departmental costing model and published information on the remuneration of public office holders of the Productivity Commission to estimate the financial impact of this proposal.</w:t>
      </w:r>
    </w:p>
    <w:p w:rsidR="007208C6" w:rsidRPr="00905B06" w:rsidRDefault="007208C6" w:rsidP="00905B06">
      <w:pPr>
        <w:pStyle w:val="CostingsH7"/>
      </w:pPr>
      <w:r w:rsidRPr="00905B06">
        <w:t>Data sources</w:t>
      </w:r>
    </w:p>
    <w:p w:rsidR="007208C6" w:rsidRPr="007208C6" w:rsidRDefault="007208C6" w:rsidP="00AF137C">
      <w:pPr>
        <w:pStyle w:val="ListBullet"/>
        <w:rPr>
          <w:lang w:eastAsia="en-AU"/>
        </w:rPr>
      </w:pPr>
      <w:r w:rsidRPr="007208C6">
        <w:rPr>
          <w:lang w:eastAsia="en-AU"/>
        </w:rPr>
        <w:t>Australian Bureau of Statistics, 2011-12 Survey of Income and Housing</w:t>
      </w:r>
    </w:p>
    <w:p w:rsidR="007208C6" w:rsidRPr="007208C6" w:rsidRDefault="007208C6" w:rsidP="00AF137C">
      <w:pPr>
        <w:pStyle w:val="ListBullet"/>
        <w:rPr>
          <w:lang w:eastAsia="en-AU"/>
        </w:rPr>
      </w:pPr>
      <w:r w:rsidRPr="007208C6">
        <w:rPr>
          <w:lang w:eastAsia="en-AU"/>
        </w:rPr>
        <w:t>Treasury, CAPITA model</w:t>
      </w:r>
    </w:p>
    <w:p w:rsidR="007208C6" w:rsidRPr="007208C6" w:rsidRDefault="007208C6" w:rsidP="00AF137C">
      <w:pPr>
        <w:pStyle w:val="ListBullet"/>
        <w:rPr>
          <w:lang w:eastAsia="en-AU"/>
        </w:rPr>
      </w:pPr>
      <w:r w:rsidRPr="007208C6">
        <w:rPr>
          <w:lang w:eastAsia="en-AU"/>
        </w:rPr>
        <w:t>Department of Human Services (DHS) Funding Model of Unit Prices for New Policy Proposals</w:t>
      </w:r>
    </w:p>
    <w:p w:rsidR="007208C6" w:rsidRPr="007208C6" w:rsidRDefault="007208C6" w:rsidP="00AF137C">
      <w:pPr>
        <w:pStyle w:val="ListBullet"/>
        <w:rPr>
          <w:lang w:eastAsia="en-AU"/>
        </w:rPr>
      </w:pPr>
      <w:r w:rsidRPr="007208C6">
        <w:rPr>
          <w:lang w:eastAsia="en-AU"/>
        </w:rPr>
        <w:t xml:space="preserve">Department of Social Services (DSS) Payment Demographic Data as of December 2015 - retrieved from </w:t>
      </w:r>
      <w:hyperlink r:id="rId230" w:history="1">
        <w:r w:rsidRPr="007208C6">
          <w:rPr>
            <w:lang w:eastAsia="en-AU"/>
          </w:rPr>
          <w:t>https://data.gov.au/dataset/dss-payment-demographic-data</w:t>
        </w:r>
      </w:hyperlink>
    </w:p>
    <w:p w:rsidR="007208C6" w:rsidRPr="007208C6" w:rsidRDefault="007208C6" w:rsidP="00AF137C">
      <w:pPr>
        <w:pStyle w:val="ListBullet"/>
        <w:rPr>
          <w:lang w:eastAsia="en-AU"/>
        </w:rPr>
      </w:pPr>
      <w:r w:rsidRPr="007208C6">
        <w:rPr>
          <w:lang w:eastAsia="en-AU"/>
        </w:rPr>
        <w:t>DSS provided administrative data on transfer payment recipients</w:t>
      </w:r>
    </w:p>
    <w:p w:rsidR="007208C6" w:rsidRPr="007208C6" w:rsidRDefault="007208C6" w:rsidP="00AF137C">
      <w:pPr>
        <w:pStyle w:val="ListBullet"/>
        <w:rPr>
          <w:lang w:eastAsia="en-AU"/>
        </w:rPr>
      </w:pPr>
      <w:r w:rsidRPr="007208C6">
        <w:rPr>
          <w:lang w:eastAsia="en-AU"/>
        </w:rPr>
        <w:t>DHS provided the 2016-17 Budget Funding Model on Unit Prices for National Policy Proposals</w:t>
      </w:r>
    </w:p>
    <w:p w:rsidR="007208C6" w:rsidRPr="007208C6" w:rsidRDefault="007208C6" w:rsidP="00AF137C">
      <w:pPr>
        <w:pStyle w:val="ListBullet"/>
        <w:rPr>
          <w:lang w:eastAsia="en-AU"/>
        </w:rPr>
      </w:pPr>
      <w:r w:rsidRPr="007208C6">
        <w:rPr>
          <w:lang w:eastAsia="en-AU"/>
        </w:rPr>
        <w:t>Department of Employment provided the jobactive costing model, including funding for Work for the Dole.</w:t>
      </w:r>
    </w:p>
    <w:p w:rsidR="007208C6" w:rsidRPr="007208C6" w:rsidRDefault="007208C6" w:rsidP="00AF137C">
      <w:pPr>
        <w:pStyle w:val="ListBullet"/>
        <w:rPr>
          <w:lang w:eastAsia="en-AU"/>
        </w:rPr>
      </w:pPr>
      <w:r w:rsidRPr="007208C6">
        <w:rPr>
          <w:lang w:eastAsia="en-AU"/>
        </w:rPr>
        <w:t>Department of Finance provided 2016-17 Budget indexation and efficiency dividend parameters</w:t>
      </w:r>
    </w:p>
    <w:p w:rsidR="007208C6" w:rsidRPr="00C72E8F" w:rsidRDefault="007208C6" w:rsidP="007208C6">
      <w:pPr>
        <w:pStyle w:val="ListBullet"/>
        <w:rPr>
          <w:rFonts w:ascii="Calibri" w:eastAsia="Calibri" w:hAnsi="Calibri" w:cs="Times New Roman"/>
        </w:rPr>
      </w:pPr>
      <w:r w:rsidRPr="007208C6">
        <w:rPr>
          <w:lang w:eastAsia="en-AU"/>
        </w:rPr>
        <w:t xml:space="preserve">Policy details have been informed from the Australian Greens policy documents Lifting income support and Strengthening our social safety net available from </w:t>
      </w:r>
      <w:hyperlink r:id="rId231" w:history="1">
        <w:r w:rsidRPr="007208C6">
          <w:rPr>
            <w:lang w:eastAsia="en-AU"/>
          </w:rPr>
          <w:t>http://greens.org.au/inequality</w:t>
        </w:r>
      </w:hyperlink>
    </w:p>
    <w:p w:rsidR="007208C6" w:rsidRPr="007208C6" w:rsidRDefault="007208C6" w:rsidP="007208C6">
      <w:pPr>
        <w:spacing w:after="113"/>
        <w:ind w:left="454" w:hanging="454"/>
        <w:rPr>
          <w:rFonts w:ascii="Calibri" w:eastAsia="Calibri" w:hAnsi="Calibri" w:cs="Times New Roman"/>
          <w:spacing w:val="-1"/>
        </w:rPr>
        <w:sectPr w:rsidR="007208C6" w:rsidRPr="007208C6" w:rsidSect="00DB2309">
          <w:headerReference w:type="even" r:id="rId232"/>
          <w:headerReference w:type="default" r:id="rId233"/>
          <w:footerReference w:type="even" r:id="rId234"/>
          <w:footerReference w:type="default" r:id="rId235"/>
          <w:headerReference w:type="first" r:id="rId236"/>
          <w:footerReference w:type="first" r:id="rId237"/>
          <w:pgSz w:w="11906" w:h="16838"/>
          <w:pgMar w:top="1361" w:right="1797" w:bottom="1474" w:left="1797" w:header="283" w:footer="454" w:gutter="0"/>
          <w:cols w:space="708"/>
          <w:docGrid w:linePitch="360"/>
        </w:sectPr>
      </w:pPr>
    </w:p>
    <w:p w:rsidR="007208C6" w:rsidRPr="007208C6" w:rsidRDefault="007208C6" w:rsidP="007A4BF9">
      <w:pPr>
        <w:pStyle w:val="Heading6"/>
        <w:rPr>
          <w:rFonts w:eastAsia="Calibri"/>
        </w:rPr>
      </w:pPr>
      <w:r w:rsidRPr="007208C6">
        <w:rPr>
          <w:rFonts w:eastAsia="Calibri"/>
        </w:rPr>
        <w:t>Attachment A: Reducing income inequality—financial implications</w:t>
      </w:r>
    </w:p>
    <w:p w:rsidR="007208C6" w:rsidRPr="007208C6" w:rsidRDefault="007208C6" w:rsidP="00905B06">
      <w:pPr>
        <w:pStyle w:val="Caption"/>
        <w:rPr>
          <w:vertAlign w:val="superscript"/>
        </w:rPr>
      </w:pPr>
      <w:r w:rsidRPr="007208C6">
        <w:t>Table A1: Combined impact of all components—Financial implications (outturn prices)</w:t>
      </w:r>
      <w:r w:rsidRPr="007208C6">
        <w:rPr>
          <w:vertAlign w:val="superscript"/>
        </w:rPr>
        <w:t>(a)(b)</w:t>
      </w:r>
    </w:p>
    <w:tbl>
      <w:tblPr>
        <w:tblStyle w:val="TableGrid2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7208C6" w:rsidRPr="007208C6"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rPr>
                <w:b/>
                <w:szCs w:val="20"/>
              </w:rPr>
            </w:pPr>
            <w:r w:rsidRPr="007208C6">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7208C6">
              <w:rPr>
                <w:b/>
              </w:rPr>
              <w:t>Total</w:t>
            </w:r>
            <w:r w:rsidRPr="007208C6">
              <w:rPr>
                <w:b/>
                <w:szCs w:val="20"/>
              </w:rPr>
              <w:t xml:space="preserve"> to 2019–20</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Impact on fiscal and underlying cash balances</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Administered</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-2,645.0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-2,770.0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-2,735.0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-2,760.0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-10,910.0 </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Departmental</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 21.0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 24.0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 23.0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 27.0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i/>
                <w:noProof/>
              </w:rPr>
            </w:pPr>
            <w:r w:rsidRPr="007208C6">
              <w:rPr>
                <w:rFonts w:ascii="Calibri" w:hAnsi="Calibri"/>
                <w:b/>
                <w:i/>
                <w:noProof/>
              </w:rPr>
              <w:t xml:space="preserve"> 95.0 </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7208C6">
            <w:pPr>
              <w:keepNext/>
              <w:keepLines/>
              <w:ind w:left="57" w:right="57"/>
              <w:rPr>
                <w:b/>
                <w:szCs w:val="20"/>
              </w:rPr>
            </w:pPr>
            <w:r w:rsidRPr="007208C6">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-2,624.0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-2,746.0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-2,712.0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-2,733.0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-10,815.0 </w:t>
            </w:r>
          </w:p>
        </w:tc>
      </w:tr>
    </w:tbl>
    <w:p w:rsidR="00386E89" w:rsidRPr="0031772C" w:rsidRDefault="007208C6" w:rsidP="000B5C96">
      <w:pPr>
        <w:pStyle w:val="Footnotes"/>
        <w:numPr>
          <w:ilvl w:val="0"/>
          <w:numId w:val="24"/>
        </w:numPr>
        <w:ind w:left="284" w:hanging="284"/>
      </w:pPr>
      <w:r w:rsidRPr="0031772C">
        <w:t>A positive number indicates an increase in revenue or decrease in expenses or net capital investment in accrual and cash terms.  A negative number indicates a decrease in revenue or an increase in expenses or net capital investment in accrual and cash terms.</w:t>
      </w:r>
    </w:p>
    <w:p w:rsidR="007208C6" w:rsidRPr="0031772C" w:rsidRDefault="007208C6" w:rsidP="0031772C">
      <w:pPr>
        <w:pStyle w:val="Footnotes"/>
      </w:pPr>
      <w:r w:rsidRPr="0031772C">
        <w:t>Figures may not sum to totals due to rounding.</w:t>
      </w:r>
    </w:p>
    <w:p w:rsidR="007208C6" w:rsidRPr="007208C6" w:rsidRDefault="007208C6" w:rsidP="007208C6">
      <w:pPr>
        <w:keepNext/>
        <w:spacing w:before="340" w:after="114"/>
        <w:rPr>
          <w:rFonts w:ascii="Calibri" w:eastAsia="Calibri" w:hAnsi="Calibri" w:cs="Times New Roman"/>
          <w:b/>
          <w:bCs/>
          <w:color w:val="1F497D"/>
          <w:spacing w:val="-4"/>
          <w:vertAlign w:val="superscript"/>
        </w:rPr>
      </w:pPr>
      <w:r w:rsidRPr="007208C6">
        <w:rPr>
          <w:rFonts w:ascii="Calibri" w:eastAsia="Calibri" w:hAnsi="Calibri" w:cs="Times New Roman"/>
          <w:b/>
          <w:bCs/>
          <w:color w:val="1F497D"/>
          <w:spacing w:val="-4"/>
        </w:rPr>
        <w:t>Table A2: Component 1: Increase the single rates of Newstart Allowance and Youth Allowance</w:t>
      </w:r>
      <w:r w:rsidRPr="007208C6">
        <w:rPr>
          <w:rFonts w:ascii="Calibri" w:eastAsia="Calibri" w:hAnsi="Calibri" w:cs="Times New Roman"/>
          <w:b/>
          <w:bCs/>
          <w:color w:val="1F497D"/>
          <w:spacing w:val="-4"/>
        </w:rPr>
        <w:br/>
        <w:t>—Financial implications (outturn prices)</w:t>
      </w:r>
      <w:r w:rsidRPr="007208C6">
        <w:rPr>
          <w:rFonts w:ascii="Calibri" w:eastAsia="Calibri" w:hAnsi="Calibri" w:cs="Times New Roman"/>
          <w:b/>
          <w:bCs/>
          <w:color w:val="1F497D"/>
          <w:spacing w:val="-4"/>
          <w:vertAlign w:val="superscript"/>
        </w:rPr>
        <w:t>(a)(b)</w:t>
      </w:r>
    </w:p>
    <w:tbl>
      <w:tblPr>
        <w:tblStyle w:val="TableGrid2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7208C6" w:rsidRPr="007208C6"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rPr>
                <w:b/>
                <w:szCs w:val="20"/>
              </w:rPr>
            </w:pPr>
            <w:r w:rsidRPr="007208C6">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7208C6">
              <w:rPr>
                <w:b/>
              </w:rPr>
              <w:t>Total</w:t>
            </w:r>
            <w:r w:rsidRPr="007208C6">
              <w:rPr>
                <w:b/>
                <w:szCs w:val="20"/>
              </w:rPr>
              <w:t xml:space="preserve"> to 2019–20</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Impact on fiscal and underlying cash balances</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 xml:space="preserve">Income tax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40.0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60.0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65.0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70.0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 235.0 </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 xml:space="preserve">Administered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-1,975.0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-1,955.0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-1,950.0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-1,950.0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i/>
                <w:noProof/>
              </w:rPr>
            </w:pPr>
            <w:r w:rsidRPr="007208C6">
              <w:rPr>
                <w:rFonts w:ascii="Calibri" w:hAnsi="Calibri"/>
                <w:b/>
                <w:i/>
                <w:noProof/>
              </w:rPr>
              <w:t xml:space="preserve">-7,830.0 </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 xml:space="preserve">Departmental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-7.0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-8.0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-8.0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-11.0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-34.0 </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7208C6">
            <w:pPr>
              <w:keepNext/>
              <w:keepLines/>
              <w:ind w:left="57" w:right="57"/>
              <w:rPr>
                <w:b/>
                <w:szCs w:val="20"/>
              </w:rPr>
            </w:pPr>
            <w:r w:rsidRPr="007208C6">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-1,942.0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-1,903.0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-1,893.0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-1,891.0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-7,629.0 </w:t>
            </w:r>
          </w:p>
        </w:tc>
      </w:tr>
    </w:tbl>
    <w:p w:rsidR="00386E89" w:rsidRPr="0031772C" w:rsidRDefault="007208C6" w:rsidP="000B5C96">
      <w:pPr>
        <w:pStyle w:val="Footnotes"/>
        <w:numPr>
          <w:ilvl w:val="0"/>
          <w:numId w:val="25"/>
        </w:numPr>
        <w:ind w:left="284" w:hanging="284"/>
      </w:pPr>
      <w:r w:rsidRPr="0031772C">
        <w:t>A positive number indicates an increase in revenue or decrease in expenses or net capital investment in accrual and cash terms.  A negative number indicates a decrease in revenue or an increase in expenses or net capital investment in accrual and cash terms.</w:t>
      </w:r>
    </w:p>
    <w:p w:rsidR="007208C6" w:rsidRPr="0031772C" w:rsidRDefault="007208C6" w:rsidP="0031772C">
      <w:pPr>
        <w:pStyle w:val="Footnotes"/>
      </w:pPr>
      <w:r w:rsidRPr="0031772C">
        <w:t>Figures may not sum to totals due to rounding.</w:t>
      </w:r>
    </w:p>
    <w:p w:rsidR="007208C6" w:rsidRPr="007208C6" w:rsidRDefault="007208C6" w:rsidP="00905B06">
      <w:pPr>
        <w:pStyle w:val="Caption"/>
        <w:rPr>
          <w:vertAlign w:val="superscript"/>
        </w:rPr>
      </w:pPr>
      <w:r w:rsidRPr="007208C6">
        <w:t>Table A3: Component 2: Increase the Parenting Payment (single)—Financial implications (outturn prices)</w:t>
      </w:r>
      <w:r w:rsidRPr="007208C6">
        <w:rPr>
          <w:vertAlign w:val="superscript"/>
        </w:rPr>
        <w:t>(a)(b)</w:t>
      </w:r>
    </w:p>
    <w:tbl>
      <w:tblPr>
        <w:tblStyle w:val="TableGrid2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7208C6" w:rsidRPr="007208C6"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rPr>
                <w:b/>
                <w:szCs w:val="20"/>
              </w:rPr>
            </w:pPr>
            <w:r w:rsidRPr="007208C6">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7208C6">
              <w:rPr>
                <w:b/>
              </w:rPr>
              <w:t>Total</w:t>
            </w:r>
            <w:r w:rsidRPr="007208C6">
              <w:rPr>
                <w:b/>
                <w:szCs w:val="20"/>
              </w:rPr>
              <w:t xml:space="preserve"> to 2019–20</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Impact on fiscal and underlying cash balances</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 xml:space="preserve">Income tax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25.0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35.0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35.0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35.0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 125.0 </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 xml:space="preserve">Administered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-465.0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-555.0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-570.0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-585.0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i/>
                <w:noProof/>
              </w:rPr>
            </w:pPr>
            <w:r w:rsidRPr="007208C6">
              <w:rPr>
                <w:rFonts w:ascii="Calibri" w:hAnsi="Calibri"/>
                <w:b/>
                <w:i/>
                <w:noProof/>
              </w:rPr>
              <w:t xml:space="preserve">-2,175.0 </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 xml:space="preserve">Departmental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37.0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42.0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43.0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44.0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 165.0 </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7208C6">
            <w:pPr>
              <w:keepNext/>
              <w:keepLines/>
              <w:ind w:left="57" w:right="57"/>
              <w:rPr>
                <w:b/>
                <w:szCs w:val="20"/>
              </w:rPr>
            </w:pPr>
            <w:r w:rsidRPr="007208C6">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-403.0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-478.0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-492.0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-506.0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-1,885.0 </w:t>
            </w:r>
          </w:p>
        </w:tc>
      </w:tr>
    </w:tbl>
    <w:p w:rsidR="00386E89" w:rsidRPr="0031772C" w:rsidRDefault="007208C6" w:rsidP="000B5C96">
      <w:pPr>
        <w:pStyle w:val="Footnotes"/>
        <w:numPr>
          <w:ilvl w:val="0"/>
          <w:numId w:val="26"/>
        </w:numPr>
        <w:ind w:left="284" w:hanging="284"/>
      </w:pPr>
      <w:r w:rsidRPr="0031772C">
        <w:t>A positive number indicates an increase in revenue or decrease in expenses or net capital investment in accrual and cash terms.  A negative number indicates a decrease in revenue or an increase in expenses or net capital investment in accrual and cash terms.</w:t>
      </w:r>
      <w:r w:rsidR="00386E89" w:rsidRPr="0031772C">
        <w:t xml:space="preserve"> </w:t>
      </w:r>
    </w:p>
    <w:p w:rsidR="007208C6" w:rsidRPr="0031772C" w:rsidRDefault="007208C6" w:rsidP="0031772C">
      <w:pPr>
        <w:pStyle w:val="Footnotes"/>
      </w:pPr>
      <w:r w:rsidRPr="0031772C">
        <w:t>Figures may not sum to totals due to rounding.</w:t>
      </w:r>
    </w:p>
    <w:p w:rsidR="007208C6" w:rsidRPr="007208C6" w:rsidRDefault="007208C6" w:rsidP="00905B06">
      <w:pPr>
        <w:pStyle w:val="Caption"/>
        <w:rPr>
          <w:vertAlign w:val="superscript"/>
        </w:rPr>
      </w:pPr>
      <w:r w:rsidRPr="007208C6">
        <w:t>Table A4: Component 3: Reverse Budget measures—Financial implications (outturn prices)</w:t>
      </w:r>
      <w:r w:rsidRPr="007208C6">
        <w:rPr>
          <w:vertAlign w:val="superscript"/>
        </w:rPr>
        <w:t>(a)(b)</w:t>
      </w:r>
    </w:p>
    <w:tbl>
      <w:tblPr>
        <w:tblStyle w:val="TableGrid2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7208C6" w:rsidRPr="007208C6"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rPr>
                <w:b/>
                <w:szCs w:val="20"/>
              </w:rPr>
            </w:pPr>
            <w:r w:rsidRPr="007208C6">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7208C6">
              <w:rPr>
                <w:b/>
              </w:rPr>
              <w:t>Total</w:t>
            </w:r>
            <w:r w:rsidRPr="007208C6">
              <w:rPr>
                <w:b/>
                <w:szCs w:val="20"/>
              </w:rPr>
              <w:t xml:space="preserve"> to 2019–20</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Impact on fiscal and underlying cash balances</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Administered</w:t>
            </w:r>
          </w:p>
        </w:tc>
      </w:tr>
      <w:tr w:rsidR="007208C6" w:rsidRPr="007208C6" w:rsidTr="00895C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t>Apply the One-Week Ordinary Waiting Period to all Working Age Payments</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-50.0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-65.0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-70.0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-70.0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iCs/>
                <w:color w:val="000000"/>
                <w:sz w:val="24"/>
                <w:szCs w:val="24"/>
              </w:rPr>
            </w:pPr>
            <w:r w:rsidRPr="007208C6">
              <w:rPr>
                <w:rFonts w:ascii="Calibri" w:hAnsi="Calibri"/>
                <w:b/>
                <w:i/>
                <w:iCs/>
                <w:color w:val="000000"/>
              </w:rPr>
              <w:t xml:space="preserve">-255.0 </w:t>
            </w:r>
          </w:p>
        </w:tc>
      </w:tr>
      <w:tr w:rsidR="007208C6" w:rsidRPr="007208C6" w:rsidTr="00895C1D">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t>Youth Employment Strategy –revised waiting period for youth income support</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-45.0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-65.0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-65.0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-70.0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4"/>
                <w:szCs w:val="24"/>
              </w:rPr>
            </w:pPr>
            <w:r w:rsidRPr="007208C6">
              <w:rPr>
                <w:rFonts w:ascii="Calibri" w:hAnsi="Calibri"/>
                <w:b/>
                <w:i/>
                <w:iCs/>
                <w:color w:val="000000"/>
              </w:rPr>
              <w:t xml:space="preserve">-245.0 </w:t>
            </w:r>
          </w:p>
        </w:tc>
      </w:tr>
      <w:tr w:rsidR="007208C6" w:rsidRPr="007208C6" w:rsidTr="00895C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t>Maintain eligibility thresholds for Australian Government payments for three years</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-45.0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-90.0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-40.0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-55.0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iCs/>
                <w:color w:val="000000"/>
                <w:sz w:val="24"/>
                <w:szCs w:val="24"/>
              </w:rPr>
            </w:pPr>
            <w:r w:rsidRPr="007208C6">
              <w:rPr>
                <w:rFonts w:ascii="Calibri" w:hAnsi="Calibri"/>
                <w:b/>
                <w:i/>
                <w:iCs/>
                <w:color w:val="000000"/>
              </w:rPr>
              <w:t xml:space="preserve">-230.0 </w:t>
            </w:r>
          </w:p>
        </w:tc>
      </w:tr>
      <w:tr w:rsidR="007208C6" w:rsidRPr="007208C6" w:rsidTr="00895C1D">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pPr>
            <w:r w:rsidRPr="007208C6">
              <w:t>Cessation of social security benefits for certain people confined in a psychiatric institution</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-10.0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-10.0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-15.0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-15.0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4"/>
                <w:szCs w:val="24"/>
              </w:rPr>
            </w:pPr>
            <w:r w:rsidRPr="007208C6">
              <w:rPr>
                <w:rFonts w:ascii="Calibri" w:hAnsi="Calibri"/>
                <w:b/>
                <w:i/>
                <w:iCs/>
                <w:color w:val="000000"/>
              </w:rPr>
              <w:t xml:space="preserve">-50.0 </w:t>
            </w:r>
          </w:p>
        </w:tc>
      </w:tr>
      <w:tr w:rsidR="007208C6" w:rsidRPr="007208C6" w:rsidTr="00895C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b/>
                <w:szCs w:val="20"/>
              </w:rPr>
            </w:pPr>
            <w:r w:rsidRPr="007208C6">
              <w:rPr>
                <w:b/>
                <w:szCs w:val="20"/>
              </w:rPr>
              <w:t>Total - administered</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-150.0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-230.0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-190.0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-210.0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-780.0 </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Departmental</w:t>
            </w:r>
          </w:p>
        </w:tc>
      </w:tr>
      <w:tr w:rsidR="007208C6" w:rsidRPr="007208C6" w:rsidTr="00895C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t>Apply the One-Week Ordinary Waiting Period to all Working Age Payments</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4.0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2.0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2.0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2.0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b/>
                <w:i/>
                <w:iCs/>
                <w:color w:val="000000"/>
                <w:sz w:val="24"/>
                <w:szCs w:val="24"/>
              </w:rPr>
            </w:pPr>
            <w:r w:rsidRPr="007208C6">
              <w:rPr>
                <w:rFonts w:ascii="Calibri" w:hAnsi="Calibri"/>
                <w:b/>
                <w:i/>
                <w:iCs/>
                <w:color w:val="000000"/>
              </w:rPr>
              <w:t xml:space="preserve"> 9.0 </w:t>
            </w:r>
          </w:p>
        </w:tc>
      </w:tr>
      <w:tr w:rsidR="007208C6" w:rsidRPr="007208C6" w:rsidTr="00895C1D">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t>Youth Employment Strategy –revised waiting period for youth income support</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3.0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3.0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2.0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2.0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4"/>
                <w:szCs w:val="24"/>
              </w:rPr>
            </w:pPr>
            <w:r w:rsidRPr="007208C6">
              <w:rPr>
                <w:rFonts w:ascii="Calibri" w:hAnsi="Calibri"/>
                <w:b/>
                <w:i/>
                <w:iCs/>
                <w:color w:val="000000"/>
              </w:rPr>
              <w:t xml:space="preserve"> 11.0 </w:t>
            </w:r>
          </w:p>
        </w:tc>
      </w:tr>
      <w:tr w:rsidR="007208C6" w:rsidRPr="007208C6" w:rsidTr="00895C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t>Maintain Eligibility thresholds for Australian Government payments for three years</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1.0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2.0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1.0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1.0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b/>
                <w:i/>
                <w:iCs/>
                <w:color w:val="000000"/>
                <w:sz w:val="24"/>
                <w:szCs w:val="24"/>
              </w:rPr>
            </w:pPr>
            <w:r w:rsidRPr="007208C6">
              <w:rPr>
                <w:rFonts w:ascii="Calibri" w:hAnsi="Calibri"/>
                <w:b/>
                <w:i/>
                <w:iCs/>
                <w:color w:val="000000"/>
              </w:rPr>
              <w:t xml:space="preserve"> 4.0 </w:t>
            </w:r>
          </w:p>
        </w:tc>
      </w:tr>
      <w:tr w:rsidR="007208C6" w:rsidRPr="007208C6" w:rsidTr="00895C1D">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pPr>
            <w:r w:rsidRPr="007208C6">
              <w:t>Cessation of social security benefits for certain people confined in a psychiatric institution</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7208C6">
              <w:rPr>
                <w:rFonts w:ascii="Calibri" w:hAnsi="Calibri"/>
                <w:i/>
                <w:iCs/>
                <w:color w:val="000000"/>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4"/>
                <w:szCs w:val="24"/>
              </w:rPr>
            </w:pPr>
            <w:r w:rsidRPr="007208C6">
              <w:rPr>
                <w:rFonts w:ascii="Calibri" w:hAnsi="Calibri"/>
                <w:b/>
                <w:i/>
                <w:iCs/>
                <w:color w:val="000000"/>
              </w:rPr>
              <w:t xml:space="preserve"> .. </w:t>
            </w:r>
          </w:p>
        </w:tc>
      </w:tr>
      <w:tr w:rsidR="007208C6" w:rsidRPr="007208C6" w:rsidTr="00895C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b/>
              </w:rPr>
            </w:pPr>
            <w:r w:rsidRPr="007208C6">
              <w:rPr>
                <w:b/>
              </w:rPr>
              <w:t>Total - departmental</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 8.0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 7.0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 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 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 24.0 </w:t>
            </w:r>
          </w:p>
        </w:tc>
      </w:tr>
      <w:tr w:rsidR="007208C6" w:rsidRPr="007208C6" w:rsidTr="00895C1D">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7208C6">
            <w:pPr>
              <w:keepNext/>
              <w:keepLines/>
              <w:ind w:left="57" w:right="57"/>
              <w:rPr>
                <w:b/>
                <w:szCs w:val="20"/>
              </w:rPr>
            </w:pPr>
            <w:r w:rsidRPr="007208C6">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-142.0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-223.0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-185.0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-205.0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-756.0 </w:t>
            </w:r>
          </w:p>
        </w:tc>
      </w:tr>
    </w:tbl>
    <w:p w:rsidR="00386E89" w:rsidRDefault="007208C6" w:rsidP="000B5C96">
      <w:pPr>
        <w:pStyle w:val="Footnotes"/>
        <w:numPr>
          <w:ilvl w:val="0"/>
          <w:numId w:val="98"/>
        </w:numPr>
        <w:ind w:left="284" w:hanging="284"/>
      </w:pPr>
      <w:r w:rsidRPr="00386E89">
        <w:t>A positive number indicates an increase in revenue or decrease in expenses or net capital investment in accrual and cash terms.  A negative number indicates a decrease in revenue or an increase in expenses or net capital investment in accrual and cash terms.</w:t>
      </w:r>
    </w:p>
    <w:p w:rsidR="007208C6" w:rsidRPr="00386E89" w:rsidRDefault="007208C6" w:rsidP="00F83240">
      <w:pPr>
        <w:pStyle w:val="Footnotes"/>
      </w:pPr>
      <w:r w:rsidRPr="00386E89">
        <w:t>Figures may not sum to totals due to rounding.</w:t>
      </w:r>
    </w:p>
    <w:p w:rsidR="007208C6" w:rsidRPr="007208C6" w:rsidRDefault="007208C6" w:rsidP="00F83240">
      <w:pPr>
        <w:pStyle w:val="Footnotes"/>
        <w:numPr>
          <w:ilvl w:val="0"/>
          <w:numId w:val="0"/>
        </w:numPr>
        <w:ind w:left="284" w:hanging="284"/>
      </w:pPr>
      <w:r w:rsidRPr="007208C6">
        <w:t>..</w:t>
      </w:r>
      <w:r w:rsidR="00F83240">
        <w:tab/>
      </w:r>
      <w:r w:rsidRPr="007208C6">
        <w:tab/>
        <w:t>Not zero but rounded to zero.</w:t>
      </w:r>
    </w:p>
    <w:p w:rsidR="007208C6" w:rsidRPr="007208C6" w:rsidRDefault="007208C6" w:rsidP="00905B06">
      <w:pPr>
        <w:pStyle w:val="Caption"/>
        <w:rPr>
          <w:vertAlign w:val="superscript"/>
        </w:rPr>
      </w:pPr>
      <w:r w:rsidRPr="007208C6">
        <w:t>Table A5: Component 4: Develop a national anti-poverty strategy—Financial implications (outturn prices)</w:t>
      </w:r>
      <w:r w:rsidRPr="007208C6">
        <w:rPr>
          <w:vertAlign w:val="superscript"/>
        </w:rPr>
        <w:t>(a)(b)</w:t>
      </w:r>
    </w:p>
    <w:tbl>
      <w:tblPr>
        <w:tblStyle w:val="TableGrid2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7208C6" w:rsidRPr="007208C6"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rPr>
                <w:b/>
                <w:szCs w:val="20"/>
              </w:rPr>
            </w:pPr>
            <w:r w:rsidRPr="007208C6">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7208C6">
              <w:rPr>
                <w:b/>
              </w:rPr>
              <w:t>Total</w:t>
            </w:r>
            <w:r w:rsidRPr="007208C6">
              <w:rPr>
                <w:b/>
                <w:szCs w:val="20"/>
              </w:rPr>
              <w:t xml:space="preserve"> to 2019–20</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Impact on fiscal and underlying cash balances</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 -   </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Departmental</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-4.0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-4.0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-4.0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 -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i/>
                <w:noProof/>
              </w:rPr>
            </w:pPr>
            <w:r w:rsidRPr="007208C6">
              <w:rPr>
                <w:rFonts w:ascii="Calibri" w:hAnsi="Calibri"/>
                <w:b/>
                <w:i/>
                <w:noProof/>
              </w:rPr>
              <w:t xml:space="preserve">-12.0 </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7208C6">
            <w:pPr>
              <w:keepNext/>
              <w:keepLines/>
              <w:ind w:left="57" w:right="57"/>
              <w:rPr>
                <w:b/>
                <w:szCs w:val="20"/>
              </w:rPr>
            </w:pPr>
            <w:r w:rsidRPr="007208C6">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-4.0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-4.0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-4.0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-12</w:t>
            </w:r>
            <w:r w:rsidRPr="007208C6">
              <w:rPr>
                <w:rFonts w:ascii="Calibri" w:hAnsi="Calibri"/>
                <w:b/>
                <w:i/>
                <w:noProof/>
              </w:rPr>
              <w:t>.0</w:t>
            </w:r>
            <w:r w:rsidRPr="007208C6">
              <w:rPr>
                <w:rFonts w:ascii="Calibri" w:hAnsi="Calibri"/>
                <w:b/>
                <w:noProof/>
              </w:rPr>
              <w:t xml:space="preserve"> </w:t>
            </w:r>
          </w:p>
        </w:tc>
      </w:tr>
    </w:tbl>
    <w:p w:rsidR="00386E89" w:rsidRDefault="007208C6" w:rsidP="000B5C96">
      <w:pPr>
        <w:pStyle w:val="Footnotes"/>
        <w:numPr>
          <w:ilvl w:val="0"/>
          <w:numId w:val="99"/>
        </w:numPr>
        <w:ind w:left="284" w:hanging="284"/>
      </w:pPr>
      <w:r w:rsidRPr="00386E89">
        <w:t>A positive number indicates an increase in revenue or decrease in expenses or net capital investment in accrual and cash terms.  A negative number indicates a decrease in revenue or an increase in expenses or net capital investment in accrual and cash terms.</w:t>
      </w:r>
    </w:p>
    <w:p w:rsidR="007208C6" w:rsidRPr="00386E89" w:rsidRDefault="007208C6" w:rsidP="00F83240">
      <w:pPr>
        <w:pStyle w:val="Footnotes"/>
      </w:pPr>
      <w:r w:rsidRPr="00386E89">
        <w:t>Figures may not sum to totals due to rounding.</w:t>
      </w:r>
    </w:p>
    <w:p w:rsidR="007208C6" w:rsidRPr="007208C6" w:rsidRDefault="007208C6" w:rsidP="000B5C96">
      <w:pPr>
        <w:pStyle w:val="Footnotes"/>
        <w:numPr>
          <w:ilvl w:val="0"/>
          <w:numId w:val="33"/>
        </w:numPr>
        <w:ind w:left="284" w:hanging="284"/>
      </w:pPr>
      <w:r w:rsidRPr="007208C6">
        <w:tab/>
        <w:t>Indicates nil.</w:t>
      </w:r>
    </w:p>
    <w:p w:rsidR="007208C6" w:rsidRPr="007208C6" w:rsidRDefault="007208C6" w:rsidP="00905B06">
      <w:pPr>
        <w:pStyle w:val="Caption"/>
        <w:rPr>
          <w:vertAlign w:val="superscript"/>
        </w:rPr>
      </w:pPr>
      <w:r w:rsidRPr="007208C6">
        <w:t>Table A6: Component 5: Abolish Work for the Dole—Financial implications (outturn prices)</w:t>
      </w:r>
      <w:r w:rsidRPr="007208C6">
        <w:rPr>
          <w:vertAlign w:val="superscript"/>
        </w:rPr>
        <w:t>(a)(b)</w:t>
      </w:r>
    </w:p>
    <w:tbl>
      <w:tblPr>
        <w:tblStyle w:val="TableGrid2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7208C6" w:rsidRPr="007208C6"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rPr>
                <w:b/>
                <w:szCs w:val="20"/>
              </w:rPr>
            </w:pPr>
            <w:r w:rsidRPr="007208C6">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7208C6">
              <w:rPr>
                <w:b/>
              </w:rPr>
              <w:t>Total</w:t>
            </w:r>
            <w:r w:rsidRPr="007208C6">
              <w:rPr>
                <w:b/>
                <w:szCs w:val="20"/>
              </w:rPr>
              <w:t xml:space="preserve"> to 2019–20</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 xml:space="preserve">Impact on fiscal and underlying cash balances </w:t>
            </w:r>
          </w:p>
        </w:tc>
      </w:tr>
      <w:tr w:rsidR="007208C6" w:rsidRPr="007208C6" w:rsidTr="00895C1D">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Abolish Work for the Dole</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200.0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180.0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175.0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175.0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 735.0 </w:t>
            </w:r>
          </w:p>
        </w:tc>
      </w:tr>
      <w:tr w:rsidR="007208C6" w:rsidRPr="007208C6" w:rsidTr="00895C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 xml:space="preserve">Funding for community based initiatives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-200.0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-180.0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-175.0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-175.0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895C1D">
            <w:pPr>
              <w:jc w:val="right"/>
              <w:cnfStyle w:val="000000100000" w:firstRow="0" w:lastRow="0" w:firstColumn="0" w:lastColumn="0" w:oddVBand="0" w:evenVBand="0" w:oddHBand="1" w:evenHBand="0" w:firstRowFirstColumn="0" w:firstRowLastColumn="0" w:lastRowFirstColumn="0" w:lastRowLastColumn="0"/>
              <w:rPr>
                <w:rFonts w:ascii="Calibri" w:hAnsi="Calibri"/>
                <w:b/>
                <w:i/>
                <w:noProof/>
              </w:rPr>
            </w:pPr>
            <w:r w:rsidRPr="007208C6">
              <w:rPr>
                <w:rFonts w:ascii="Calibri" w:hAnsi="Calibri"/>
                <w:b/>
                <w:i/>
                <w:noProof/>
              </w:rPr>
              <w:t xml:space="preserve">-735.0 </w:t>
            </w:r>
          </w:p>
        </w:tc>
      </w:tr>
      <w:tr w:rsidR="007208C6" w:rsidRPr="007208C6" w:rsidTr="00895C1D">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7208C6">
            <w:pPr>
              <w:keepNext/>
              <w:keepLines/>
              <w:ind w:left="57" w:right="57"/>
              <w:rPr>
                <w:b/>
                <w:szCs w:val="20"/>
              </w:rPr>
            </w:pPr>
            <w:r w:rsidRPr="007208C6">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895C1D">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 -   </w:t>
            </w:r>
          </w:p>
        </w:tc>
      </w:tr>
    </w:tbl>
    <w:p w:rsidR="00386E89" w:rsidRDefault="007208C6" w:rsidP="000B5C96">
      <w:pPr>
        <w:pStyle w:val="Footnotes"/>
        <w:numPr>
          <w:ilvl w:val="0"/>
          <w:numId w:val="100"/>
        </w:numPr>
        <w:ind w:left="284" w:hanging="284"/>
      </w:pPr>
      <w:r w:rsidRPr="00386E89">
        <w:t>A positive number indicates an increase in revenue or decrease in expenses or net capital investment in accrual and cash terms.  A negative number indicates a decrease in revenue or an increase in expenses or net capital investment in accrual and cash terms.</w:t>
      </w:r>
    </w:p>
    <w:p w:rsidR="007208C6" w:rsidRPr="00386E89" w:rsidRDefault="007208C6" w:rsidP="00F83240">
      <w:pPr>
        <w:pStyle w:val="Footnotes"/>
      </w:pPr>
      <w:r w:rsidRPr="00386E89">
        <w:t>Figures may not sum to totals due to rounding.</w:t>
      </w:r>
    </w:p>
    <w:p w:rsidR="007208C6" w:rsidRPr="007208C6" w:rsidRDefault="007208C6" w:rsidP="000B5C96">
      <w:pPr>
        <w:pStyle w:val="Footnotes"/>
        <w:numPr>
          <w:ilvl w:val="0"/>
          <w:numId w:val="33"/>
        </w:numPr>
        <w:ind w:left="284" w:hanging="284"/>
      </w:pPr>
      <w:r w:rsidRPr="007208C6">
        <w:tab/>
        <w:t>Indicates nil.</w:t>
      </w:r>
    </w:p>
    <w:p w:rsidR="007208C6" w:rsidRPr="007208C6" w:rsidRDefault="007208C6" w:rsidP="00905B06">
      <w:pPr>
        <w:pStyle w:val="Caption"/>
        <w:rPr>
          <w:vertAlign w:val="superscript"/>
        </w:rPr>
      </w:pPr>
      <w:r w:rsidRPr="007208C6">
        <w:t>Table A</w:t>
      </w:r>
      <w:r w:rsidR="00F55422">
        <w:t>7</w:t>
      </w:r>
      <w:r w:rsidRPr="007208C6">
        <w:t>: Component 6: Improve access to community services—Financial implications (outturn prices)</w:t>
      </w:r>
      <w:r w:rsidRPr="007208C6">
        <w:rPr>
          <w:vertAlign w:val="superscript"/>
        </w:rPr>
        <w:t>(a)(b)</w:t>
      </w:r>
    </w:p>
    <w:tbl>
      <w:tblPr>
        <w:tblStyle w:val="TableGrid2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7208C6" w:rsidRPr="007208C6"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rPr>
                <w:b/>
                <w:szCs w:val="20"/>
              </w:rPr>
            </w:pPr>
            <w:r w:rsidRPr="007208C6">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7208C6">
              <w:rPr>
                <w:b/>
              </w:rPr>
              <w:t>Total</w:t>
            </w:r>
            <w:r w:rsidRPr="007208C6">
              <w:rPr>
                <w:b/>
                <w:szCs w:val="20"/>
              </w:rPr>
              <w:t xml:space="preserve"> to 2019–20</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 xml:space="preserve">Impact on fiscal and underlying cash balances </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Administered</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Community Service Grants</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-122.7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-122.7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-122.7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-122.7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i/>
                <w:noProof/>
              </w:rPr>
            </w:pPr>
            <w:r w:rsidRPr="007208C6">
              <w:rPr>
                <w:rFonts w:ascii="Calibri" w:hAnsi="Calibri"/>
                <w:b/>
                <w:i/>
                <w:noProof/>
              </w:rPr>
              <w:t xml:space="preserve">-490.8 </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Departmental</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Community Service Grants</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-3.3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-3.3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-3.3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-3.3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i/>
                <w:noProof/>
              </w:rPr>
            </w:pPr>
            <w:r w:rsidRPr="007208C6">
              <w:rPr>
                <w:rFonts w:ascii="Calibri" w:hAnsi="Calibri"/>
                <w:b/>
                <w:i/>
                <w:noProof/>
              </w:rPr>
              <w:t xml:space="preserve">-13.2 </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National Access Plan</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-4.1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-2.5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-2.0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-1.5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-10.1 </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b/>
              </w:rPr>
            </w:pPr>
            <w:r w:rsidRPr="007208C6">
              <w:rPr>
                <w:b/>
              </w:rPr>
              <w:t>Total - departmental</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noProof/>
              </w:rPr>
            </w:pPr>
            <w:r w:rsidRPr="007208C6">
              <w:rPr>
                <w:rFonts w:ascii="Calibri" w:hAnsi="Calibri"/>
                <w:noProof/>
              </w:rPr>
              <w:t xml:space="preserve">-7.4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noProof/>
              </w:rPr>
            </w:pPr>
            <w:r w:rsidRPr="007208C6">
              <w:rPr>
                <w:rFonts w:ascii="Calibri" w:hAnsi="Calibri"/>
                <w:noProof/>
              </w:rPr>
              <w:t xml:space="preserve">-5.8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noProof/>
              </w:rPr>
            </w:pPr>
            <w:r w:rsidRPr="007208C6">
              <w:rPr>
                <w:rFonts w:ascii="Calibri" w:hAnsi="Calibri"/>
                <w:noProof/>
              </w:rPr>
              <w:t xml:space="preserve">-5.3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noProof/>
              </w:rPr>
            </w:pPr>
            <w:r w:rsidRPr="007208C6">
              <w:rPr>
                <w:rFonts w:ascii="Calibri" w:hAnsi="Calibri"/>
                <w:noProof/>
              </w:rPr>
              <w:t xml:space="preserve">-4.8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noProof/>
              </w:rPr>
            </w:pPr>
            <w:r w:rsidRPr="007208C6">
              <w:rPr>
                <w:rFonts w:ascii="Calibri" w:hAnsi="Calibri"/>
                <w:b/>
                <w:noProof/>
              </w:rPr>
              <w:t xml:space="preserve">-23.3 </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7208C6">
            <w:pPr>
              <w:keepNext/>
              <w:keepLines/>
              <w:ind w:left="57" w:right="57"/>
              <w:rPr>
                <w:b/>
                <w:szCs w:val="20"/>
              </w:rPr>
            </w:pPr>
            <w:r w:rsidRPr="007208C6">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-130.1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-128.5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-128.0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-127.5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-514.1 </w:t>
            </w:r>
          </w:p>
        </w:tc>
      </w:tr>
    </w:tbl>
    <w:p w:rsidR="005D2DCB" w:rsidRDefault="007208C6" w:rsidP="000B5C96">
      <w:pPr>
        <w:pStyle w:val="Footnotes"/>
        <w:numPr>
          <w:ilvl w:val="0"/>
          <w:numId w:val="101"/>
        </w:numPr>
        <w:ind w:left="284" w:hanging="284"/>
      </w:pPr>
      <w:r w:rsidRPr="005D2DCB">
        <w:t>A positive number indicates an increase in revenue or decrease in expenses or net capital investment in accrual and cash terms.  A negative number indicates a decrease in revenue or an increase in expenses or net capital investment in accrual and cash terms.</w:t>
      </w:r>
    </w:p>
    <w:p w:rsidR="007208C6" w:rsidRPr="005D2DCB" w:rsidRDefault="007208C6" w:rsidP="00F83240">
      <w:pPr>
        <w:pStyle w:val="Footnotes"/>
      </w:pPr>
      <w:r w:rsidRPr="005D2DCB">
        <w:t>Figures may not sum to totals due to rounding.</w:t>
      </w:r>
    </w:p>
    <w:p w:rsidR="007208C6" w:rsidRPr="007208C6" w:rsidRDefault="007208C6" w:rsidP="00905B06">
      <w:pPr>
        <w:pStyle w:val="Caption"/>
        <w:rPr>
          <w:vertAlign w:val="superscript"/>
        </w:rPr>
      </w:pPr>
      <w:r w:rsidRPr="007208C6">
        <w:t>Table A</w:t>
      </w:r>
      <w:r w:rsidR="00F55422">
        <w:t>8</w:t>
      </w:r>
      <w:r w:rsidRPr="007208C6">
        <w:t>: Component 7: Establish an Equity Commission—Financial implications (outturn prices)</w:t>
      </w:r>
      <w:r w:rsidRPr="007208C6">
        <w:rPr>
          <w:vertAlign w:val="superscript"/>
        </w:rPr>
        <w:t>(a)(b)</w:t>
      </w:r>
    </w:p>
    <w:tbl>
      <w:tblPr>
        <w:tblStyle w:val="TableGrid2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7208C6" w:rsidRPr="007208C6" w:rsidTr="007208C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rPr>
                <w:b/>
                <w:szCs w:val="20"/>
              </w:rPr>
            </w:pPr>
            <w:r w:rsidRPr="007208C6">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208C6">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7208C6" w:rsidRPr="007208C6" w:rsidRDefault="007208C6" w:rsidP="007208C6">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7208C6">
              <w:rPr>
                <w:b/>
              </w:rPr>
              <w:t>Total</w:t>
            </w:r>
            <w:r w:rsidRPr="007208C6">
              <w:rPr>
                <w:b/>
                <w:szCs w:val="20"/>
              </w:rPr>
              <w:t xml:space="preserve"> to 2019–20</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7208C6" w:rsidRPr="007208C6" w:rsidRDefault="007208C6" w:rsidP="007208C6">
            <w:pPr>
              <w:keepNext/>
              <w:keepLines/>
              <w:ind w:left="57" w:right="57"/>
              <w:rPr>
                <w:b/>
              </w:rPr>
            </w:pPr>
            <w:r w:rsidRPr="007208C6">
              <w:rPr>
                <w:b/>
              </w:rPr>
              <w:t xml:space="preserve">Impact on fiscal and underlying cash balances </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i/>
                <w:noProof/>
              </w:rPr>
            </w:pPr>
            <w:r w:rsidRPr="007208C6">
              <w:rPr>
                <w:rFonts w:ascii="Calibri" w:hAnsi="Calibri"/>
                <w:i/>
                <w:noProof/>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i/>
                <w:noProof/>
              </w:rPr>
            </w:pPr>
            <w:r w:rsidRPr="007208C6">
              <w:rPr>
                <w:rFonts w:ascii="Calibri" w:hAnsi="Calibri"/>
                <w:b/>
                <w:i/>
                <w:noProof/>
              </w:rPr>
              <w:t xml:space="preserve"> -   </w:t>
            </w:r>
          </w:p>
        </w:tc>
      </w:tr>
      <w:tr w:rsidR="007208C6" w:rsidRPr="007208C6" w:rsidTr="007208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7208C6" w:rsidRPr="007208C6" w:rsidRDefault="007208C6" w:rsidP="007208C6">
            <w:pPr>
              <w:keepNext/>
              <w:keepLines/>
              <w:ind w:left="57" w:right="57"/>
              <w:rPr>
                <w:szCs w:val="20"/>
              </w:rPr>
            </w:pPr>
            <w:r w:rsidRPr="007208C6">
              <w:rPr>
                <w:szCs w:val="20"/>
              </w:rPr>
              <w:t>Departmental</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-5.3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-6.7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-6.7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i/>
                <w:noProof/>
              </w:rPr>
            </w:pPr>
            <w:r w:rsidRPr="007208C6">
              <w:rPr>
                <w:rFonts w:ascii="Calibri" w:hAnsi="Calibri"/>
                <w:i/>
                <w:noProof/>
              </w:rPr>
              <w:t xml:space="preserve">-6.8 </w:t>
            </w:r>
          </w:p>
        </w:tc>
        <w:tc>
          <w:tcPr>
            <w:tcW w:w="682" w:type="pct"/>
            <w:tcBorders>
              <w:top w:val="single" w:sz="4" w:space="0" w:color="788184"/>
              <w:left w:val="single" w:sz="4" w:space="0" w:color="788184"/>
              <w:bottom w:val="single" w:sz="4" w:space="0" w:color="788184"/>
              <w:right w:val="single" w:sz="4" w:space="0" w:color="788184"/>
            </w:tcBorders>
            <w:vAlign w:val="bottom"/>
          </w:tcPr>
          <w:p w:rsidR="007208C6" w:rsidRPr="007208C6" w:rsidRDefault="007208C6" w:rsidP="007208C6">
            <w:pPr>
              <w:jc w:val="right"/>
              <w:cnfStyle w:val="000000100000" w:firstRow="0" w:lastRow="0" w:firstColumn="0" w:lastColumn="0" w:oddVBand="0" w:evenVBand="0" w:oddHBand="1" w:evenHBand="0" w:firstRowFirstColumn="0" w:firstRowLastColumn="0" w:lastRowFirstColumn="0" w:lastRowLastColumn="0"/>
              <w:rPr>
                <w:rFonts w:ascii="Calibri" w:hAnsi="Calibri"/>
                <w:b/>
                <w:i/>
                <w:noProof/>
              </w:rPr>
            </w:pPr>
            <w:r w:rsidRPr="007208C6">
              <w:rPr>
                <w:rFonts w:ascii="Calibri" w:hAnsi="Calibri"/>
                <w:b/>
                <w:i/>
                <w:noProof/>
              </w:rPr>
              <w:t xml:space="preserve">-25.5 </w:t>
            </w:r>
          </w:p>
        </w:tc>
      </w:tr>
      <w:tr w:rsidR="007208C6" w:rsidRPr="007208C6" w:rsidTr="007208C6">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7208C6" w:rsidRPr="007208C6" w:rsidRDefault="007208C6" w:rsidP="007208C6">
            <w:pPr>
              <w:keepNext/>
              <w:keepLines/>
              <w:ind w:left="57" w:right="57"/>
              <w:rPr>
                <w:b/>
                <w:szCs w:val="20"/>
              </w:rPr>
            </w:pPr>
            <w:r w:rsidRPr="007208C6">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-5.3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-6.7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-6.7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-6.8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7208C6" w:rsidRPr="007208C6" w:rsidRDefault="007208C6" w:rsidP="007208C6">
            <w:pPr>
              <w:jc w:val="right"/>
              <w:cnfStyle w:val="000000000000" w:firstRow="0" w:lastRow="0" w:firstColumn="0" w:lastColumn="0" w:oddVBand="0" w:evenVBand="0" w:oddHBand="0" w:evenHBand="0" w:firstRowFirstColumn="0" w:firstRowLastColumn="0" w:lastRowFirstColumn="0" w:lastRowLastColumn="0"/>
              <w:rPr>
                <w:rFonts w:ascii="Calibri" w:hAnsi="Calibri"/>
                <w:b/>
                <w:noProof/>
              </w:rPr>
            </w:pPr>
            <w:r w:rsidRPr="007208C6">
              <w:rPr>
                <w:rFonts w:ascii="Calibri" w:hAnsi="Calibri"/>
                <w:b/>
                <w:noProof/>
              </w:rPr>
              <w:t xml:space="preserve">-25.5 </w:t>
            </w:r>
          </w:p>
        </w:tc>
      </w:tr>
    </w:tbl>
    <w:p w:rsidR="005D2DCB" w:rsidRDefault="007208C6" w:rsidP="000B5C96">
      <w:pPr>
        <w:pStyle w:val="Footnotes"/>
        <w:numPr>
          <w:ilvl w:val="0"/>
          <w:numId w:val="102"/>
        </w:numPr>
        <w:ind w:left="284" w:hanging="284"/>
      </w:pPr>
      <w:r w:rsidRPr="005D2DCB">
        <w:t>A positive number indicates an increase in revenue or decrease in expenses or net capital investment in accrual and cash terms.  A negative number indicates a decrease in revenue or an increase in expenses or net capital investment in accrual and cash terms.</w:t>
      </w:r>
    </w:p>
    <w:p w:rsidR="007208C6" w:rsidRPr="005D2DCB" w:rsidRDefault="007208C6" w:rsidP="00F83240">
      <w:pPr>
        <w:pStyle w:val="Footnotes"/>
      </w:pPr>
      <w:r w:rsidRPr="005D2DCB">
        <w:t>Figures may not sum to totals due to rounding.</w:t>
      </w:r>
    </w:p>
    <w:p w:rsidR="007208C6" w:rsidRPr="007208C6" w:rsidRDefault="007208C6" w:rsidP="000B5C96">
      <w:pPr>
        <w:pStyle w:val="Footnotes"/>
        <w:numPr>
          <w:ilvl w:val="0"/>
          <w:numId w:val="33"/>
        </w:numPr>
        <w:ind w:left="284" w:hanging="284"/>
      </w:pPr>
      <w:r w:rsidRPr="007208C6">
        <w:tab/>
        <w:t>Indicates nil.</w:t>
      </w:r>
    </w:p>
    <w:p w:rsidR="00DB2309" w:rsidRDefault="00DB2309" w:rsidP="00F83240">
      <w:pPr>
        <w:pStyle w:val="Footnotes"/>
        <w:rPr>
          <w:sz w:val="22"/>
          <w:szCs w:val="22"/>
        </w:rPr>
        <w:sectPr w:rsidR="00DB2309" w:rsidSect="00DB2309">
          <w:headerReference w:type="even" r:id="rId238"/>
          <w:headerReference w:type="default" r:id="rId239"/>
          <w:footerReference w:type="even" r:id="rId240"/>
          <w:footerReference w:type="default" r:id="rId241"/>
          <w:headerReference w:type="first" r:id="rId242"/>
          <w:footerReference w:type="first" r:id="rId243"/>
          <w:pgSz w:w="11906" w:h="16838"/>
          <w:pgMar w:top="1361" w:right="1797" w:bottom="1474" w:left="1797" w:header="283" w:footer="454" w:gutter="0"/>
          <w:cols w:space="708"/>
          <w:docGrid w:linePitch="360"/>
        </w:sectPr>
      </w:pPr>
    </w:p>
    <w:p w:rsidR="00544835" w:rsidRPr="00544835" w:rsidRDefault="00544835" w:rsidP="007A4BF9">
      <w:pPr>
        <w:pStyle w:val="Heading5"/>
      </w:pPr>
      <w:bookmarkStart w:id="99" w:name="_Toc456766807"/>
      <w:bookmarkStart w:id="100" w:name="_Toc457819901"/>
      <w:bookmarkStart w:id="101" w:name="_Toc458015791"/>
      <w:bookmarkStart w:id="102" w:name="_Toc458090630"/>
      <w:r w:rsidRPr="00544835">
        <w:t>GRN024: No new gas and coal mines</w:t>
      </w:r>
      <w:bookmarkEnd w:id="99"/>
      <w:bookmarkEnd w:id="100"/>
      <w:bookmarkEnd w:id="101"/>
      <w:bookmarkEnd w:id="102"/>
    </w:p>
    <w:p w:rsidR="007208C6" w:rsidRDefault="00544835" w:rsidP="007A4BF9">
      <w:pPr>
        <w:pStyle w:val="BodyText"/>
        <w:rPr>
          <w:rFonts w:ascii="Calibri" w:eastAsia="Calibri" w:hAnsi="Calibri"/>
        </w:rPr>
      </w:pPr>
      <w:r>
        <w:rPr>
          <w:noProof/>
          <w:lang w:eastAsia="en-AU"/>
        </w:rPr>
        <w:drawing>
          <wp:inline distT="0" distB="0" distL="0" distR="0" wp14:anchorId="2A4CCA5E" wp14:editId="5EFC3297">
            <wp:extent cx="2696845" cy="572135"/>
            <wp:effectExtent l="0" t="0" r="8255" b="0"/>
            <wp:docPr id="466" name="Picture 46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44835" w:rsidRPr="00544835" w:rsidRDefault="00544835" w:rsidP="007A4BF9">
      <w:pPr>
        <w:pStyle w:val="Heading6"/>
        <w:rPr>
          <w:rFonts w:eastAsia="Calibri"/>
        </w:rPr>
      </w:pPr>
      <w:r w:rsidRPr="00544835">
        <w:rPr>
          <w:rFonts w:eastAsia="Calibri"/>
        </w:rPr>
        <w:t>Policy costing—during the caretaker period for the 2016 general election</w:t>
      </w:r>
    </w:p>
    <w:tbl>
      <w:tblPr>
        <w:tblStyle w:val="Style112"/>
        <w:tblW w:w="8340" w:type="dxa"/>
        <w:tblLayout w:type="fixed"/>
        <w:tblLook w:val="04A0" w:firstRow="1" w:lastRow="0" w:firstColumn="1" w:lastColumn="0" w:noHBand="0" w:noVBand="1"/>
      </w:tblPr>
      <w:tblGrid>
        <w:gridCol w:w="3005"/>
        <w:gridCol w:w="5335"/>
      </w:tblGrid>
      <w:tr w:rsidR="00544835" w:rsidRPr="00AF49FE" w:rsidTr="00E20903">
        <w:trPr>
          <w:cnfStyle w:val="100000000000" w:firstRow="1" w:lastRow="0" w:firstColumn="0" w:lastColumn="0" w:oddVBand="0" w:evenVBand="0" w:oddHBand="0" w:evenHBand="0" w:firstRowFirstColumn="0" w:firstRowLastColumn="0" w:lastRowFirstColumn="0" w:lastRowLastColumn="0"/>
        </w:trPr>
        <w:tc>
          <w:tcPr>
            <w:tcW w:w="3005" w:type="dxa"/>
          </w:tcPr>
          <w:p w:rsidR="00544835" w:rsidRPr="00AF49FE" w:rsidRDefault="00544835" w:rsidP="00AF49FE">
            <w:pPr>
              <w:pStyle w:val="PullOutBoxHeading"/>
              <w:rPr>
                <w:b/>
                <w:sz w:val="22"/>
              </w:rPr>
            </w:pPr>
            <w:r w:rsidRPr="00AF49FE">
              <w:rPr>
                <w:b/>
                <w:sz w:val="22"/>
              </w:rPr>
              <w:t>Name of proposal:</w:t>
            </w:r>
          </w:p>
        </w:tc>
        <w:tc>
          <w:tcPr>
            <w:tcW w:w="5335" w:type="dxa"/>
          </w:tcPr>
          <w:p w:rsidR="00544835" w:rsidRPr="00AF49FE" w:rsidRDefault="00544835" w:rsidP="00AF49FE">
            <w:pPr>
              <w:pStyle w:val="PullOutBoxHeading"/>
              <w:rPr>
                <w:b/>
                <w:sz w:val="22"/>
              </w:rPr>
            </w:pPr>
            <w:r w:rsidRPr="00AF49FE">
              <w:rPr>
                <w:b/>
                <w:sz w:val="22"/>
              </w:rPr>
              <w:t>No new coal or gas mines</w:t>
            </w:r>
          </w:p>
        </w:tc>
      </w:tr>
      <w:tr w:rsidR="00544835" w:rsidRPr="00544835" w:rsidTr="00E20903">
        <w:tc>
          <w:tcPr>
            <w:tcW w:w="3005" w:type="dxa"/>
          </w:tcPr>
          <w:p w:rsidR="00544835" w:rsidRPr="00544835" w:rsidRDefault="00544835" w:rsidP="00544835">
            <w:pPr>
              <w:spacing w:after="120"/>
              <w:rPr>
                <w:rFonts w:ascii="Calibri" w:eastAsia="Calibri" w:hAnsi="Calibri" w:cs="Times New Roman"/>
              </w:rPr>
            </w:pPr>
            <w:r w:rsidRPr="00544835">
              <w:rPr>
                <w:rFonts w:ascii="Calibri" w:eastAsia="Calibri" w:hAnsi="Calibri" w:cs="Times New Roman"/>
              </w:rPr>
              <w:t>Summary of proposal:</w:t>
            </w:r>
          </w:p>
        </w:tc>
        <w:tc>
          <w:tcPr>
            <w:tcW w:w="5335" w:type="dxa"/>
          </w:tcPr>
          <w:p w:rsidR="00544835" w:rsidRPr="00544835" w:rsidRDefault="00544835" w:rsidP="00BD2867">
            <w:pPr>
              <w:pStyle w:val="PullOutBoxBodyText"/>
            </w:pPr>
            <w:r w:rsidRPr="00544835">
              <w:t>The proposal would:</w:t>
            </w:r>
          </w:p>
          <w:p w:rsidR="00544835" w:rsidRPr="00544835" w:rsidRDefault="00544835" w:rsidP="000B5C96">
            <w:pPr>
              <w:pStyle w:val="ListBullet"/>
              <w:numPr>
                <w:ilvl w:val="0"/>
                <w:numId w:val="28"/>
              </w:numPr>
              <w:spacing w:before="113" w:line="260" w:lineRule="atLeast"/>
              <w:ind w:left="397" w:hanging="340"/>
            </w:pPr>
            <w:r w:rsidRPr="00544835">
              <w:t>prohibit the extraction of thermal coal for export from:</w:t>
            </w:r>
          </w:p>
          <w:p w:rsidR="00544835" w:rsidRPr="00544835" w:rsidRDefault="00544835" w:rsidP="00BD2867">
            <w:pPr>
              <w:pStyle w:val="PullOutBoxBullet"/>
              <w:ind w:left="737"/>
              <w:rPr>
                <w:lang w:eastAsia="en-AU"/>
              </w:rPr>
            </w:pPr>
            <w:r w:rsidRPr="00544835">
              <w:rPr>
                <w:lang w:eastAsia="en-AU"/>
              </w:rPr>
              <w:t>new mines</w:t>
            </w:r>
          </w:p>
          <w:p w:rsidR="00544835" w:rsidRPr="00544835" w:rsidRDefault="00544835" w:rsidP="00BD2867">
            <w:pPr>
              <w:pStyle w:val="PullOutBoxBullet"/>
              <w:ind w:left="737"/>
              <w:rPr>
                <w:lang w:eastAsia="en-AU"/>
              </w:rPr>
            </w:pPr>
            <w:r w:rsidRPr="00544835">
              <w:rPr>
                <w:lang w:eastAsia="en-AU"/>
              </w:rPr>
              <w:t>the expansion of existing mines</w:t>
            </w:r>
          </w:p>
          <w:p w:rsidR="00544835" w:rsidRPr="00BD2867" w:rsidRDefault="00544835" w:rsidP="000B5C96">
            <w:pPr>
              <w:pStyle w:val="ListParagraph"/>
              <w:numPr>
                <w:ilvl w:val="0"/>
                <w:numId w:val="28"/>
              </w:numPr>
              <w:spacing w:before="113" w:after="113" w:line="260" w:lineRule="atLeast"/>
              <w:ind w:left="397" w:hanging="340"/>
              <w:contextualSpacing w:val="0"/>
              <w:rPr>
                <w:rFonts w:ascii="Calibri" w:eastAsia="Calibri" w:hAnsi="Calibri" w:cs="Times New Roman"/>
              </w:rPr>
            </w:pPr>
            <w:r w:rsidRPr="00BD2867">
              <w:rPr>
                <w:rFonts w:ascii="Calibri" w:eastAsia="Calibri" w:hAnsi="Calibri" w:cs="Times New Roman"/>
              </w:rPr>
              <w:t>prohibit the extraction of onshore coal seam gas, tight gas and shale gas from:</w:t>
            </w:r>
          </w:p>
          <w:p w:rsidR="00544835" w:rsidRPr="00544835" w:rsidRDefault="00544835" w:rsidP="00BD2867">
            <w:pPr>
              <w:pStyle w:val="PullOutBoxBullet"/>
              <w:ind w:left="737"/>
              <w:rPr>
                <w:lang w:eastAsia="en-AU"/>
              </w:rPr>
            </w:pPr>
            <w:r w:rsidRPr="00544835">
              <w:rPr>
                <w:lang w:eastAsia="en-AU"/>
              </w:rPr>
              <w:t>wells that are not already operating or in construction</w:t>
            </w:r>
          </w:p>
          <w:p w:rsidR="00544835" w:rsidRPr="00544835" w:rsidRDefault="00544835" w:rsidP="00BD2867">
            <w:pPr>
              <w:pStyle w:val="PullOutBoxBullet"/>
              <w:ind w:left="737"/>
              <w:rPr>
                <w:lang w:eastAsia="en-AU"/>
              </w:rPr>
            </w:pPr>
            <w:r w:rsidRPr="00544835">
              <w:rPr>
                <w:lang w:eastAsia="en-AU"/>
              </w:rPr>
              <w:t>any expansion of existing gas projects.</w:t>
            </w:r>
          </w:p>
          <w:p w:rsidR="00544835" w:rsidRPr="00544835" w:rsidRDefault="00544835" w:rsidP="00BD2867">
            <w:pPr>
              <w:pStyle w:val="PullOutBoxBodyText"/>
            </w:pPr>
            <w:r w:rsidRPr="00544835">
              <w:t>Currently operating permits to mine coal and extract coal seam gas (CSG) would continue, however contractual options to expand coal mining and CSG extraction into new areas or greater depths would not be able to be utilised.</w:t>
            </w:r>
          </w:p>
          <w:p w:rsidR="00544835" w:rsidRPr="00544835" w:rsidRDefault="00544835" w:rsidP="00BD2867">
            <w:pPr>
              <w:pStyle w:val="PullOutBoxBodyText"/>
            </w:pPr>
            <w:r w:rsidRPr="00544835">
              <w:t>The proposal would have effect from 1 September 2016.</w:t>
            </w:r>
          </w:p>
        </w:tc>
      </w:tr>
      <w:tr w:rsidR="00544835" w:rsidRPr="00544835" w:rsidTr="00E20903">
        <w:tc>
          <w:tcPr>
            <w:tcW w:w="3005" w:type="dxa"/>
          </w:tcPr>
          <w:p w:rsidR="00544835" w:rsidRPr="00544835" w:rsidRDefault="00544835" w:rsidP="00BD2867">
            <w:pPr>
              <w:pStyle w:val="PullOutBoxBodyText"/>
            </w:pPr>
            <w:r w:rsidRPr="00544835">
              <w:t>Person/party requesting costing:</w:t>
            </w:r>
          </w:p>
        </w:tc>
        <w:tc>
          <w:tcPr>
            <w:tcW w:w="5335" w:type="dxa"/>
          </w:tcPr>
          <w:p w:rsidR="00544835" w:rsidRPr="00544835" w:rsidRDefault="00544835" w:rsidP="00BD2867">
            <w:pPr>
              <w:pStyle w:val="PullOutBoxBodyText"/>
            </w:pPr>
            <w:r w:rsidRPr="00544835">
              <w:t>Senator Richard Di Natale, Australian Greens</w:t>
            </w:r>
          </w:p>
        </w:tc>
      </w:tr>
      <w:tr w:rsidR="00544835" w:rsidRPr="00544835" w:rsidTr="00E20903">
        <w:tc>
          <w:tcPr>
            <w:tcW w:w="3005" w:type="dxa"/>
          </w:tcPr>
          <w:p w:rsidR="00544835" w:rsidRPr="00544835" w:rsidRDefault="00544835" w:rsidP="00BD2867">
            <w:pPr>
              <w:pStyle w:val="PullOutBoxBodyText"/>
            </w:pPr>
            <w:r w:rsidRPr="00544835">
              <w:t>Date of public release of policy:</w:t>
            </w:r>
          </w:p>
        </w:tc>
        <w:tc>
          <w:tcPr>
            <w:tcW w:w="5335" w:type="dxa"/>
          </w:tcPr>
          <w:p w:rsidR="00BD2867" w:rsidRDefault="00544835" w:rsidP="00BD2867">
            <w:pPr>
              <w:pStyle w:val="PullOutBoxBodyText"/>
            </w:pPr>
            <w:r w:rsidRPr="00544835">
              <w:t xml:space="preserve">28 April 2016 </w:t>
            </w:r>
          </w:p>
          <w:p w:rsidR="00544835" w:rsidRPr="00544835" w:rsidRDefault="00E46526" w:rsidP="00BD2867">
            <w:pPr>
              <w:pStyle w:val="PullOutBoxBodyText"/>
            </w:pPr>
            <w:hyperlink r:id="rId244" w:history="1">
              <w:r w:rsidR="00544835" w:rsidRPr="00544835">
                <w:rPr>
                  <w:color w:val="0000FF"/>
                  <w:u w:val="single"/>
                </w:rPr>
                <w:t>http://greens.org.au/sites/greens.org.au/files/20160428_Living%20Reefs-Dying%20Coal.pdf</w:t>
              </w:r>
            </w:hyperlink>
            <w:r w:rsidR="00544835" w:rsidRPr="00544835">
              <w:t xml:space="preserve"> </w:t>
            </w:r>
          </w:p>
        </w:tc>
      </w:tr>
      <w:tr w:rsidR="00544835" w:rsidRPr="00544835" w:rsidTr="00E20903">
        <w:tc>
          <w:tcPr>
            <w:tcW w:w="3005" w:type="dxa"/>
          </w:tcPr>
          <w:p w:rsidR="00544835" w:rsidRPr="00544835" w:rsidRDefault="00544835" w:rsidP="00BD2867">
            <w:pPr>
              <w:pStyle w:val="PullOutBoxBodyText"/>
            </w:pPr>
            <w:r w:rsidRPr="00544835">
              <w:t>Date costing request received:</w:t>
            </w:r>
          </w:p>
        </w:tc>
        <w:tc>
          <w:tcPr>
            <w:tcW w:w="5335" w:type="dxa"/>
          </w:tcPr>
          <w:p w:rsidR="00544835" w:rsidRPr="00544835" w:rsidRDefault="00544835" w:rsidP="00BD2867">
            <w:pPr>
              <w:pStyle w:val="PullOutBoxBodyText"/>
            </w:pPr>
            <w:r w:rsidRPr="00544835">
              <w:t>27 June 2016</w:t>
            </w:r>
          </w:p>
        </w:tc>
      </w:tr>
      <w:tr w:rsidR="00544835" w:rsidRPr="00544835" w:rsidTr="00E20903">
        <w:tc>
          <w:tcPr>
            <w:tcW w:w="3005" w:type="dxa"/>
          </w:tcPr>
          <w:p w:rsidR="00544835" w:rsidRPr="00544835" w:rsidRDefault="00544835" w:rsidP="00BD2867">
            <w:pPr>
              <w:pStyle w:val="PullOutBoxBodyText"/>
            </w:pPr>
            <w:r w:rsidRPr="00544835">
              <w:t>Date costing completed:</w:t>
            </w:r>
          </w:p>
        </w:tc>
        <w:tc>
          <w:tcPr>
            <w:tcW w:w="5335" w:type="dxa"/>
          </w:tcPr>
          <w:p w:rsidR="00544835" w:rsidRPr="00544835" w:rsidRDefault="00544835" w:rsidP="00BD2867">
            <w:pPr>
              <w:pStyle w:val="PullOutBoxBodyText"/>
            </w:pPr>
            <w:r w:rsidRPr="00544835">
              <w:t>28 June 2016</w:t>
            </w:r>
          </w:p>
        </w:tc>
      </w:tr>
      <w:tr w:rsidR="00544835" w:rsidRPr="00544835" w:rsidTr="00E20903">
        <w:tc>
          <w:tcPr>
            <w:tcW w:w="3005" w:type="dxa"/>
          </w:tcPr>
          <w:p w:rsidR="00544835" w:rsidRPr="00544835" w:rsidRDefault="00544835" w:rsidP="00BD2867">
            <w:pPr>
              <w:pStyle w:val="PullOutBoxBodyText"/>
            </w:pPr>
            <w:r w:rsidRPr="00544835">
              <w:t>Additional information received (including date):</w:t>
            </w:r>
          </w:p>
        </w:tc>
        <w:tc>
          <w:tcPr>
            <w:tcW w:w="5335" w:type="dxa"/>
          </w:tcPr>
          <w:p w:rsidR="00544835" w:rsidRPr="00544835" w:rsidRDefault="00544835" w:rsidP="00BD2867">
            <w:pPr>
              <w:pStyle w:val="PullOutBoxBodyText"/>
            </w:pPr>
            <w:r w:rsidRPr="00544835">
              <w:t>On 28 June 2016, the office of Senator Di Natale advised that the proposal would commence from 1 September 2016</w:t>
            </w:r>
          </w:p>
        </w:tc>
      </w:tr>
      <w:tr w:rsidR="00544835" w:rsidRPr="00544835" w:rsidTr="00E20903">
        <w:tc>
          <w:tcPr>
            <w:tcW w:w="3005" w:type="dxa"/>
          </w:tcPr>
          <w:p w:rsidR="00544835" w:rsidRPr="00544835" w:rsidRDefault="00544835" w:rsidP="00BD2867">
            <w:pPr>
              <w:pStyle w:val="PullOutBoxBodyText"/>
            </w:pPr>
            <w:r w:rsidRPr="00544835">
              <w:t>Expiry date for the costing:</w:t>
            </w:r>
          </w:p>
        </w:tc>
        <w:tc>
          <w:tcPr>
            <w:tcW w:w="5335" w:type="dxa"/>
          </w:tcPr>
          <w:p w:rsidR="00544835" w:rsidRPr="00544835" w:rsidRDefault="00544835" w:rsidP="00BD2867">
            <w:pPr>
              <w:pStyle w:val="PullOutBoxBodyText"/>
            </w:pPr>
            <w:r w:rsidRPr="00544835">
              <w:t>Release of the next economic and fiscal outlook report</w:t>
            </w:r>
          </w:p>
        </w:tc>
      </w:tr>
    </w:tbl>
    <w:p w:rsidR="00544835" w:rsidRPr="00905B06" w:rsidRDefault="00544835" w:rsidP="00905B06">
      <w:pPr>
        <w:pStyle w:val="CostingsH7"/>
      </w:pPr>
      <w:r w:rsidRPr="00905B06">
        <w:t>Costing overview</w:t>
      </w:r>
    </w:p>
    <w:p w:rsidR="00544835" w:rsidRPr="00544835" w:rsidRDefault="00544835" w:rsidP="00D90100">
      <w:pPr>
        <w:pStyle w:val="BodyText"/>
      </w:pPr>
      <w:r w:rsidRPr="00544835">
        <w:t>A prohibition on new or expanded thermal coal and CSG projects would be expected to decrease both the fiscal and underlying cash balances by $380 million over the 2016</w:t>
      </w:r>
      <w:r w:rsidRPr="00544835">
        <w:noBreakHyphen/>
        <w:t>17 Budget forward estimates period.  This impact reflects a decrease in tax revenue.</w:t>
      </w:r>
    </w:p>
    <w:p w:rsidR="00544835" w:rsidRPr="00544835" w:rsidRDefault="00544835" w:rsidP="00D90100">
      <w:pPr>
        <w:pStyle w:val="BodyText"/>
      </w:pPr>
      <w:r w:rsidRPr="00544835">
        <w:t xml:space="preserve">A breakdown of the estimated financial impact of this proposal is provided at </w:t>
      </w:r>
      <w:r w:rsidRPr="00544835">
        <w:rPr>
          <w:u w:val="single"/>
        </w:rPr>
        <w:t>Attachment A</w:t>
      </w:r>
      <w:r w:rsidRPr="00544835">
        <w:t>.</w:t>
      </w:r>
    </w:p>
    <w:p w:rsidR="00544835" w:rsidRPr="00544835" w:rsidRDefault="00544835" w:rsidP="00D90100">
      <w:pPr>
        <w:pStyle w:val="BodyText"/>
      </w:pPr>
      <w:r w:rsidRPr="00544835">
        <w:t>This proposal would have a significant ongoing impact that would extend (and could increase) beyond the forward estimates period depending on developments in the global markets for coal and CSG.</w:t>
      </w:r>
    </w:p>
    <w:p w:rsidR="00544835" w:rsidRPr="00544835" w:rsidRDefault="00544835" w:rsidP="00D90100">
      <w:pPr>
        <w:pStyle w:val="BodyText"/>
      </w:pPr>
      <w:r w:rsidRPr="00544835">
        <w:t>Departmental expenses are not expected to be significant and have not been included in this costing.</w:t>
      </w:r>
    </w:p>
    <w:p w:rsidR="00544835" w:rsidRPr="00544835" w:rsidRDefault="00544835" w:rsidP="00D90100">
      <w:pPr>
        <w:pStyle w:val="BodyText"/>
      </w:pPr>
      <w:r w:rsidRPr="00544835">
        <w:t>This costing is considered to be of very low reliability.  It is based on limited data about new mining projects, forecasts of expected future thermal coal and CSG prices and production volumes, and it is uncertain when these projects would be in a taxable position.</w:t>
      </w:r>
    </w:p>
    <w:p w:rsidR="00544835" w:rsidRPr="00544835" w:rsidRDefault="00544835" w:rsidP="00D90100">
      <w:pPr>
        <w:pStyle w:val="BodyText"/>
      </w:pPr>
      <w:r w:rsidRPr="00544835">
        <w:t>This proposal would also have broad economic impacts that extend beyond the coal and gas industry, particularly in the longer term, that have not been evaluated in this costing.</w:t>
      </w:r>
    </w:p>
    <w:p w:rsidR="00544835" w:rsidRPr="00544835" w:rsidRDefault="00544835" w:rsidP="00905B06">
      <w:pPr>
        <w:pStyle w:val="Caption"/>
      </w:pPr>
      <w:r w:rsidRPr="00544835">
        <w:t>Table 1: Financial implications (outturn prices)</w:t>
      </w:r>
      <w:r w:rsidRPr="00544835">
        <w:rPr>
          <w:vertAlign w:val="superscript"/>
        </w:rPr>
        <w:t>(a)(b)</w:t>
      </w:r>
    </w:p>
    <w:tbl>
      <w:tblPr>
        <w:tblStyle w:val="TableGrid28"/>
        <w:tblW w:w="4993" w:type="pct"/>
        <w:tblLook w:val="04A0" w:firstRow="1" w:lastRow="0" w:firstColumn="1" w:lastColumn="0" w:noHBand="0" w:noVBand="1"/>
      </w:tblPr>
      <w:tblGrid>
        <w:gridCol w:w="2645"/>
        <w:gridCol w:w="1134"/>
        <w:gridCol w:w="1133"/>
        <w:gridCol w:w="1133"/>
        <w:gridCol w:w="1133"/>
        <w:gridCol w:w="1132"/>
      </w:tblGrid>
      <w:tr w:rsidR="00544835" w:rsidRPr="00544835" w:rsidTr="00E209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544835" w:rsidRPr="00544835" w:rsidRDefault="00544835" w:rsidP="00544835">
            <w:pPr>
              <w:keepNext/>
              <w:keepLines/>
              <w:spacing w:line="240" w:lineRule="auto"/>
              <w:ind w:left="57" w:right="57"/>
              <w:rPr>
                <w:szCs w:val="20"/>
              </w:rPr>
            </w:pPr>
            <w:r w:rsidRPr="00544835">
              <w:rPr>
                <w:szCs w:val="20"/>
              </w:rPr>
              <w:t>Impact on ($m)</w:t>
            </w:r>
          </w:p>
        </w:tc>
        <w:tc>
          <w:tcPr>
            <w:tcW w:w="682" w:type="pct"/>
            <w:vAlign w:val="center"/>
          </w:tcPr>
          <w:p w:rsidR="00544835" w:rsidRPr="00544835" w:rsidRDefault="00544835" w:rsidP="0054483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44835">
              <w:rPr>
                <w:szCs w:val="20"/>
              </w:rPr>
              <w:t>2016–17</w:t>
            </w:r>
          </w:p>
        </w:tc>
        <w:tc>
          <w:tcPr>
            <w:tcW w:w="682" w:type="pct"/>
            <w:vAlign w:val="center"/>
          </w:tcPr>
          <w:p w:rsidR="00544835" w:rsidRPr="00544835" w:rsidRDefault="00544835" w:rsidP="0054483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44835">
              <w:rPr>
                <w:szCs w:val="20"/>
              </w:rPr>
              <w:t>2017–18</w:t>
            </w:r>
          </w:p>
        </w:tc>
        <w:tc>
          <w:tcPr>
            <w:tcW w:w="682" w:type="pct"/>
            <w:vAlign w:val="center"/>
          </w:tcPr>
          <w:p w:rsidR="00544835" w:rsidRPr="00544835" w:rsidRDefault="00544835" w:rsidP="0054483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44835">
              <w:rPr>
                <w:szCs w:val="20"/>
              </w:rPr>
              <w:t>2018–19</w:t>
            </w:r>
          </w:p>
        </w:tc>
        <w:tc>
          <w:tcPr>
            <w:tcW w:w="682" w:type="pct"/>
            <w:vAlign w:val="center"/>
          </w:tcPr>
          <w:p w:rsidR="00544835" w:rsidRPr="00544835" w:rsidRDefault="00544835" w:rsidP="0054483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44835">
              <w:rPr>
                <w:szCs w:val="20"/>
              </w:rPr>
              <w:t>2019–20</w:t>
            </w:r>
          </w:p>
        </w:tc>
        <w:tc>
          <w:tcPr>
            <w:tcW w:w="681" w:type="pct"/>
            <w:vAlign w:val="center"/>
          </w:tcPr>
          <w:p w:rsidR="00544835" w:rsidRPr="00544835" w:rsidRDefault="00544835" w:rsidP="0054483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44835">
              <w:rPr>
                <w:b/>
                <w:szCs w:val="20"/>
              </w:rPr>
              <w:t>Total</w:t>
            </w:r>
          </w:p>
        </w:tc>
      </w:tr>
      <w:tr w:rsidR="00544835" w:rsidRPr="00544835" w:rsidTr="00E2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544835" w:rsidRPr="00544835" w:rsidRDefault="00544835" w:rsidP="00544835">
            <w:pPr>
              <w:keepNext/>
              <w:keepLines/>
              <w:spacing w:line="240" w:lineRule="auto"/>
              <w:ind w:left="57" w:right="57"/>
              <w:rPr>
                <w:szCs w:val="20"/>
              </w:rPr>
            </w:pPr>
            <w:r w:rsidRPr="00544835">
              <w:rPr>
                <w:szCs w:val="20"/>
              </w:rPr>
              <w:t>Fiscal balance</w:t>
            </w:r>
          </w:p>
        </w:tc>
        <w:tc>
          <w:tcPr>
            <w:tcW w:w="682" w:type="pct"/>
          </w:tcPr>
          <w:p w:rsidR="00544835" w:rsidRPr="00544835" w:rsidRDefault="00544835" w:rsidP="00544835">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544835">
              <w:rPr>
                <w:rFonts w:ascii="Calibri" w:hAnsi="Calibri"/>
                <w:szCs w:val="20"/>
              </w:rPr>
              <w:t>..</w:t>
            </w:r>
          </w:p>
        </w:tc>
        <w:tc>
          <w:tcPr>
            <w:tcW w:w="682" w:type="pct"/>
          </w:tcPr>
          <w:p w:rsidR="00544835" w:rsidRPr="00544835" w:rsidRDefault="00544835" w:rsidP="00544835">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544835">
              <w:rPr>
                <w:rFonts w:ascii="Calibri" w:hAnsi="Calibri"/>
                <w:szCs w:val="20"/>
              </w:rPr>
              <w:t>-50.0</w:t>
            </w:r>
          </w:p>
        </w:tc>
        <w:tc>
          <w:tcPr>
            <w:tcW w:w="682" w:type="pct"/>
          </w:tcPr>
          <w:p w:rsidR="00544835" w:rsidRPr="00544835" w:rsidRDefault="00544835" w:rsidP="00544835">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544835">
              <w:rPr>
                <w:rFonts w:ascii="Calibri" w:hAnsi="Calibri"/>
                <w:szCs w:val="20"/>
              </w:rPr>
              <w:t>-150.0</w:t>
            </w:r>
          </w:p>
        </w:tc>
        <w:tc>
          <w:tcPr>
            <w:tcW w:w="682" w:type="pct"/>
          </w:tcPr>
          <w:p w:rsidR="00544835" w:rsidRPr="00544835" w:rsidRDefault="00544835" w:rsidP="00544835">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544835">
              <w:rPr>
                <w:rFonts w:ascii="Calibri" w:hAnsi="Calibri"/>
                <w:szCs w:val="20"/>
              </w:rPr>
              <w:t>-180.0</w:t>
            </w:r>
          </w:p>
        </w:tc>
        <w:tc>
          <w:tcPr>
            <w:tcW w:w="681" w:type="pct"/>
          </w:tcPr>
          <w:p w:rsidR="00544835" w:rsidRPr="00544835" w:rsidRDefault="00544835" w:rsidP="00544835">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544835">
              <w:rPr>
                <w:rFonts w:ascii="Calibri" w:hAnsi="Calibri"/>
                <w:b/>
                <w:szCs w:val="20"/>
              </w:rPr>
              <w:t>-380.0</w:t>
            </w:r>
          </w:p>
        </w:tc>
      </w:tr>
      <w:tr w:rsidR="00544835" w:rsidRPr="00544835" w:rsidTr="00E20903">
        <w:tc>
          <w:tcPr>
            <w:cnfStyle w:val="001000000000" w:firstRow="0" w:lastRow="0" w:firstColumn="1" w:lastColumn="0" w:oddVBand="0" w:evenVBand="0" w:oddHBand="0" w:evenHBand="0" w:firstRowFirstColumn="0" w:firstRowLastColumn="0" w:lastRowFirstColumn="0" w:lastRowLastColumn="0"/>
            <w:tcW w:w="1591" w:type="pct"/>
          </w:tcPr>
          <w:p w:rsidR="00544835" w:rsidRPr="00544835" w:rsidRDefault="00544835" w:rsidP="00544835">
            <w:pPr>
              <w:keepNext/>
              <w:keepLines/>
              <w:spacing w:line="240" w:lineRule="auto"/>
              <w:ind w:left="57" w:right="57"/>
              <w:rPr>
                <w:szCs w:val="20"/>
              </w:rPr>
            </w:pPr>
            <w:r w:rsidRPr="00544835">
              <w:rPr>
                <w:szCs w:val="20"/>
              </w:rPr>
              <w:t>Underlying cash balance</w:t>
            </w:r>
          </w:p>
        </w:tc>
        <w:tc>
          <w:tcPr>
            <w:tcW w:w="682" w:type="pct"/>
          </w:tcPr>
          <w:p w:rsidR="00544835" w:rsidRPr="00544835" w:rsidRDefault="00544835" w:rsidP="0054483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4835">
              <w:rPr>
                <w:rFonts w:ascii="Calibri" w:hAnsi="Calibri"/>
                <w:szCs w:val="20"/>
              </w:rPr>
              <w:t>..</w:t>
            </w:r>
          </w:p>
        </w:tc>
        <w:tc>
          <w:tcPr>
            <w:tcW w:w="682" w:type="pct"/>
          </w:tcPr>
          <w:p w:rsidR="00544835" w:rsidRPr="00544835" w:rsidRDefault="00544835" w:rsidP="0054483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4835">
              <w:rPr>
                <w:rFonts w:ascii="Calibri" w:hAnsi="Calibri"/>
                <w:szCs w:val="20"/>
              </w:rPr>
              <w:t>-50.0</w:t>
            </w:r>
          </w:p>
        </w:tc>
        <w:tc>
          <w:tcPr>
            <w:tcW w:w="682" w:type="pct"/>
          </w:tcPr>
          <w:p w:rsidR="00544835" w:rsidRPr="00544835" w:rsidRDefault="00544835" w:rsidP="0054483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4835">
              <w:rPr>
                <w:rFonts w:ascii="Calibri" w:hAnsi="Calibri"/>
                <w:szCs w:val="20"/>
              </w:rPr>
              <w:t>-150.0</w:t>
            </w:r>
          </w:p>
        </w:tc>
        <w:tc>
          <w:tcPr>
            <w:tcW w:w="682" w:type="pct"/>
          </w:tcPr>
          <w:p w:rsidR="00544835" w:rsidRPr="00544835" w:rsidRDefault="00544835" w:rsidP="0054483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4835">
              <w:rPr>
                <w:rFonts w:ascii="Calibri" w:hAnsi="Calibri"/>
                <w:szCs w:val="20"/>
              </w:rPr>
              <w:t>-180.0</w:t>
            </w:r>
          </w:p>
        </w:tc>
        <w:tc>
          <w:tcPr>
            <w:tcW w:w="681" w:type="pct"/>
          </w:tcPr>
          <w:p w:rsidR="00544835" w:rsidRPr="00544835" w:rsidRDefault="00544835" w:rsidP="0054483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4835">
              <w:rPr>
                <w:rFonts w:ascii="Calibri" w:hAnsi="Calibri"/>
                <w:b/>
                <w:szCs w:val="20"/>
              </w:rPr>
              <w:t>-380.0</w:t>
            </w:r>
          </w:p>
        </w:tc>
      </w:tr>
    </w:tbl>
    <w:p w:rsidR="00544835" w:rsidRPr="00310E0B" w:rsidRDefault="00544835" w:rsidP="000B5C96">
      <w:pPr>
        <w:pStyle w:val="Footnotes"/>
        <w:numPr>
          <w:ilvl w:val="0"/>
          <w:numId w:val="103"/>
        </w:numPr>
        <w:ind w:left="284" w:hanging="284"/>
      </w:pPr>
      <w:r w:rsidRPr="00310E0B">
        <w:t>A positive number represents an increase in the relevant budget balance, a negative number a decrease.</w:t>
      </w:r>
    </w:p>
    <w:p w:rsidR="00544835" w:rsidRPr="00544835" w:rsidRDefault="00544835" w:rsidP="000B5C96">
      <w:pPr>
        <w:pStyle w:val="Footnotes"/>
        <w:numPr>
          <w:ilvl w:val="0"/>
          <w:numId w:val="103"/>
        </w:numPr>
        <w:ind w:left="284" w:hanging="284"/>
      </w:pPr>
      <w:r w:rsidRPr="00544835">
        <w:t>Figures may not sum to totals due to rounding.</w:t>
      </w:r>
    </w:p>
    <w:p w:rsidR="00544835" w:rsidRPr="00544835" w:rsidRDefault="00544835" w:rsidP="00430B24">
      <w:pPr>
        <w:pStyle w:val="Footnotes"/>
        <w:numPr>
          <w:ilvl w:val="0"/>
          <w:numId w:val="0"/>
        </w:numPr>
        <w:ind w:left="284" w:hanging="284"/>
      </w:pPr>
      <w:r w:rsidRPr="00544835">
        <w:t>..</w:t>
      </w:r>
      <w:r w:rsidR="00430B24">
        <w:tab/>
      </w:r>
      <w:r w:rsidRPr="00544835">
        <w:tab/>
        <w:t>Not zero, but rounded to zero.</w:t>
      </w:r>
    </w:p>
    <w:p w:rsidR="00544835" w:rsidRPr="00905B06" w:rsidRDefault="00544835" w:rsidP="00905B06">
      <w:pPr>
        <w:pStyle w:val="CostingsH7"/>
      </w:pPr>
      <w:r w:rsidRPr="00905B06">
        <w:t>Key assumptions</w:t>
      </w:r>
    </w:p>
    <w:p w:rsidR="00544835" w:rsidRPr="00544835" w:rsidRDefault="00544835" w:rsidP="00D90100">
      <w:pPr>
        <w:pStyle w:val="BodyText"/>
      </w:pPr>
      <w:r w:rsidRPr="00544835">
        <w:t>The Parliamentary Budget Office has made the following assumptions regarding this costing:</w:t>
      </w:r>
    </w:p>
    <w:p w:rsidR="00544835" w:rsidRPr="00544835" w:rsidRDefault="00544835" w:rsidP="00310E0B">
      <w:pPr>
        <w:pStyle w:val="ListBullet"/>
        <w:rPr>
          <w:lang w:eastAsia="en-AU"/>
        </w:rPr>
      </w:pPr>
      <w:r w:rsidRPr="00544835">
        <w:rPr>
          <w:lang w:eastAsia="en-AU"/>
        </w:rPr>
        <w:t>The prohibition on thermal coal and CSG for export would reduce the expected return from, and viability of, all thermal coal mining and CSG extraction activity, leading to no new facilities opening for domestic consumption in the short-term.  Approximately 85 per cent of thermal coal produced in Australia is currently exported.</w:t>
      </w:r>
    </w:p>
    <w:p w:rsidR="00544835" w:rsidRPr="00544835" w:rsidRDefault="00544835" w:rsidP="00310E0B">
      <w:pPr>
        <w:pStyle w:val="ListBullet"/>
        <w:rPr>
          <w:lang w:eastAsia="en-AU"/>
        </w:rPr>
      </w:pPr>
      <w:r w:rsidRPr="00544835">
        <w:rPr>
          <w:lang w:eastAsia="en-AU"/>
        </w:rPr>
        <w:t>The costing does not include any estimate of compensation that may be payable to individuals or companies affected by the prohibition on new thermal coal mining or CSG extraction.</w:t>
      </w:r>
    </w:p>
    <w:p w:rsidR="00544835" w:rsidRPr="00544835" w:rsidRDefault="00544835" w:rsidP="00310E0B">
      <w:pPr>
        <w:pStyle w:val="ListBullet"/>
        <w:rPr>
          <w:lang w:eastAsia="en-AU"/>
        </w:rPr>
      </w:pPr>
      <w:r w:rsidRPr="00544835">
        <w:rPr>
          <w:lang w:eastAsia="en-AU"/>
        </w:rPr>
        <w:t>A proportion of companies affected by the proposal would be non-taxable due to tax losses.</w:t>
      </w:r>
    </w:p>
    <w:p w:rsidR="00544835" w:rsidRPr="00905B06" w:rsidRDefault="00544835" w:rsidP="00905B06">
      <w:pPr>
        <w:pStyle w:val="CostingsH7"/>
      </w:pPr>
      <w:r w:rsidRPr="00905B06">
        <w:t>Methodology</w:t>
      </w:r>
    </w:p>
    <w:p w:rsidR="00544835" w:rsidRPr="00544835" w:rsidRDefault="00544835" w:rsidP="00D90100">
      <w:pPr>
        <w:pStyle w:val="BodyText"/>
      </w:pPr>
      <w:r w:rsidRPr="00544835">
        <w:t xml:space="preserve">Production of thermal coal and CSG from projects yet to commence mining was estimated using the most recent edition of the Department of Industry, Innovation and Science publication </w:t>
      </w:r>
      <w:r w:rsidRPr="00544835">
        <w:rPr>
          <w:i/>
        </w:rPr>
        <w:t>Resource and Energy Major Projects</w:t>
      </w:r>
      <w:r w:rsidRPr="00544835">
        <w:t>.  Projects yet to commence were identified and assigned a probability of progressing to completion.  The expected output from the projects was multiplied by the probability of completion to estimate the production volumes.</w:t>
      </w:r>
    </w:p>
    <w:p w:rsidR="00544835" w:rsidRPr="00544835" w:rsidRDefault="00544835" w:rsidP="00D90100">
      <w:pPr>
        <w:pStyle w:val="BodyText"/>
      </w:pPr>
      <w:r w:rsidRPr="00544835">
        <w:t xml:space="preserve">The estimated decrease in production volume as a result of the prohibition on new thermal coal mines and CSG projects, and thermal coal and CSG price estimates from the </w:t>
      </w:r>
      <w:r w:rsidRPr="00544835">
        <w:rPr>
          <w:i/>
        </w:rPr>
        <w:t>2016 Pre</w:t>
      </w:r>
      <w:r w:rsidRPr="00544835">
        <w:rPr>
          <w:i/>
        </w:rPr>
        <w:noBreakHyphen/>
        <w:t>election Economic and Fiscal Outlook</w:t>
      </w:r>
      <w:r w:rsidRPr="00544835">
        <w:t xml:space="preserve"> were used to calculate the forgone company profits and company tax revenue.</w:t>
      </w:r>
    </w:p>
    <w:p w:rsidR="00544835" w:rsidRPr="00544835" w:rsidRDefault="00544835" w:rsidP="00D90100">
      <w:pPr>
        <w:pStyle w:val="BodyText"/>
      </w:pPr>
      <w:r w:rsidRPr="00544835">
        <w:t>Estimates have been rounded to the nearest $10 million.</w:t>
      </w:r>
    </w:p>
    <w:p w:rsidR="00544835" w:rsidRPr="00905B06" w:rsidRDefault="00544835" w:rsidP="00905B06">
      <w:pPr>
        <w:pStyle w:val="CostingsH7"/>
      </w:pPr>
      <w:r w:rsidRPr="00905B06">
        <w:t>Data sources</w:t>
      </w:r>
    </w:p>
    <w:p w:rsidR="00544835" w:rsidRPr="00544835" w:rsidRDefault="00544835" w:rsidP="00D90100">
      <w:pPr>
        <w:pStyle w:val="ListBullet"/>
        <w:rPr>
          <w:lang w:eastAsia="en-AU"/>
        </w:rPr>
      </w:pPr>
      <w:r w:rsidRPr="00544835">
        <w:rPr>
          <w:lang w:eastAsia="en-AU"/>
        </w:rPr>
        <w:t>Australian Taxation Office – Taxation Statistics 2013-14</w:t>
      </w:r>
    </w:p>
    <w:p w:rsidR="00544835" w:rsidRPr="00544835" w:rsidRDefault="00544835" w:rsidP="00D90100">
      <w:pPr>
        <w:pStyle w:val="ListBullet"/>
        <w:rPr>
          <w:lang w:eastAsia="en-AU"/>
        </w:rPr>
      </w:pPr>
      <w:r w:rsidRPr="00544835">
        <w:rPr>
          <w:lang w:eastAsia="en-AU"/>
        </w:rPr>
        <w:t>Australian Taxation Office – 2013-14 company tax return data</w:t>
      </w:r>
    </w:p>
    <w:p w:rsidR="00544835" w:rsidRPr="00544835" w:rsidRDefault="00544835" w:rsidP="00D90100">
      <w:pPr>
        <w:pStyle w:val="ListBullet"/>
        <w:rPr>
          <w:lang w:eastAsia="en-AU"/>
        </w:rPr>
      </w:pPr>
      <w:r w:rsidRPr="00544835">
        <w:rPr>
          <w:lang w:eastAsia="en-AU"/>
        </w:rPr>
        <w:t xml:space="preserve">Department of Industry, Innovation, and Science – </w:t>
      </w:r>
      <w:r w:rsidRPr="00544835">
        <w:rPr>
          <w:i/>
          <w:lang w:eastAsia="en-AU"/>
        </w:rPr>
        <w:t>Resources and Energy Major Projects</w:t>
      </w:r>
    </w:p>
    <w:p w:rsidR="00544835" w:rsidRPr="00544835" w:rsidRDefault="00544835" w:rsidP="00D90100">
      <w:pPr>
        <w:pStyle w:val="ListBullet"/>
        <w:rPr>
          <w:lang w:eastAsia="en-AU"/>
        </w:rPr>
      </w:pPr>
      <w:r w:rsidRPr="00544835">
        <w:rPr>
          <w:lang w:eastAsia="en-AU"/>
        </w:rPr>
        <w:t xml:space="preserve">Department of Industry, Innovation, and Science – </w:t>
      </w:r>
      <w:r w:rsidRPr="00544835">
        <w:rPr>
          <w:i/>
          <w:lang w:eastAsia="en-AU"/>
        </w:rPr>
        <w:t>Resources and Energy Quarterly</w:t>
      </w:r>
    </w:p>
    <w:p w:rsidR="00544835" w:rsidRPr="00544835" w:rsidRDefault="00544835" w:rsidP="00D90100">
      <w:pPr>
        <w:pStyle w:val="ListBullet"/>
        <w:rPr>
          <w:lang w:eastAsia="en-AU"/>
        </w:rPr>
      </w:pPr>
      <w:r w:rsidRPr="00544835">
        <w:rPr>
          <w:lang w:eastAsia="en-AU"/>
        </w:rPr>
        <w:t>2016 Pre-election Economic and Fiscal Outlook</w:t>
      </w:r>
    </w:p>
    <w:p w:rsidR="00544835" w:rsidRPr="00544835" w:rsidRDefault="00544835" w:rsidP="00D90100">
      <w:pPr>
        <w:pStyle w:val="ListBullet"/>
        <w:rPr>
          <w:rFonts w:ascii="Calibri" w:eastAsia="Calibri" w:hAnsi="Calibri" w:cs="Times New Roman"/>
          <w:highlight w:val="yellow"/>
        </w:rPr>
        <w:sectPr w:rsidR="00544835" w:rsidRPr="00544835" w:rsidSect="00DB2309">
          <w:pgSz w:w="11906" w:h="16838"/>
          <w:pgMar w:top="1361" w:right="1797" w:bottom="1474" w:left="1797" w:header="283" w:footer="454" w:gutter="0"/>
          <w:cols w:space="708"/>
          <w:docGrid w:linePitch="360"/>
        </w:sectPr>
      </w:pPr>
    </w:p>
    <w:p w:rsidR="00544835" w:rsidRPr="00544835" w:rsidRDefault="00544835" w:rsidP="007A4BF9">
      <w:pPr>
        <w:pStyle w:val="Heading6"/>
        <w:rPr>
          <w:rFonts w:eastAsia="Calibri"/>
        </w:rPr>
      </w:pPr>
      <w:r w:rsidRPr="00544835">
        <w:rPr>
          <w:rFonts w:eastAsia="Calibri"/>
        </w:rPr>
        <w:t>Attachment A: No new coal or gas mines—financial implications</w:t>
      </w:r>
    </w:p>
    <w:p w:rsidR="00544835" w:rsidRPr="00544835" w:rsidRDefault="00544835" w:rsidP="00D90100">
      <w:pPr>
        <w:pStyle w:val="BodyText"/>
      </w:pPr>
      <w:r w:rsidRPr="00544835">
        <w:t>The following table provides a breakdown of the estimated impacts of a prohibition on new or expanded thermal coal and CSG projects over the 2016-17 Budget forward estimates period.</w:t>
      </w:r>
    </w:p>
    <w:p w:rsidR="00544835" w:rsidRPr="00544835" w:rsidRDefault="00544835" w:rsidP="00905B06">
      <w:pPr>
        <w:pStyle w:val="Caption"/>
        <w:rPr>
          <w:vertAlign w:val="superscript"/>
        </w:rPr>
      </w:pPr>
      <w:r w:rsidRPr="00544835">
        <w:t>Table A1: No new coal or gas mines—Financial implications (outturn prices)</w:t>
      </w:r>
      <w:r w:rsidRPr="00544835">
        <w:rPr>
          <w:vertAlign w:val="superscript"/>
        </w:rPr>
        <w:t>(a)(b)</w:t>
      </w:r>
    </w:p>
    <w:tbl>
      <w:tblPr>
        <w:tblStyle w:val="TableGrid28"/>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544835" w:rsidRPr="00544835" w:rsidTr="00E20903">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544835" w:rsidRPr="00544835" w:rsidRDefault="00544835" w:rsidP="00544835">
            <w:pPr>
              <w:keepNext/>
              <w:keepLines/>
              <w:spacing w:line="240" w:lineRule="auto"/>
              <w:ind w:left="57" w:right="57"/>
              <w:rPr>
                <w:b/>
                <w:szCs w:val="20"/>
              </w:rPr>
            </w:pPr>
            <w:r w:rsidRPr="00544835">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544835" w:rsidRPr="00544835" w:rsidRDefault="00544835" w:rsidP="0054483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44835">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544835" w:rsidRPr="00544835" w:rsidRDefault="00544835" w:rsidP="0054483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44835">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544835" w:rsidRPr="00544835" w:rsidRDefault="00544835" w:rsidP="0054483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44835">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544835" w:rsidRPr="00544835" w:rsidRDefault="00544835" w:rsidP="0054483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44835">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544835" w:rsidRPr="00544835" w:rsidRDefault="00544835" w:rsidP="00544835">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544835">
              <w:rPr>
                <w:b/>
              </w:rPr>
              <w:t>Total</w:t>
            </w:r>
            <w:r w:rsidRPr="00544835">
              <w:rPr>
                <w:b/>
                <w:szCs w:val="20"/>
              </w:rPr>
              <w:t xml:space="preserve"> to 2019–20</w:t>
            </w:r>
          </w:p>
        </w:tc>
      </w:tr>
      <w:tr w:rsidR="00544835" w:rsidRPr="00544835" w:rsidTr="00E209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544835" w:rsidRPr="00544835" w:rsidRDefault="00544835" w:rsidP="00544835">
            <w:pPr>
              <w:keepNext/>
              <w:keepLines/>
              <w:spacing w:line="240" w:lineRule="auto"/>
              <w:ind w:left="57" w:right="57"/>
              <w:rPr>
                <w:b/>
              </w:rPr>
            </w:pPr>
            <w:r w:rsidRPr="00544835">
              <w:rPr>
                <w:b/>
                <w:bCs/>
              </w:rPr>
              <w:t>Impact on fiscal and underlying cash balances</w:t>
            </w:r>
          </w:p>
        </w:tc>
      </w:tr>
      <w:tr w:rsidR="00544835" w:rsidRPr="00544835" w:rsidTr="00E20903">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keepNext/>
              <w:keepLines/>
              <w:spacing w:line="240" w:lineRule="auto"/>
              <w:ind w:left="57" w:right="57"/>
              <w:rPr>
                <w:b/>
                <w:szCs w:val="20"/>
              </w:rPr>
            </w:pPr>
            <w:r w:rsidRPr="00544835">
              <w:rPr>
                <w:b/>
                <w:szCs w:val="20"/>
              </w:rPr>
              <w:t>No new or expanded thermal coal mining</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p>
        </w:tc>
      </w:tr>
      <w:tr w:rsidR="00544835" w:rsidRPr="00544835" w:rsidTr="00E209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keepNext/>
              <w:keepLines/>
              <w:spacing w:line="240" w:lineRule="auto"/>
              <w:ind w:left="57" w:right="57"/>
              <w:rPr>
                <w:i/>
                <w:szCs w:val="20"/>
              </w:rPr>
            </w:pPr>
            <w:r w:rsidRPr="00544835">
              <w:rPr>
                <w:i/>
                <w:szCs w:val="20"/>
              </w:rPr>
              <w:t xml:space="preserve">Revenue </w:t>
            </w:r>
            <w:r w:rsidRPr="00544835">
              <w:rPr>
                <w:i/>
                <w:szCs w:val="20"/>
              </w:rPr>
              <w:noBreakHyphen/>
              <w:t xml:space="preserve"> Company Tax</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44835">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44835">
              <w:rPr>
                <w:rFonts w:ascii="Calibri" w:hAnsi="Calibri"/>
                <w:i/>
              </w:rPr>
              <w:t>-20.0</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44835">
              <w:rPr>
                <w:rFonts w:ascii="Calibri" w:hAnsi="Calibri"/>
                <w:i/>
              </w:rPr>
              <w:t>-40.0</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44835">
              <w:rPr>
                <w:rFonts w:ascii="Calibri" w:hAnsi="Calibri"/>
                <w:i/>
              </w:rPr>
              <w:t>-60.0</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44835">
              <w:rPr>
                <w:rFonts w:ascii="Calibri" w:hAnsi="Calibri"/>
                <w:b/>
                <w:i/>
              </w:rPr>
              <w:t>-120.0</w:t>
            </w:r>
          </w:p>
        </w:tc>
      </w:tr>
      <w:tr w:rsidR="00544835" w:rsidRPr="00544835" w:rsidTr="00E20903">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keepNext/>
              <w:keepLines/>
              <w:spacing w:line="240" w:lineRule="auto"/>
              <w:ind w:left="57" w:right="57"/>
              <w:rPr>
                <w:b/>
                <w:szCs w:val="20"/>
              </w:rPr>
            </w:pPr>
            <w:r w:rsidRPr="00544835">
              <w:rPr>
                <w:b/>
                <w:szCs w:val="20"/>
              </w:rPr>
              <w:t>No new or expanded onshore gas mining</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p>
        </w:tc>
      </w:tr>
      <w:tr w:rsidR="00544835" w:rsidRPr="00544835" w:rsidTr="00E209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keepNext/>
              <w:keepLines/>
              <w:spacing w:line="240" w:lineRule="auto"/>
              <w:ind w:left="57" w:right="57"/>
              <w:rPr>
                <w:i/>
                <w:szCs w:val="20"/>
              </w:rPr>
            </w:pPr>
            <w:r w:rsidRPr="00544835">
              <w:rPr>
                <w:i/>
                <w:szCs w:val="20"/>
              </w:rPr>
              <w:t xml:space="preserve">Revenue </w:t>
            </w:r>
            <w:r w:rsidRPr="00544835">
              <w:rPr>
                <w:i/>
                <w:szCs w:val="20"/>
              </w:rPr>
              <w:noBreakHyphen/>
              <w:t xml:space="preserve"> Company Tax</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44835">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44835">
              <w:rPr>
                <w:rFonts w:ascii="Calibri" w:hAnsi="Calibri"/>
                <w:i/>
              </w:rPr>
              <w:t>-30.0</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44835">
              <w:rPr>
                <w:rFonts w:ascii="Calibri" w:hAnsi="Calibri"/>
                <w:i/>
              </w:rPr>
              <w:t>-110.0</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44835">
              <w:rPr>
                <w:rFonts w:ascii="Calibri" w:hAnsi="Calibri"/>
                <w:i/>
              </w:rPr>
              <w:t>-120.0</w:t>
            </w:r>
          </w:p>
        </w:tc>
        <w:tc>
          <w:tcPr>
            <w:tcW w:w="682" w:type="pct"/>
            <w:tcBorders>
              <w:top w:val="single" w:sz="4" w:space="0" w:color="788184"/>
              <w:left w:val="single" w:sz="4" w:space="0" w:color="788184"/>
              <w:bottom w:val="single" w:sz="4" w:space="0" w:color="788184"/>
              <w:right w:val="single" w:sz="4" w:space="0" w:color="788184"/>
            </w:tcBorders>
          </w:tcPr>
          <w:p w:rsidR="00544835" w:rsidRPr="00544835" w:rsidRDefault="00544835" w:rsidP="00544835">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44835">
              <w:rPr>
                <w:rFonts w:ascii="Calibri" w:hAnsi="Calibri"/>
                <w:b/>
                <w:i/>
              </w:rPr>
              <w:t>-260.0</w:t>
            </w:r>
          </w:p>
        </w:tc>
      </w:tr>
      <w:tr w:rsidR="00544835" w:rsidRPr="00544835" w:rsidTr="00E20903">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544835" w:rsidRPr="00544835" w:rsidRDefault="00544835" w:rsidP="00544835">
            <w:pPr>
              <w:keepNext/>
              <w:keepLines/>
              <w:spacing w:line="240" w:lineRule="auto"/>
              <w:ind w:left="57" w:right="57"/>
              <w:rPr>
                <w:b/>
                <w:szCs w:val="20"/>
              </w:rPr>
            </w:pPr>
            <w:r w:rsidRPr="00544835">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4835">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4835">
              <w:rPr>
                <w:rFonts w:ascii="Calibri" w:hAnsi="Calibri"/>
                <w:b/>
              </w:rPr>
              <w:t>-50.0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4835">
              <w:rPr>
                <w:rFonts w:ascii="Calibri" w:hAnsi="Calibri"/>
                <w:b/>
              </w:rPr>
              <w:t>-150.0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4835">
              <w:rPr>
                <w:rFonts w:ascii="Calibri" w:hAnsi="Calibri"/>
                <w:b/>
              </w:rPr>
              <w:t>-180.0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544835" w:rsidRPr="00544835" w:rsidRDefault="00544835" w:rsidP="0054483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4835">
              <w:rPr>
                <w:rFonts w:ascii="Calibri" w:hAnsi="Calibri"/>
                <w:b/>
              </w:rPr>
              <w:t>-380.0</w:t>
            </w:r>
          </w:p>
        </w:tc>
      </w:tr>
    </w:tbl>
    <w:p w:rsidR="00544835" w:rsidRPr="0098201C" w:rsidRDefault="00544835" w:rsidP="000B5C96">
      <w:pPr>
        <w:pStyle w:val="Footnotes"/>
        <w:numPr>
          <w:ilvl w:val="0"/>
          <w:numId w:val="104"/>
        </w:numPr>
        <w:ind w:left="284" w:hanging="284"/>
      </w:pPr>
      <w:r w:rsidRPr="0098201C">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544835" w:rsidRPr="00544835" w:rsidRDefault="00544835" w:rsidP="000B5C96">
      <w:pPr>
        <w:pStyle w:val="Footnotes"/>
        <w:numPr>
          <w:ilvl w:val="0"/>
          <w:numId w:val="104"/>
        </w:numPr>
        <w:ind w:left="284" w:hanging="284"/>
      </w:pPr>
      <w:r w:rsidRPr="00544835">
        <w:t>Figures may not sum to totals due to rounding.</w:t>
      </w:r>
    </w:p>
    <w:p w:rsidR="00544835" w:rsidRPr="00544835" w:rsidRDefault="00544835" w:rsidP="00D764FE">
      <w:pPr>
        <w:pStyle w:val="Footnotes"/>
        <w:numPr>
          <w:ilvl w:val="0"/>
          <w:numId w:val="0"/>
        </w:numPr>
        <w:ind w:left="284" w:hanging="284"/>
      </w:pPr>
      <w:r w:rsidRPr="00544835">
        <w:t>..</w:t>
      </w:r>
      <w:r w:rsidR="00D764FE">
        <w:tab/>
      </w:r>
      <w:r w:rsidRPr="00544835">
        <w:tab/>
        <w:t>Not zero, but rounded to zero.</w:t>
      </w:r>
    </w:p>
    <w:p w:rsidR="00DB2309" w:rsidRPr="00D764FE" w:rsidRDefault="00DB2309" w:rsidP="000B5C96">
      <w:pPr>
        <w:pStyle w:val="Footnotes"/>
        <w:numPr>
          <w:ilvl w:val="0"/>
          <w:numId w:val="104"/>
        </w:numPr>
        <w:rPr>
          <w:sz w:val="22"/>
          <w:szCs w:val="22"/>
        </w:rPr>
        <w:sectPr w:rsidR="00DB2309" w:rsidRPr="00D764FE" w:rsidSect="002678E3">
          <w:pgSz w:w="11907" w:h="16839" w:code="9"/>
          <w:pgMar w:top="1361" w:right="1797" w:bottom="1474" w:left="1797" w:header="283" w:footer="454" w:gutter="0"/>
          <w:cols w:space="708"/>
          <w:docGrid w:linePitch="360"/>
        </w:sectPr>
      </w:pPr>
    </w:p>
    <w:p w:rsidR="007D6381" w:rsidRPr="007D6381" w:rsidRDefault="007D6381" w:rsidP="007A4BF9">
      <w:pPr>
        <w:pStyle w:val="Heading5"/>
      </w:pPr>
      <w:bookmarkStart w:id="103" w:name="_Toc455655079"/>
      <w:bookmarkStart w:id="104" w:name="_Toc456766808"/>
      <w:bookmarkStart w:id="105" w:name="_Toc457819902"/>
      <w:bookmarkStart w:id="106" w:name="_Toc458015792"/>
      <w:bookmarkStart w:id="107" w:name="_Toc458090631"/>
      <w:r w:rsidRPr="007D6381">
        <w:t>GRN025: Investing in Pre-School</w:t>
      </w:r>
      <w:bookmarkEnd w:id="103"/>
      <w:bookmarkEnd w:id="104"/>
      <w:bookmarkEnd w:id="105"/>
      <w:bookmarkEnd w:id="106"/>
      <w:bookmarkEnd w:id="107"/>
    </w:p>
    <w:p w:rsidR="00544835" w:rsidRDefault="007D6381" w:rsidP="007A4BF9">
      <w:pPr>
        <w:pStyle w:val="BodyText"/>
        <w:rPr>
          <w:rFonts w:ascii="Calibri" w:eastAsia="Calibri" w:hAnsi="Calibri"/>
        </w:rPr>
      </w:pPr>
      <w:r>
        <w:rPr>
          <w:noProof/>
          <w:lang w:eastAsia="en-AU"/>
        </w:rPr>
        <w:drawing>
          <wp:inline distT="0" distB="0" distL="0" distR="0" wp14:anchorId="0C2DBEC6" wp14:editId="51FC6554">
            <wp:extent cx="2696845" cy="572135"/>
            <wp:effectExtent l="0" t="0" r="8255" b="0"/>
            <wp:docPr id="468" name="Picture 46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7D6381" w:rsidRPr="007D6381" w:rsidRDefault="007D6381" w:rsidP="007A4BF9">
      <w:pPr>
        <w:pStyle w:val="Heading6"/>
        <w:rPr>
          <w:rFonts w:eastAsia="Calibri"/>
        </w:rPr>
      </w:pPr>
      <w:r w:rsidRPr="007D6381">
        <w:rPr>
          <w:rFonts w:eastAsia="Calibri"/>
        </w:rPr>
        <w:t>Policy costing—during the caretaker period for the 2016 general election</w:t>
      </w:r>
    </w:p>
    <w:tbl>
      <w:tblPr>
        <w:tblStyle w:val="Style113"/>
        <w:tblW w:w="8340" w:type="dxa"/>
        <w:tblLook w:val="04A0" w:firstRow="1" w:lastRow="0" w:firstColumn="1" w:lastColumn="0" w:noHBand="0" w:noVBand="1"/>
      </w:tblPr>
      <w:tblGrid>
        <w:gridCol w:w="3005"/>
        <w:gridCol w:w="5335"/>
      </w:tblGrid>
      <w:tr w:rsidR="007D6381" w:rsidRPr="00AF49FE" w:rsidTr="00E20903">
        <w:trPr>
          <w:cnfStyle w:val="100000000000" w:firstRow="1" w:lastRow="0" w:firstColumn="0" w:lastColumn="0" w:oddVBand="0" w:evenVBand="0" w:oddHBand="0" w:evenHBand="0" w:firstRowFirstColumn="0" w:firstRowLastColumn="0" w:lastRowFirstColumn="0" w:lastRowLastColumn="0"/>
        </w:trPr>
        <w:tc>
          <w:tcPr>
            <w:tcW w:w="3005" w:type="dxa"/>
          </w:tcPr>
          <w:p w:rsidR="007D6381" w:rsidRPr="00AF49FE" w:rsidRDefault="007D6381" w:rsidP="00AF49FE">
            <w:pPr>
              <w:pStyle w:val="PullOutBoxHeading"/>
              <w:rPr>
                <w:b/>
                <w:sz w:val="22"/>
              </w:rPr>
            </w:pPr>
            <w:r w:rsidRPr="00AF49FE">
              <w:rPr>
                <w:b/>
                <w:sz w:val="22"/>
              </w:rPr>
              <w:t>Name of proposal:</w:t>
            </w:r>
          </w:p>
        </w:tc>
        <w:tc>
          <w:tcPr>
            <w:tcW w:w="5335" w:type="dxa"/>
          </w:tcPr>
          <w:p w:rsidR="007D6381" w:rsidRPr="00AF49FE" w:rsidRDefault="007D6381" w:rsidP="00AF49FE">
            <w:pPr>
              <w:pStyle w:val="PullOutBoxHeading"/>
              <w:rPr>
                <w:b/>
                <w:sz w:val="22"/>
              </w:rPr>
            </w:pPr>
            <w:r w:rsidRPr="00AF49FE">
              <w:rPr>
                <w:b/>
                <w:sz w:val="22"/>
              </w:rPr>
              <w:t>Investing in Pre-School</w:t>
            </w:r>
          </w:p>
        </w:tc>
      </w:tr>
      <w:tr w:rsidR="007D6381" w:rsidRPr="007D6381" w:rsidTr="00E20903">
        <w:tc>
          <w:tcPr>
            <w:tcW w:w="3005" w:type="dxa"/>
          </w:tcPr>
          <w:p w:rsidR="007D6381" w:rsidRPr="007D6381" w:rsidRDefault="007D6381" w:rsidP="004D3A49">
            <w:pPr>
              <w:pStyle w:val="PullOutBoxBodyText"/>
            </w:pPr>
            <w:r w:rsidRPr="007D6381">
              <w:t>Summary of proposal:</w:t>
            </w:r>
          </w:p>
        </w:tc>
        <w:tc>
          <w:tcPr>
            <w:tcW w:w="5335" w:type="dxa"/>
          </w:tcPr>
          <w:p w:rsidR="007D6381" w:rsidRPr="007D6381" w:rsidRDefault="007D6381" w:rsidP="004D3A49">
            <w:pPr>
              <w:pStyle w:val="PullOutBoxBodyText"/>
            </w:pPr>
            <w:r w:rsidRPr="007D6381">
              <w:t>The proposal would extend the existing National Partnership Agreement on Universal Access to Early Childhood Education from 1 July 2017 to 30 June 2020.</w:t>
            </w:r>
          </w:p>
          <w:p w:rsidR="007D6381" w:rsidRPr="007D6381" w:rsidRDefault="007D6381" w:rsidP="004D3A49">
            <w:pPr>
              <w:pStyle w:val="PullOutBoxBodyText"/>
            </w:pPr>
            <w:r w:rsidRPr="007D6381">
              <w:t>The proposal would have effect from 1 July 2017.</w:t>
            </w:r>
          </w:p>
        </w:tc>
      </w:tr>
      <w:tr w:rsidR="007D6381" w:rsidRPr="007D6381" w:rsidTr="00E20903">
        <w:tc>
          <w:tcPr>
            <w:tcW w:w="3005" w:type="dxa"/>
          </w:tcPr>
          <w:p w:rsidR="007D6381" w:rsidRPr="007D6381" w:rsidRDefault="007D6381" w:rsidP="004D3A49">
            <w:pPr>
              <w:pStyle w:val="PullOutBoxBodyText"/>
            </w:pPr>
            <w:r w:rsidRPr="007D6381">
              <w:t>Person/party requesting costing:</w:t>
            </w:r>
          </w:p>
        </w:tc>
        <w:tc>
          <w:tcPr>
            <w:tcW w:w="5335" w:type="dxa"/>
          </w:tcPr>
          <w:p w:rsidR="007D6381" w:rsidRPr="007D6381" w:rsidRDefault="007D6381" w:rsidP="004D3A49">
            <w:pPr>
              <w:pStyle w:val="PullOutBoxBodyText"/>
            </w:pPr>
            <w:r w:rsidRPr="007D6381">
              <w:t>Senator Richard Di Natale, Australian Greens</w:t>
            </w:r>
          </w:p>
        </w:tc>
      </w:tr>
      <w:tr w:rsidR="007D6381" w:rsidRPr="007D6381" w:rsidTr="00E20903">
        <w:tc>
          <w:tcPr>
            <w:tcW w:w="3005" w:type="dxa"/>
          </w:tcPr>
          <w:p w:rsidR="007D6381" w:rsidRPr="007D6381" w:rsidRDefault="007D6381" w:rsidP="004D3A49">
            <w:pPr>
              <w:pStyle w:val="PullOutBoxBodyText"/>
            </w:pPr>
            <w:r w:rsidRPr="007D6381">
              <w:t>Date of public release of policy:</w:t>
            </w:r>
          </w:p>
        </w:tc>
        <w:tc>
          <w:tcPr>
            <w:tcW w:w="5335" w:type="dxa"/>
          </w:tcPr>
          <w:p w:rsidR="007D6381" w:rsidRPr="007D6381" w:rsidRDefault="007D6381" w:rsidP="004D3A49">
            <w:pPr>
              <w:pStyle w:val="PullOutBoxBodyText"/>
            </w:pPr>
            <w:r w:rsidRPr="007D6381">
              <w:t>21 June 2016</w:t>
            </w:r>
          </w:p>
          <w:p w:rsidR="007D6381" w:rsidRPr="007D6381" w:rsidRDefault="00E46526" w:rsidP="004D3A49">
            <w:pPr>
              <w:pStyle w:val="PullOutBoxBodyText"/>
            </w:pPr>
            <w:hyperlink r:id="rId245" w:history="1">
              <w:r w:rsidR="007D6381" w:rsidRPr="007D6381">
                <w:rPr>
                  <w:color w:val="0000FF"/>
                  <w:u w:val="single"/>
                </w:rPr>
                <w:t>http://greens.org.au/childcare</w:t>
              </w:r>
            </w:hyperlink>
          </w:p>
        </w:tc>
      </w:tr>
      <w:tr w:rsidR="007D6381" w:rsidRPr="007D6381" w:rsidTr="00E20903">
        <w:tc>
          <w:tcPr>
            <w:tcW w:w="3005" w:type="dxa"/>
          </w:tcPr>
          <w:p w:rsidR="007D6381" w:rsidRPr="007D6381" w:rsidRDefault="007D6381" w:rsidP="004D3A49">
            <w:pPr>
              <w:pStyle w:val="PullOutBoxBodyText"/>
            </w:pPr>
            <w:r w:rsidRPr="007D6381">
              <w:t>Date costing request received:</w:t>
            </w:r>
          </w:p>
        </w:tc>
        <w:tc>
          <w:tcPr>
            <w:tcW w:w="5335" w:type="dxa"/>
          </w:tcPr>
          <w:p w:rsidR="007D6381" w:rsidRPr="007D6381" w:rsidRDefault="007D6381" w:rsidP="004D3A49">
            <w:pPr>
              <w:pStyle w:val="PullOutBoxBodyText"/>
            </w:pPr>
            <w:r w:rsidRPr="007D6381">
              <w:t>28 June 2016</w:t>
            </w:r>
          </w:p>
        </w:tc>
      </w:tr>
      <w:tr w:rsidR="007D6381" w:rsidRPr="007D6381" w:rsidTr="00E20903">
        <w:tc>
          <w:tcPr>
            <w:tcW w:w="3005" w:type="dxa"/>
          </w:tcPr>
          <w:p w:rsidR="007D6381" w:rsidRPr="007D6381" w:rsidRDefault="007D6381" w:rsidP="004D3A49">
            <w:pPr>
              <w:pStyle w:val="PullOutBoxBodyText"/>
            </w:pPr>
            <w:r w:rsidRPr="007D6381">
              <w:t>Date costing completed</w:t>
            </w:r>
          </w:p>
        </w:tc>
        <w:tc>
          <w:tcPr>
            <w:tcW w:w="5335" w:type="dxa"/>
          </w:tcPr>
          <w:p w:rsidR="007D6381" w:rsidRPr="007D6381" w:rsidRDefault="007D6381" w:rsidP="004D3A49">
            <w:pPr>
              <w:pStyle w:val="PullOutBoxBodyText"/>
            </w:pPr>
            <w:r w:rsidRPr="007D6381">
              <w:t>28 June 2016</w:t>
            </w:r>
          </w:p>
        </w:tc>
      </w:tr>
      <w:tr w:rsidR="007D6381" w:rsidRPr="007D6381" w:rsidTr="00E20903">
        <w:tc>
          <w:tcPr>
            <w:tcW w:w="3005" w:type="dxa"/>
          </w:tcPr>
          <w:p w:rsidR="007D6381" w:rsidRPr="007D6381" w:rsidRDefault="007D6381" w:rsidP="004D3A49">
            <w:pPr>
              <w:pStyle w:val="PullOutBoxBodyText"/>
            </w:pPr>
            <w:r w:rsidRPr="007D6381">
              <w:t>Expiry date for the costing:</w:t>
            </w:r>
          </w:p>
        </w:tc>
        <w:tc>
          <w:tcPr>
            <w:tcW w:w="5335" w:type="dxa"/>
          </w:tcPr>
          <w:p w:rsidR="007D6381" w:rsidRPr="007D6381" w:rsidRDefault="007D6381" w:rsidP="004D3A49">
            <w:pPr>
              <w:pStyle w:val="PullOutBoxBodyText"/>
            </w:pPr>
            <w:r w:rsidRPr="007D6381">
              <w:t>Release of the next economic and fiscal outlook report</w:t>
            </w:r>
          </w:p>
        </w:tc>
      </w:tr>
    </w:tbl>
    <w:p w:rsidR="007D6381" w:rsidRPr="00905B06" w:rsidRDefault="007D6381" w:rsidP="00905B06">
      <w:pPr>
        <w:pStyle w:val="CostingsH7"/>
      </w:pPr>
      <w:r w:rsidRPr="00905B06">
        <w:t>Costing overview</w:t>
      </w:r>
    </w:p>
    <w:p w:rsidR="007D6381" w:rsidRPr="007D6381" w:rsidRDefault="007D6381" w:rsidP="00D90100">
      <w:pPr>
        <w:pStyle w:val="BodyText"/>
      </w:pPr>
      <w:r w:rsidRPr="007D6381">
        <w:t>This proposal would be expected to decrease both the fiscal and underlying cash balances by $1,010.0 million over the 2016-17 Budget forward estimates period.  The financial implications entirely reflect administered expenses related to the continuation of the National Partnership Agreement on Universal Access to Early Childhood Education (the Agreement).</w:t>
      </w:r>
    </w:p>
    <w:p w:rsidR="007D6381" w:rsidRPr="007D6381" w:rsidRDefault="007D6381" w:rsidP="00D90100">
      <w:pPr>
        <w:pStyle w:val="BodyText"/>
      </w:pPr>
      <w:r w:rsidRPr="007D6381">
        <w:rPr>
          <w:bCs/>
          <w:iCs/>
        </w:rPr>
        <w:t>Consistent with the current arrangements, the proposed extension of the Agreement would not be expected to involve any Commonwealth departmental costs as the services being funded are delivered by states and territories.</w:t>
      </w:r>
    </w:p>
    <w:p w:rsidR="007D6381" w:rsidRPr="007D6381" w:rsidRDefault="007D6381" w:rsidP="00D90100">
      <w:pPr>
        <w:pStyle w:val="BodyText"/>
      </w:pPr>
      <w:r w:rsidRPr="007D6381">
        <w:t>As specified, the proposal would not have ongoing financial implications beyond the 2016</w:t>
      </w:r>
      <w:r w:rsidRPr="007D6381">
        <w:noBreakHyphen/>
        <w:t>17 Budget forward estimates period as the proposed extension to the Agreement would cease on 30 June 2020.</w:t>
      </w:r>
    </w:p>
    <w:p w:rsidR="007D6381" w:rsidRPr="007D6381" w:rsidRDefault="007D6381" w:rsidP="00D90100">
      <w:pPr>
        <w:pStyle w:val="BodyText"/>
      </w:pPr>
      <w:r w:rsidRPr="007D6381">
        <w:t xml:space="preserve">This costing is considered to be of medium reliability as it is based on </w:t>
      </w:r>
      <w:r w:rsidRPr="007D6381">
        <w:rPr>
          <w:lang w:eastAsia="en-AU"/>
        </w:rPr>
        <w:t>assumptions regarding levels of enrolment and attendance targets.</w:t>
      </w:r>
    </w:p>
    <w:p w:rsidR="007D6381" w:rsidRPr="007D6381" w:rsidRDefault="007D6381" w:rsidP="00905B06">
      <w:pPr>
        <w:pStyle w:val="Caption"/>
      </w:pPr>
      <w:r w:rsidRPr="007D6381">
        <w:t>Table 1: Financial implications (outturn prices)</w:t>
      </w:r>
      <w:r w:rsidRPr="007D6381">
        <w:rPr>
          <w:vertAlign w:val="superscript"/>
        </w:rPr>
        <w:t>(a)</w:t>
      </w:r>
    </w:p>
    <w:tbl>
      <w:tblPr>
        <w:tblStyle w:val="TableGrid29"/>
        <w:tblW w:w="4993" w:type="pct"/>
        <w:tblLook w:val="04A0" w:firstRow="1" w:lastRow="0" w:firstColumn="1" w:lastColumn="0" w:noHBand="0" w:noVBand="1"/>
      </w:tblPr>
      <w:tblGrid>
        <w:gridCol w:w="2644"/>
        <w:gridCol w:w="1133"/>
        <w:gridCol w:w="1134"/>
        <w:gridCol w:w="1134"/>
        <w:gridCol w:w="1134"/>
        <w:gridCol w:w="1132"/>
      </w:tblGrid>
      <w:tr w:rsidR="007D6381" w:rsidRPr="007D6381" w:rsidTr="00E209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7D6381" w:rsidRPr="007D6381" w:rsidRDefault="007D6381" w:rsidP="007D6381">
            <w:pPr>
              <w:keepNext/>
              <w:keepLines/>
              <w:spacing w:line="240" w:lineRule="auto"/>
              <w:ind w:left="57" w:right="57"/>
              <w:rPr>
                <w:szCs w:val="20"/>
              </w:rPr>
            </w:pPr>
            <w:r w:rsidRPr="007D6381">
              <w:rPr>
                <w:szCs w:val="20"/>
              </w:rPr>
              <w:t>Impact on ($m)</w:t>
            </w:r>
          </w:p>
        </w:tc>
        <w:tc>
          <w:tcPr>
            <w:tcW w:w="682" w:type="pct"/>
            <w:vAlign w:val="center"/>
          </w:tcPr>
          <w:p w:rsidR="007D6381" w:rsidRPr="007D6381" w:rsidRDefault="007D6381" w:rsidP="007D638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D6381">
              <w:rPr>
                <w:szCs w:val="20"/>
              </w:rPr>
              <w:t>2016–17</w:t>
            </w:r>
          </w:p>
        </w:tc>
        <w:tc>
          <w:tcPr>
            <w:tcW w:w="682" w:type="pct"/>
            <w:vAlign w:val="center"/>
          </w:tcPr>
          <w:p w:rsidR="007D6381" w:rsidRPr="007D6381" w:rsidRDefault="007D6381" w:rsidP="007D638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D6381">
              <w:rPr>
                <w:szCs w:val="20"/>
              </w:rPr>
              <w:t>2017–18</w:t>
            </w:r>
          </w:p>
        </w:tc>
        <w:tc>
          <w:tcPr>
            <w:tcW w:w="682" w:type="pct"/>
            <w:vAlign w:val="center"/>
          </w:tcPr>
          <w:p w:rsidR="007D6381" w:rsidRPr="007D6381" w:rsidRDefault="007D6381" w:rsidP="007D638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D6381">
              <w:rPr>
                <w:szCs w:val="20"/>
              </w:rPr>
              <w:t>2018–19</w:t>
            </w:r>
          </w:p>
        </w:tc>
        <w:tc>
          <w:tcPr>
            <w:tcW w:w="682" w:type="pct"/>
            <w:vAlign w:val="center"/>
          </w:tcPr>
          <w:p w:rsidR="007D6381" w:rsidRPr="007D6381" w:rsidRDefault="007D6381" w:rsidP="007D638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D6381">
              <w:rPr>
                <w:szCs w:val="20"/>
              </w:rPr>
              <w:t>2019–20</w:t>
            </w:r>
          </w:p>
        </w:tc>
        <w:tc>
          <w:tcPr>
            <w:tcW w:w="681" w:type="pct"/>
            <w:vAlign w:val="center"/>
          </w:tcPr>
          <w:p w:rsidR="007D6381" w:rsidRPr="007D6381" w:rsidRDefault="007D6381" w:rsidP="007D6381">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D6381">
              <w:rPr>
                <w:b/>
                <w:szCs w:val="20"/>
              </w:rPr>
              <w:t>Total</w:t>
            </w:r>
          </w:p>
        </w:tc>
      </w:tr>
      <w:tr w:rsidR="007D6381" w:rsidRPr="007D6381" w:rsidTr="00E2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7D6381" w:rsidRPr="007D6381" w:rsidRDefault="007D6381" w:rsidP="007D6381">
            <w:pPr>
              <w:keepNext/>
              <w:keepLines/>
              <w:spacing w:line="240" w:lineRule="auto"/>
              <w:ind w:left="57" w:right="57"/>
              <w:rPr>
                <w:szCs w:val="20"/>
              </w:rPr>
            </w:pPr>
            <w:r w:rsidRPr="007D6381">
              <w:rPr>
                <w:szCs w:val="20"/>
              </w:rPr>
              <w:t>Fiscal balance</w:t>
            </w:r>
          </w:p>
        </w:tc>
        <w:tc>
          <w:tcPr>
            <w:tcW w:w="682" w:type="pct"/>
          </w:tcPr>
          <w:p w:rsidR="007D6381" w:rsidRPr="007D6381" w:rsidRDefault="007D6381" w:rsidP="007D6381">
            <w:pPr>
              <w:keepNext/>
              <w:keepLines/>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7D6381">
              <w:rPr>
                <w:rFonts w:ascii="Calibri" w:hAnsi="Calibri"/>
                <w:szCs w:val="20"/>
              </w:rPr>
              <w:t>-</w:t>
            </w:r>
          </w:p>
        </w:tc>
        <w:tc>
          <w:tcPr>
            <w:tcW w:w="682" w:type="pct"/>
          </w:tcPr>
          <w:p w:rsidR="007D6381" w:rsidRPr="007D6381" w:rsidRDefault="007D6381" w:rsidP="007D6381">
            <w:pPr>
              <w:keepNext/>
              <w:keepLines/>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7D6381">
              <w:rPr>
                <w:rFonts w:ascii="Calibri" w:hAnsi="Calibri"/>
                <w:noProof/>
                <w:szCs w:val="20"/>
              </w:rPr>
              <w:t>-130.0</w:t>
            </w:r>
          </w:p>
        </w:tc>
        <w:tc>
          <w:tcPr>
            <w:tcW w:w="682" w:type="pct"/>
          </w:tcPr>
          <w:p w:rsidR="007D6381" w:rsidRPr="007D6381" w:rsidRDefault="007D6381" w:rsidP="007D6381">
            <w:pPr>
              <w:keepNext/>
              <w:keepLines/>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7D6381">
              <w:rPr>
                <w:rFonts w:ascii="Calibri" w:hAnsi="Calibri"/>
                <w:noProof/>
                <w:szCs w:val="20"/>
              </w:rPr>
              <w:t>-435.0</w:t>
            </w:r>
          </w:p>
        </w:tc>
        <w:tc>
          <w:tcPr>
            <w:tcW w:w="682" w:type="pct"/>
          </w:tcPr>
          <w:p w:rsidR="007D6381" w:rsidRPr="007D6381" w:rsidRDefault="007D6381" w:rsidP="007D6381">
            <w:pPr>
              <w:keepNext/>
              <w:keepLines/>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7D6381">
              <w:rPr>
                <w:rFonts w:ascii="Calibri" w:hAnsi="Calibri"/>
                <w:noProof/>
                <w:szCs w:val="20"/>
              </w:rPr>
              <w:t>-445.0</w:t>
            </w:r>
          </w:p>
        </w:tc>
        <w:tc>
          <w:tcPr>
            <w:tcW w:w="681" w:type="pct"/>
          </w:tcPr>
          <w:p w:rsidR="007D6381" w:rsidRPr="007D6381" w:rsidRDefault="007D6381" w:rsidP="007D6381">
            <w:pPr>
              <w:keepNext/>
              <w:keepLines/>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noProof/>
                <w:szCs w:val="20"/>
              </w:rPr>
            </w:pPr>
            <w:r w:rsidRPr="007D6381">
              <w:rPr>
                <w:rFonts w:ascii="Calibri" w:hAnsi="Calibri"/>
                <w:b/>
                <w:noProof/>
                <w:szCs w:val="20"/>
              </w:rPr>
              <w:t>-1,010.0</w:t>
            </w:r>
          </w:p>
        </w:tc>
      </w:tr>
      <w:tr w:rsidR="007D6381" w:rsidRPr="007D6381" w:rsidTr="00E20903">
        <w:tc>
          <w:tcPr>
            <w:cnfStyle w:val="001000000000" w:firstRow="0" w:lastRow="0" w:firstColumn="1" w:lastColumn="0" w:oddVBand="0" w:evenVBand="0" w:oddHBand="0" w:evenHBand="0" w:firstRowFirstColumn="0" w:firstRowLastColumn="0" w:lastRowFirstColumn="0" w:lastRowLastColumn="0"/>
            <w:tcW w:w="1591" w:type="pct"/>
          </w:tcPr>
          <w:p w:rsidR="007D6381" w:rsidRPr="007D6381" w:rsidRDefault="007D6381" w:rsidP="007D6381">
            <w:pPr>
              <w:keepNext/>
              <w:keepLines/>
              <w:spacing w:line="240" w:lineRule="auto"/>
              <w:ind w:left="57" w:right="57"/>
              <w:rPr>
                <w:szCs w:val="20"/>
              </w:rPr>
            </w:pPr>
            <w:r w:rsidRPr="007D6381">
              <w:rPr>
                <w:szCs w:val="20"/>
              </w:rPr>
              <w:t>Underlying cash balance</w:t>
            </w:r>
          </w:p>
        </w:tc>
        <w:tc>
          <w:tcPr>
            <w:tcW w:w="682" w:type="pct"/>
          </w:tcPr>
          <w:p w:rsidR="007D6381" w:rsidRPr="007D6381" w:rsidRDefault="007D6381" w:rsidP="007D6381">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D6381">
              <w:rPr>
                <w:rFonts w:ascii="Calibri" w:hAnsi="Calibri"/>
                <w:szCs w:val="20"/>
              </w:rPr>
              <w:t>-</w:t>
            </w:r>
          </w:p>
        </w:tc>
        <w:tc>
          <w:tcPr>
            <w:tcW w:w="682" w:type="pct"/>
          </w:tcPr>
          <w:p w:rsidR="007D6381" w:rsidRPr="007D6381" w:rsidRDefault="007D6381" w:rsidP="007D6381">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sidRPr="007D6381">
              <w:rPr>
                <w:rFonts w:ascii="Calibri" w:hAnsi="Calibri"/>
                <w:noProof/>
                <w:szCs w:val="20"/>
              </w:rPr>
              <w:t>-130.0</w:t>
            </w:r>
          </w:p>
        </w:tc>
        <w:tc>
          <w:tcPr>
            <w:tcW w:w="682" w:type="pct"/>
          </w:tcPr>
          <w:p w:rsidR="007D6381" w:rsidRPr="007D6381" w:rsidRDefault="007D6381" w:rsidP="007D6381">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sidRPr="007D6381">
              <w:rPr>
                <w:rFonts w:ascii="Calibri" w:hAnsi="Calibri"/>
                <w:noProof/>
                <w:szCs w:val="20"/>
              </w:rPr>
              <w:t>-435.0</w:t>
            </w:r>
          </w:p>
        </w:tc>
        <w:tc>
          <w:tcPr>
            <w:tcW w:w="682" w:type="pct"/>
          </w:tcPr>
          <w:p w:rsidR="007D6381" w:rsidRPr="007D6381" w:rsidRDefault="007D6381" w:rsidP="007D6381">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sidRPr="007D6381">
              <w:rPr>
                <w:rFonts w:ascii="Calibri" w:hAnsi="Calibri"/>
                <w:noProof/>
                <w:szCs w:val="20"/>
              </w:rPr>
              <w:t>-445.0</w:t>
            </w:r>
          </w:p>
        </w:tc>
        <w:tc>
          <w:tcPr>
            <w:tcW w:w="681" w:type="pct"/>
          </w:tcPr>
          <w:p w:rsidR="007D6381" w:rsidRPr="007D6381" w:rsidRDefault="007D6381" w:rsidP="007D6381">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r w:rsidRPr="007D6381">
              <w:rPr>
                <w:rFonts w:ascii="Calibri" w:hAnsi="Calibri"/>
                <w:b/>
                <w:noProof/>
                <w:szCs w:val="20"/>
              </w:rPr>
              <w:t>-1,010.0</w:t>
            </w:r>
          </w:p>
        </w:tc>
      </w:tr>
    </w:tbl>
    <w:p w:rsidR="007D6381" w:rsidRDefault="007D6381" w:rsidP="000B5C96">
      <w:pPr>
        <w:pStyle w:val="Footnotes"/>
        <w:numPr>
          <w:ilvl w:val="0"/>
          <w:numId w:val="105"/>
        </w:numPr>
        <w:ind w:left="284" w:hanging="284"/>
      </w:pPr>
      <w:r w:rsidRPr="007D6381">
        <w:t>A positive number indicates an increase in the relevant budget balance, a negative number a decrease.</w:t>
      </w:r>
    </w:p>
    <w:p w:rsidR="007D6381" w:rsidRPr="007D6381" w:rsidRDefault="007D6381" w:rsidP="000B5C96">
      <w:pPr>
        <w:pStyle w:val="Footnotes"/>
        <w:numPr>
          <w:ilvl w:val="0"/>
          <w:numId w:val="33"/>
        </w:numPr>
        <w:ind w:left="284" w:hanging="284"/>
      </w:pPr>
      <w:r w:rsidRPr="007D6381">
        <w:t>Indicates nil.</w:t>
      </w:r>
    </w:p>
    <w:p w:rsidR="007D6381" w:rsidRPr="00905B06" w:rsidRDefault="007D6381" w:rsidP="00905B06">
      <w:pPr>
        <w:pStyle w:val="CostingsH7"/>
      </w:pPr>
      <w:r w:rsidRPr="00905B06">
        <w:t>Key assumptions</w:t>
      </w:r>
    </w:p>
    <w:p w:rsidR="007D6381" w:rsidRPr="007D6381" w:rsidRDefault="007D6381" w:rsidP="00D90100">
      <w:pPr>
        <w:pStyle w:val="BodyText"/>
        <w:rPr>
          <w:lang w:eastAsia="en-AU"/>
        </w:rPr>
      </w:pPr>
      <w:r w:rsidRPr="007D6381">
        <w:rPr>
          <w:lang w:eastAsia="en-AU"/>
        </w:rPr>
        <w:t>Current enrolment and attendance targets would be maintained over the 2016-17 Budget forward estimates period.</w:t>
      </w:r>
    </w:p>
    <w:p w:rsidR="007D6381" w:rsidRPr="007D6381" w:rsidRDefault="007D6381" w:rsidP="00D90100">
      <w:pPr>
        <w:pStyle w:val="BodyText"/>
        <w:rPr>
          <w:lang w:eastAsia="en-AU"/>
        </w:rPr>
      </w:pPr>
      <w:r w:rsidRPr="007D6381">
        <w:rPr>
          <w:lang w:eastAsia="en-AU"/>
        </w:rPr>
        <w:t>States and territories would remain signatories to the Agreement from 1 July 2017 to 30 June 2020 under this proposal.</w:t>
      </w:r>
    </w:p>
    <w:p w:rsidR="007D6381" w:rsidRPr="00905B06" w:rsidRDefault="007D6381" w:rsidP="00905B06">
      <w:pPr>
        <w:pStyle w:val="CostingsH7"/>
      </w:pPr>
      <w:r w:rsidRPr="00905B06">
        <w:t>Methodology</w:t>
      </w:r>
    </w:p>
    <w:p w:rsidR="007D6381" w:rsidRPr="007D6381" w:rsidRDefault="007D6381" w:rsidP="00D90100">
      <w:pPr>
        <w:pStyle w:val="BodyText"/>
        <w:rPr>
          <w:lang w:eastAsia="en-AU"/>
        </w:rPr>
      </w:pPr>
      <w:r w:rsidRPr="007D6381">
        <w:rPr>
          <w:lang w:eastAsia="en-AU"/>
        </w:rPr>
        <w:t>The financial implications of this proposal were estimated by extending the Agreement (accounting for relevant indexation factors) to cover the 2018 and 2019 school years and through to 30 June 2020.  These results were then apportioned to financial years.</w:t>
      </w:r>
    </w:p>
    <w:p w:rsidR="007D6381" w:rsidRPr="007D6381" w:rsidRDefault="007D6381" w:rsidP="00D90100">
      <w:pPr>
        <w:pStyle w:val="BodyText"/>
        <w:rPr>
          <w:rFonts w:eastAsia="Calibri"/>
        </w:rPr>
      </w:pPr>
      <w:r w:rsidRPr="007D6381">
        <w:rPr>
          <w:rFonts w:eastAsia="Calibri"/>
        </w:rPr>
        <w:t>Estimates have been rounded to the nearest $5 million.</w:t>
      </w:r>
    </w:p>
    <w:p w:rsidR="007D6381" w:rsidRPr="00905B06" w:rsidRDefault="007D6381" w:rsidP="00905B06">
      <w:pPr>
        <w:pStyle w:val="CostingsH7"/>
      </w:pPr>
      <w:r w:rsidRPr="00905B06">
        <w:t>Data sources</w:t>
      </w:r>
    </w:p>
    <w:p w:rsidR="007D6381" w:rsidRPr="007D6381" w:rsidRDefault="007D6381" w:rsidP="00D90100">
      <w:pPr>
        <w:pStyle w:val="ListBullet"/>
        <w:rPr>
          <w:rFonts w:eastAsia="Times New Roman"/>
          <w:lang w:eastAsia="en-AU"/>
        </w:rPr>
      </w:pPr>
      <w:r w:rsidRPr="007D6381">
        <w:rPr>
          <w:lang w:eastAsia="en-AU"/>
        </w:rPr>
        <w:t>2016-17 Budget Paper No. 3 Federal Financial Relations.</w:t>
      </w:r>
    </w:p>
    <w:p w:rsidR="007D6381" w:rsidRPr="007D6381" w:rsidRDefault="007D6381" w:rsidP="00D90100">
      <w:pPr>
        <w:pStyle w:val="ListBullet"/>
        <w:rPr>
          <w:rFonts w:eastAsia="Times New Roman"/>
          <w:lang w:eastAsia="en-AU"/>
        </w:rPr>
      </w:pPr>
      <w:r w:rsidRPr="007D6381">
        <w:rPr>
          <w:lang w:eastAsia="en-AU"/>
        </w:rPr>
        <w:t>Council of Australian Governments, National Partnership Agreement on Universal Access to Early Childhood Education.</w:t>
      </w:r>
    </w:p>
    <w:p w:rsidR="00D13D1B" w:rsidRDefault="007D6381" w:rsidP="00692747">
      <w:pPr>
        <w:pStyle w:val="ListBullet"/>
        <w:rPr>
          <w:lang w:eastAsia="en-AU"/>
        </w:rPr>
        <w:sectPr w:rsidR="00D13D1B" w:rsidSect="002678E3">
          <w:pgSz w:w="11907" w:h="16839" w:code="9"/>
          <w:pgMar w:top="1361" w:right="1797" w:bottom="1474" w:left="1797" w:header="283" w:footer="454" w:gutter="0"/>
          <w:cols w:space="708"/>
          <w:docGrid w:linePitch="360"/>
        </w:sectPr>
      </w:pPr>
      <w:r w:rsidRPr="007D6381">
        <w:rPr>
          <w:lang w:eastAsia="en-AU"/>
        </w:rPr>
        <w:t>Department of Finance provided indexation parameters.</w:t>
      </w:r>
    </w:p>
    <w:p w:rsidR="00D13D1B" w:rsidRDefault="00D13D1B" w:rsidP="00D13D1B">
      <w:pPr>
        <w:pStyle w:val="Heading5"/>
        <w:spacing w:before="0"/>
      </w:pPr>
      <w:bookmarkStart w:id="108" w:name="_Toc457979343"/>
      <w:bookmarkStart w:id="109" w:name="_Toc458069201"/>
      <w:r>
        <w:t>GRN026: Adapting to a changing climate</w:t>
      </w:r>
      <w:bookmarkEnd w:id="108"/>
      <w:bookmarkEnd w:id="109"/>
    </w:p>
    <w:p w:rsidR="00D13D1B" w:rsidRDefault="00D13D1B" w:rsidP="00D13D1B">
      <w:pPr>
        <w:pStyle w:val="BodyText"/>
      </w:pPr>
      <w:r>
        <w:rPr>
          <w:noProof/>
          <w:lang w:eastAsia="en-AU"/>
        </w:rPr>
        <w:drawing>
          <wp:inline distT="0" distB="0" distL="0" distR="0" wp14:anchorId="5AC83895" wp14:editId="4E2F89A4">
            <wp:extent cx="2696845" cy="572135"/>
            <wp:effectExtent l="0" t="0" r="8255" b="0"/>
            <wp:docPr id="19" name="Picture 1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D13D1B" w:rsidRPr="00BD0E41" w:rsidRDefault="00D13D1B" w:rsidP="00D13D1B">
      <w:pPr>
        <w:pStyle w:val="Heading6"/>
        <w:tabs>
          <w:tab w:val="num" w:pos="360"/>
          <w:tab w:val="right" w:pos="1418"/>
          <w:tab w:val="right" w:pos="1701"/>
          <w:tab w:val="right" w:pos="1985"/>
        </w:tabs>
      </w:pPr>
      <w:r w:rsidRPr="00BD0E41">
        <w:t>Policy costing—during the caretaker period for the 2016 general election</w:t>
      </w:r>
    </w:p>
    <w:tbl>
      <w:tblPr>
        <w:tblStyle w:val="Style1"/>
        <w:tblW w:w="8420" w:type="dxa"/>
        <w:tblLayout w:type="fixed"/>
        <w:tblLook w:val="04A0" w:firstRow="1" w:lastRow="0" w:firstColumn="1" w:lastColumn="0" w:noHBand="0" w:noVBand="1"/>
      </w:tblPr>
      <w:tblGrid>
        <w:gridCol w:w="3085"/>
        <w:gridCol w:w="5335"/>
      </w:tblGrid>
      <w:tr w:rsidR="00D13D1B" w:rsidRPr="0013345F" w:rsidTr="00D13D1B">
        <w:trPr>
          <w:cnfStyle w:val="100000000000" w:firstRow="1" w:lastRow="0" w:firstColumn="0" w:lastColumn="0" w:oddVBand="0" w:evenVBand="0" w:oddHBand="0" w:evenHBand="0" w:firstRowFirstColumn="0" w:firstRowLastColumn="0" w:lastRowFirstColumn="0" w:lastRowLastColumn="0"/>
        </w:trPr>
        <w:tc>
          <w:tcPr>
            <w:tcW w:w="3085" w:type="dxa"/>
          </w:tcPr>
          <w:p w:rsidR="00D13D1B" w:rsidRPr="0013345F" w:rsidRDefault="00D13D1B" w:rsidP="00D13D1B">
            <w:pPr>
              <w:pStyle w:val="PullOutBoxHeading"/>
              <w:rPr>
                <w:b/>
              </w:rPr>
            </w:pPr>
            <w:r w:rsidRPr="0013345F">
              <w:rPr>
                <w:b/>
              </w:rPr>
              <w:t>Name of proposal:</w:t>
            </w:r>
          </w:p>
        </w:tc>
        <w:tc>
          <w:tcPr>
            <w:tcW w:w="5335" w:type="dxa"/>
          </w:tcPr>
          <w:p w:rsidR="00D13D1B" w:rsidRPr="0013345F" w:rsidRDefault="00D13D1B" w:rsidP="00D13D1B">
            <w:pPr>
              <w:pStyle w:val="PullOutBoxHeading"/>
              <w:rPr>
                <w:b/>
              </w:rPr>
            </w:pPr>
            <w:r w:rsidRPr="0013345F">
              <w:rPr>
                <w:b/>
              </w:rPr>
              <w:t>Living with Global Warming: Climate Adaptation</w:t>
            </w:r>
          </w:p>
        </w:tc>
      </w:tr>
      <w:tr w:rsidR="00D13D1B" w:rsidRPr="0013345F" w:rsidTr="00D13D1B">
        <w:tc>
          <w:tcPr>
            <w:tcW w:w="3085" w:type="dxa"/>
          </w:tcPr>
          <w:p w:rsidR="00D13D1B" w:rsidRPr="0013345F" w:rsidRDefault="00D13D1B" w:rsidP="00D13D1B">
            <w:pPr>
              <w:pStyle w:val="PullOutBoxBodyText"/>
            </w:pPr>
            <w:r w:rsidRPr="0013345F">
              <w:t>Summary of proposal:</w:t>
            </w:r>
          </w:p>
        </w:tc>
        <w:tc>
          <w:tcPr>
            <w:tcW w:w="5335" w:type="dxa"/>
          </w:tcPr>
          <w:p w:rsidR="00D13D1B" w:rsidRPr="0013345F" w:rsidRDefault="00D13D1B" w:rsidP="00D13D1B">
            <w:pPr>
              <w:pStyle w:val="PullOutBoxBodyText"/>
            </w:pPr>
            <w:r w:rsidRPr="0013345F">
              <w:t>The proposal is comprised of the following three components:</w:t>
            </w:r>
          </w:p>
          <w:p w:rsidR="00D13D1B" w:rsidRPr="0013345F" w:rsidRDefault="00D13D1B" w:rsidP="00D13D1B">
            <w:pPr>
              <w:pStyle w:val="PullOutBoxBodyText"/>
              <w:rPr>
                <w:u w:val="single"/>
              </w:rPr>
            </w:pPr>
            <w:r w:rsidRPr="0013345F">
              <w:rPr>
                <w:u w:val="single"/>
              </w:rPr>
              <w:t>Component 1:</w:t>
            </w:r>
          </w:p>
          <w:p w:rsidR="00D13D1B" w:rsidRPr="0013345F" w:rsidRDefault="00D13D1B" w:rsidP="00D13D1B">
            <w:pPr>
              <w:pStyle w:val="PullOutBoxBullet"/>
              <w:numPr>
                <w:ilvl w:val="0"/>
                <w:numId w:val="2"/>
              </w:numPr>
              <w:ind w:left="397"/>
            </w:pPr>
            <w:r w:rsidRPr="0013345F">
              <w:t>Provide $10 million per year for five years to the National Climate Change Adaptation Research Facility.</w:t>
            </w:r>
          </w:p>
          <w:p w:rsidR="00D13D1B" w:rsidRPr="0013345F" w:rsidRDefault="00D13D1B" w:rsidP="00D13D1B">
            <w:pPr>
              <w:pStyle w:val="PullOutBoxBodyText"/>
              <w:rPr>
                <w:u w:val="single"/>
              </w:rPr>
            </w:pPr>
            <w:r w:rsidRPr="0013345F">
              <w:rPr>
                <w:u w:val="single"/>
              </w:rPr>
              <w:t>Component 2:</w:t>
            </w:r>
          </w:p>
          <w:p w:rsidR="00D13D1B" w:rsidRPr="0013345F" w:rsidRDefault="00D13D1B" w:rsidP="00D13D1B">
            <w:pPr>
              <w:pStyle w:val="PullOutBoxBullet"/>
              <w:numPr>
                <w:ilvl w:val="0"/>
                <w:numId w:val="2"/>
              </w:numPr>
              <w:ind w:left="397"/>
            </w:pPr>
            <w:r w:rsidRPr="0013345F">
              <w:t>Establish a new National Partnership Agreement with the state and territory governments for climate adaptation and disaster preparedness.  Grants for specific purposes, indexed at the CPI, would be for:</w:t>
            </w:r>
          </w:p>
          <w:p w:rsidR="00D13D1B" w:rsidRPr="0013345F" w:rsidRDefault="00D13D1B" w:rsidP="00D13D1B">
            <w:pPr>
              <w:pStyle w:val="PullOutBoxBullet2"/>
              <w:numPr>
                <w:ilvl w:val="1"/>
                <w:numId w:val="2"/>
              </w:numPr>
              <w:ind w:left="737"/>
            </w:pPr>
            <w:r w:rsidRPr="0013345F">
              <w:rPr>
                <w:i/>
              </w:rPr>
              <w:t xml:space="preserve">Backing our emergency workers </w:t>
            </w:r>
            <w:r w:rsidRPr="0013345F">
              <w:t>for firefighting and emergency services resources.</w:t>
            </w:r>
          </w:p>
          <w:p w:rsidR="00D13D1B" w:rsidRPr="0013345F" w:rsidRDefault="00D13D1B" w:rsidP="00D13D1B">
            <w:pPr>
              <w:pStyle w:val="PullOutBoxBullet2"/>
              <w:numPr>
                <w:ilvl w:val="1"/>
                <w:numId w:val="2"/>
              </w:numPr>
              <w:ind w:left="737"/>
            </w:pPr>
            <w:r w:rsidRPr="0013345F">
              <w:rPr>
                <w:i/>
              </w:rPr>
              <w:t xml:space="preserve">Preparing for extreme weather </w:t>
            </w:r>
            <w:r w:rsidRPr="0013345F">
              <w:t>for climate</w:t>
            </w:r>
            <w:r w:rsidRPr="0013345F">
              <w:noBreakHyphen/>
              <w:t>related disaster preparedness measures for both physical infrastructure and social and community resilience.</w:t>
            </w:r>
          </w:p>
          <w:p w:rsidR="00D13D1B" w:rsidRPr="0013345F" w:rsidRDefault="00D13D1B" w:rsidP="00D13D1B">
            <w:pPr>
              <w:pStyle w:val="PullOutBoxBodyText"/>
              <w:rPr>
                <w:u w:val="single"/>
              </w:rPr>
            </w:pPr>
            <w:r w:rsidRPr="0013345F">
              <w:rPr>
                <w:u w:val="single"/>
              </w:rPr>
              <w:t>Component 3:</w:t>
            </w:r>
          </w:p>
          <w:p w:rsidR="00D13D1B" w:rsidRPr="0013345F" w:rsidRDefault="00D13D1B" w:rsidP="00D13D1B">
            <w:pPr>
              <w:pStyle w:val="PullOutBoxBullet"/>
              <w:numPr>
                <w:ilvl w:val="0"/>
                <w:numId w:val="2"/>
              </w:numPr>
              <w:ind w:left="397"/>
            </w:pPr>
            <w:r w:rsidRPr="0013345F">
              <w:t>Establish a national coordinating body, the Office of Climate Adaptation and Sea Level Rise, funded at $5 million per year, indexed at the CPI.</w:t>
            </w:r>
          </w:p>
          <w:p w:rsidR="00D13D1B" w:rsidRPr="0013345F" w:rsidRDefault="00D13D1B" w:rsidP="00D13D1B">
            <w:pPr>
              <w:pStyle w:val="PullOutBoxBodyText"/>
            </w:pPr>
            <w:r w:rsidRPr="0013345F">
              <w:t>The proposal would have effect from 1 September 2016 and would be in place until 30 June 2026.</w:t>
            </w:r>
          </w:p>
          <w:p w:rsidR="00D13D1B" w:rsidRPr="0013345F" w:rsidRDefault="00D13D1B" w:rsidP="00D13D1B">
            <w:pPr>
              <w:pStyle w:val="PullOutBoxBodyText"/>
              <w:rPr>
                <w:lang w:eastAsia="en-AU"/>
              </w:rPr>
            </w:pPr>
            <w:r w:rsidRPr="0013345F">
              <w:rPr>
                <w:lang w:eastAsia="en-AU"/>
              </w:rPr>
              <w:t>The detailed funding profile to 2025</w:t>
            </w:r>
            <w:r w:rsidRPr="0013345F">
              <w:rPr>
                <w:lang w:eastAsia="en-AU"/>
              </w:rPr>
              <w:noBreakHyphen/>
              <w:t xml:space="preserve">26 of the proposal is set out at </w:t>
            </w:r>
            <w:r w:rsidRPr="0013345F">
              <w:rPr>
                <w:u w:val="single"/>
                <w:lang w:eastAsia="en-AU"/>
              </w:rPr>
              <w:t>Attachment A.</w:t>
            </w:r>
          </w:p>
          <w:p w:rsidR="00D13D1B" w:rsidRPr="0013345F" w:rsidRDefault="00D13D1B" w:rsidP="00D13D1B">
            <w:pPr>
              <w:pStyle w:val="PullOutBoxBodyText"/>
            </w:pPr>
            <w:r w:rsidRPr="0013345F">
              <w:t>Departmental costs would be met from within the capped funding amounts.</w:t>
            </w:r>
          </w:p>
        </w:tc>
      </w:tr>
      <w:tr w:rsidR="00D13D1B" w:rsidRPr="0013345F" w:rsidTr="00D13D1B">
        <w:tc>
          <w:tcPr>
            <w:tcW w:w="3085" w:type="dxa"/>
          </w:tcPr>
          <w:p w:rsidR="00D13D1B" w:rsidRPr="0013345F" w:rsidRDefault="00D13D1B" w:rsidP="00D13D1B">
            <w:pPr>
              <w:pStyle w:val="PullOutBoxBodyText"/>
            </w:pPr>
            <w:r w:rsidRPr="0013345F">
              <w:t>Person/party requesting costing:</w:t>
            </w:r>
          </w:p>
        </w:tc>
        <w:tc>
          <w:tcPr>
            <w:tcW w:w="5335" w:type="dxa"/>
          </w:tcPr>
          <w:p w:rsidR="00D13D1B" w:rsidRPr="0013345F" w:rsidRDefault="00D13D1B" w:rsidP="00D13D1B">
            <w:pPr>
              <w:pStyle w:val="PullOutBoxBodyText"/>
            </w:pPr>
            <w:r w:rsidRPr="0013345F">
              <w:t>Senator Richard Di Natale, Australian Greens</w:t>
            </w:r>
          </w:p>
        </w:tc>
      </w:tr>
      <w:tr w:rsidR="00D13D1B" w:rsidRPr="0013345F" w:rsidTr="00D13D1B">
        <w:tc>
          <w:tcPr>
            <w:tcW w:w="3085" w:type="dxa"/>
          </w:tcPr>
          <w:p w:rsidR="00D13D1B" w:rsidRPr="0013345F" w:rsidRDefault="00D13D1B" w:rsidP="00D13D1B">
            <w:pPr>
              <w:pStyle w:val="PullOutBoxBodyText"/>
            </w:pPr>
            <w:r w:rsidRPr="0013345F">
              <w:t>Date of public release of policy:</w:t>
            </w:r>
          </w:p>
        </w:tc>
        <w:tc>
          <w:tcPr>
            <w:tcW w:w="5335" w:type="dxa"/>
          </w:tcPr>
          <w:p w:rsidR="00D13D1B" w:rsidRPr="0013345F" w:rsidRDefault="00D13D1B" w:rsidP="00D13D1B">
            <w:pPr>
              <w:pStyle w:val="PullOutBoxBodyText"/>
            </w:pPr>
            <w:r w:rsidRPr="0013345F">
              <w:t>1 June 2016</w:t>
            </w:r>
          </w:p>
          <w:p w:rsidR="00D13D1B" w:rsidRPr="0013345F" w:rsidRDefault="00E46526" w:rsidP="00D13D1B">
            <w:pPr>
              <w:pStyle w:val="PullOutBoxBodyText"/>
            </w:pPr>
            <w:hyperlink r:id="rId246" w:history="1">
              <w:r w:rsidR="00D13D1B" w:rsidRPr="0013345F">
                <w:rPr>
                  <w:color w:val="0000FF"/>
                  <w:u w:val="single"/>
                </w:rPr>
                <w:t>http://greens.org.au/sites/greens.org.au/files/Living%20with%20Global%20Warming_final_.pdf</w:t>
              </w:r>
            </w:hyperlink>
          </w:p>
        </w:tc>
      </w:tr>
      <w:tr w:rsidR="00D13D1B" w:rsidRPr="0013345F" w:rsidTr="00D13D1B">
        <w:tc>
          <w:tcPr>
            <w:tcW w:w="3085" w:type="dxa"/>
          </w:tcPr>
          <w:p w:rsidR="00D13D1B" w:rsidRPr="0013345F" w:rsidRDefault="00D13D1B" w:rsidP="00D13D1B">
            <w:pPr>
              <w:pStyle w:val="PullOutBoxBodyText"/>
            </w:pPr>
            <w:r w:rsidRPr="0013345F">
              <w:t>Date costing request received:</w:t>
            </w:r>
          </w:p>
        </w:tc>
        <w:tc>
          <w:tcPr>
            <w:tcW w:w="5335" w:type="dxa"/>
          </w:tcPr>
          <w:p w:rsidR="00D13D1B" w:rsidRPr="0013345F" w:rsidRDefault="00D13D1B" w:rsidP="00D13D1B">
            <w:pPr>
              <w:pStyle w:val="PullOutBoxBodyText"/>
            </w:pPr>
            <w:r w:rsidRPr="0013345F">
              <w:t>27 June 2016</w:t>
            </w:r>
          </w:p>
        </w:tc>
      </w:tr>
      <w:tr w:rsidR="00D13D1B" w:rsidRPr="0013345F" w:rsidTr="00D13D1B">
        <w:tc>
          <w:tcPr>
            <w:tcW w:w="3085" w:type="dxa"/>
          </w:tcPr>
          <w:p w:rsidR="00D13D1B" w:rsidRPr="0013345F" w:rsidRDefault="00D13D1B" w:rsidP="00D13D1B">
            <w:pPr>
              <w:pStyle w:val="PullOutBoxBodyText"/>
            </w:pPr>
            <w:r w:rsidRPr="0013345F">
              <w:t>Date costing completed:</w:t>
            </w:r>
          </w:p>
        </w:tc>
        <w:tc>
          <w:tcPr>
            <w:tcW w:w="5335" w:type="dxa"/>
          </w:tcPr>
          <w:p w:rsidR="00D13D1B" w:rsidRPr="0013345F" w:rsidRDefault="00D13D1B" w:rsidP="00D13D1B">
            <w:pPr>
              <w:pStyle w:val="PullOutBoxBodyText"/>
            </w:pPr>
            <w:r w:rsidRPr="0013345F">
              <w:t>29 June 2016</w:t>
            </w:r>
          </w:p>
        </w:tc>
      </w:tr>
      <w:tr w:rsidR="00D13D1B" w:rsidRPr="0013345F" w:rsidTr="00D13D1B">
        <w:tblPrEx>
          <w:tblLook w:val="0480" w:firstRow="0" w:lastRow="0" w:firstColumn="1" w:lastColumn="0" w:noHBand="0" w:noVBand="1"/>
        </w:tblPrEx>
        <w:tc>
          <w:tcPr>
            <w:tcW w:w="3085" w:type="dxa"/>
          </w:tcPr>
          <w:p w:rsidR="00D13D1B" w:rsidRPr="0013345F" w:rsidRDefault="00D13D1B" w:rsidP="00D13D1B">
            <w:pPr>
              <w:pStyle w:val="PullOutBoxBodyText"/>
            </w:pPr>
            <w:r w:rsidRPr="0013345F">
              <w:t>Additional information received (including date):</w:t>
            </w:r>
          </w:p>
        </w:tc>
        <w:tc>
          <w:tcPr>
            <w:tcW w:w="5335" w:type="dxa"/>
          </w:tcPr>
          <w:p w:rsidR="00D13D1B" w:rsidRPr="0013345F" w:rsidRDefault="00D13D1B" w:rsidP="00D13D1B">
            <w:pPr>
              <w:pStyle w:val="PullOutBoxBodyText"/>
              <w:rPr>
                <w:highlight w:val="yellow"/>
              </w:rPr>
            </w:pPr>
            <w:r w:rsidRPr="0013345F">
              <w:t>On 28 June 2016, the Office of Senator Richard Di Natale (the office) advised that departmental costs would be met from within the capped funding amounts.</w:t>
            </w:r>
          </w:p>
        </w:tc>
      </w:tr>
      <w:tr w:rsidR="00D13D1B" w:rsidRPr="0013345F" w:rsidTr="00D13D1B">
        <w:tblPrEx>
          <w:tblLook w:val="0480" w:firstRow="0" w:lastRow="0" w:firstColumn="1" w:lastColumn="0" w:noHBand="0" w:noVBand="1"/>
        </w:tblPrEx>
        <w:tc>
          <w:tcPr>
            <w:tcW w:w="3085" w:type="dxa"/>
          </w:tcPr>
          <w:p w:rsidR="00D13D1B" w:rsidRPr="0013345F" w:rsidRDefault="00D13D1B" w:rsidP="00D13D1B">
            <w:pPr>
              <w:pStyle w:val="PullOutBoxBodyText"/>
            </w:pPr>
            <w:r w:rsidRPr="0013345F">
              <w:t>Expiry date for the costing:</w:t>
            </w:r>
          </w:p>
        </w:tc>
        <w:tc>
          <w:tcPr>
            <w:tcW w:w="5335" w:type="dxa"/>
          </w:tcPr>
          <w:p w:rsidR="00D13D1B" w:rsidRPr="0013345F" w:rsidRDefault="00D13D1B" w:rsidP="00D13D1B">
            <w:pPr>
              <w:pStyle w:val="PullOutBoxBodyText"/>
            </w:pPr>
            <w:r w:rsidRPr="0013345F">
              <w:t>Release of the next economic and fiscal outlook report</w:t>
            </w:r>
          </w:p>
        </w:tc>
      </w:tr>
    </w:tbl>
    <w:p w:rsidR="00D13D1B" w:rsidRDefault="00D13D1B" w:rsidP="00D13D1B">
      <w:pPr>
        <w:pStyle w:val="CostingsH7"/>
      </w:pPr>
      <w:r w:rsidRPr="00BF1EE6">
        <w:t>Costing overview</w:t>
      </w:r>
    </w:p>
    <w:p w:rsidR="00D13D1B" w:rsidRPr="0021221A" w:rsidRDefault="00D13D1B" w:rsidP="00D13D1B">
      <w:pPr>
        <w:pStyle w:val="BodyText"/>
      </w:pPr>
      <w:r w:rsidRPr="0021221A">
        <w:t>This proposal would be expected to decrease both the fiscal and underlying cash balances by $377.5 million over the 2016-17 Budget forward estimates period.  This reflects an increase in administered expenses of $356.5 million and an increase in departmental expenditure of $21.0 million over this period.</w:t>
      </w:r>
    </w:p>
    <w:p w:rsidR="00D13D1B" w:rsidRPr="0021221A" w:rsidRDefault="00D13D1B" w:rsidP="00D13D1B">
      <w:pPr>
        <w:pStyle w:val="BodyText"/>
      </w:pPr>
      <w:r w:rsidRPr="0021221A">
        <w:t>The impact of the proposal increases significantly beyond the 2016</w:t>
      </w:r>
      <w:r w:rsidRPr="0021221A">
        <w:noBreakHyphen/>
        <w:t>17 Budget forward estimates period, with funding then ceasing after 10 years.  A breakdown of the estimated impact to 2026</w:t>
      </w:r>
      <w:r w:rsidRPr="0021221A">
        <w:noBreakHyphen/>
        <w:t xml:space="preserve">27 is provided at </w:t>
      </w:r>
      <w:r w:rsidRPr="0021221A">
        <w:rPr>
          <w:u w:val="single"/>
        </w:rPr>
        <w:t>Attachment B</w:t>
      </w:r>
      <w:r w:rsidRPr="0021221A">
        <w:t>.</w:t>
      </w:r>
    </w:p>
    <w:p w:rsidR="00D13D1B" w:rsidRPr="0021221A" w:rsidRDefault="00D13D1B" w:rsidP="00D13D1B">
      <w:pPr>
        <w:pStyle w:val="BodyText"/>
        <w:rPr>
          <w:lang w:eastAsia="en-AU"/>
        </w:rPr>
      </w:pPr>
      <w:r w:rsidRPr="0021221A">
        <w:rPr>
          <w:lang w:eastAsia="en-AU"/>
        </w:rPr>
        <w:t>This costing is considered to be of high reliability as it is based on specified capped amounts.  However, no analysis has been undertaken to determine the adequacy of the prescribed funding amounts to achieve the objective of the proposal.</w:t>
      </w:r>
    </w:p>
    <w:p w:rsidR="00D13D1B" w:rsidRPr="0021221A" w:rsidRDefault="00D13D1B" w:rsidP="00D13D1B">
      <w:pPr>
        <w:pStyle w:val="Caption"/>
      </w:pPr>
      <w:r w:rsidRPr="0021221A">
        <w:t>Table 1: Financial implications (outturn prices)</w:t>
      </w:r>
      <w:r w:rsidRPr="0021221A">
        <w:rPr>
          <w:vertAlign w:val="superscript"/>
        </w:rPr>
        <w:t>(a)(b)</w:t>
      </w:r>
    </w:p>
    <w:tbl>
      <w:tblPr>
        <w:tblStyle w:val="TableGrid1"/>
        <w:tblW w:w="4993" w:type="pct"/>
        <w:tblLook w:val="04A0" w:firstRow="1" w:lastRow="0" w:firstColumn="1" w:lastColumn="0" w:noHBand="0" w:noVBand="1"/>
      </w:tblPr>
      <w:tblGrid>
        <w:gridCol w:w="2645"/>
        <w:gridCol w:w="1134"/>
        <w:gridCol w:w="1133"/>
        <w:gridCol w:w="1133"/>
        <w:gridCol w:w="1133"/>
        <w:gridCol w:w="1132"/>
      </w:tblGrid>
      <w:tr w:rsidR="00D13D1B" w:rsidRPr="0021221A" w:rsidTr="00D13D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D13D1B" w:rsidRPr="0021221A" w:rsidRDefault="00D13D1B" w:rsidP="00D13D1B">
            <w:pPr>
              <w:spacing w:line="240" w:lineRule="auto"/>
              <w:ind w:left="57" w:right="57"/>
              <w:rPr>
                <w:szCs w:val="20"/>
              </w:rPr>
            </w:pPr>
            <w:r w:rsidRPr="0021221A">
              <w:rPr>
                <w:szCs w:val="20"/>
              </w:rPr>
              <w:t>Impact on ($m)</w:t>
            </w:r>
          </w:p>
        </w:tc>
        <w:tc>
          <w:tcPr>
            <w:tcW w:w="682" w:type="pct"/>
            <w:vAlign w:val="center"/>
          </w:tcPr>
          <w:p w:rsidR="00D13D1B" w:rsidRPr="0021221A" w:rsidRDefault="00D13D1B" w:rsidP="00D13D1B">
            <w:pPr>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1221A">
              <w:rPr>
                <w:szCs w:val="20"/>
              </w:rPr>
              <w:t>2016–17</w:t>
            </w:r>
          </w:p>
        </w:tc>
        <w:tc>
          <w:tcPr>
            <w:tcW w:w="682" w:type="pct"/>
            <w:vAlign w:val="center"/>
          </w:tcPr>
          <w:p w:rsidR="00D13D1B" w:rsidRPr="0021221A" w:rsidRDefault="00D13D1B" w:rsidP="00D13D1B">
            <w:pPr>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1221A">
              <w:rPr>
                <w:szCs w:val="20"/>
              </w:rPr>
              <w:t>2017–18</w:t>
            </w:r>
          </w:p>
        </w:tc>
        <w:tc>
          <w:tcPr>
            <w:tcW w:w="682" w:type="pct"/>
            <w:vAlign w:val="center"/>
          </w:tcPr>
          <w:p w:rsidR="00D13D1B" w:rsidRPr="0021221A" w:rsidRDefault="00D13D1B" w:rsidP="00D13D1B">
            <w:pPr>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1221A">
              <w:rPr>
                <w:szCs w:val="20"/>
              </w:rPr>
              <w:t>2018–19</w:t>
            </w:r>
          </w:p>
        </w:tc>
        <w:tc>
          <w:tcPr>
            <w:tcW w:w="682" w:type="pct"/>
            <w:vAlign w:val="center"/>
          </w:tcPr>
          <w:p w:rsidR="00D13D1B" w:rsidRPr="0021221A" w:rsidRDefault="00D13D1B" w:rsidP="00D13D1B">
            <w:pPr>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1221A">
              <w:rPr>
                <w:szCs w:val="20"/>
              </w:rPr>
              <w:t>2019–20</w:t>
            </w:r>
          </w:p>
        </w:tc>
        <w:tc>
          <w:tcPr>
            <w:tcW w:w="681" w:type="pct"/>
            <w:vAlign w:val="center"/>
          </w:tcPr>
          <w:p w:rsidR="00D13D1B" w:rsidRPr="0021221A" w:rsidRDefault="00D13D1B" w:rsidP="00D13D1B">
            <w:pPr>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1221A">
              <w:rPr>
                <w:b/>
                <w:szCs w:val="20"/>
              </w:rPr>
              <w:t>Total</w:t>
            </w:r>
          </w:p>
        </w:tc>
      </w:tr>
      <w:tr w:rsidR="00D13D1B" w:rsidRPr="0021221A" w:rsidTr="00D13D1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591" w:type="pct"/>
          </w:tcPr>
          <w:p w:rsidR="00D13D1B" w:rsidRPr="0021221A" w:rsidRDefault="00D13D1B" w:rsidP="00D13D1B">
            <w:pPr>
              <w:spacing w:line="240" w:lineRule="auto"/>
              <w:ind w:left="57" w:right="57"/>
              <w:rPr>
                <w:szCs w:val="20"/>
              </w:rPr>
            </w:pPr>
            <w:r w:rsidRPr="0021221A">
              <w:rPr>
                <w:szCs w:val="20"/>
              </w:rPr>
              <w:t>Fiscal balance</w:t>
            </w:r>
          </w:p>
        </w:tc>
        <w:tc>
          <w:tcPr>
            <w:tcW w:w="682"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21221A">
              <w:rPr>
                <w:rFonts w:ascii="Calibri" w:hAnsi="Calibri"/>
              </w:rPr>
              <w:t>-80.0</w:t>
            </w:r>
          </w:p>
        </w:tc>
        <w:tc>
          <w:tcPr>
            <w:tcW w:w="682"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21221A">
              <w:rPr>
                <w:rFonts w:ascii="Calibri" w:hAnsi="Calibri"/>
              </w:rPr>
              <w:t>-91.6</w:t>
            </w:r>
          </w:p>
        </w:tc>
        <w:tc>
          <w:tcPr>
            <w:tcW w:w="682"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21221A">
              <w:rPr>
                <w:rFonts w:ascii="Calibri" w:hAnsi="Calibri"/>
              </w:rPr>
              <w:t>-97.3</w:t>
            </w:r>
          </w:p>
        </w:tc>
        <w:tc>
          <w:tcPr>
            <w:tcW w:w="682"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21221A">
              <w:rPr>
                <w:rFonts w:ascii="Calibri" w:hAnsi="Calibri"/>
              </w:rPr>
              <w:t>-108.6</w:t>
            </w:r>
          </w:p>
        </w:tc>
        <w:tc>
          <w:tcPr>
            <w:tcW w:w="681"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21221A">
              <w:rPr>
                <w:rFonts w:ascii="Calibri" w:hAnsi="Calibri"/>
                <w:b/>
              </w:rPr>
              <w:t>-377.5</w:t>
            </w:r>
          </w:p>
        </w:tc>
      </w:tr>
      <w:tr w:rsidR="00D13D1B" w:rsidRPr="0021221A" w:rsidTr="00D13D1B">
        <w:trPr>
          <w:trHeight w:val="369"/>
        </w:trPr>
        <w:tc>
          <w:tcPr>
            <w:cnfStyle w:val="001000000000" w:firstRow="0" w:lastRow="0" w:firstColumn="1" w:lastColumn="0" w:oddVBand="0" w:evenVBand="0" w:oddHBand="0" w:evenHBand="0" w:firstRowFirstColumn="0" w:firstRowLastColumn="0" w:lastRowFirstColumn="0" w:lastRowLastColumn="0"/>
            <w:tcW w:w="1591" w:type="pct"/>
          </w:tcPr>
          <w:p w:rsidR="00D13D1B" w:rsidRPr="0021221A" w:rsidRDefault="00D13D1B" w:rsidP="00D13D1B">
            <w:pPr>
              <w:spacing w:line="240" w:lineRule="auto"/>
              <w:ind w:left="57" w:right="57"/>
              <w:rPr>
                <w:szCs w:val="20"/>
              </w:rPr>
            </w:pPr>
            <w:r w:rsidRPr="0021221A">
              <w:rPr>
                <w:szCs w:val="20"/>
              </w:rPr>
              <w:t>Underlying cash balance</w:t>
            </w:r>
          </w:p>
        </w:tc>
        <w:tc>
          <w:tcPr>
            <w:tcW w:w="682"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-80.0</w:t>
            </w:r>
          </w:p>
        </w:tc>
        <w:tc>
          <w:tcPr>
            <w:tcW w:w="682"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-91.6</w:t>
            </w:r>
          </w:p>
        </w:tc>
        <w:tc>
          <w:tcPr>
            <w:tcW w:w="682"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-97.3</w:t>
            </w:r>
          </w:p>
        </w:tc>
        <w:tc>
          <w:tcPr>
            <w:tcW w:w="682"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-108.6</w:t>
            </w:r>
          </w:p>
        </w:tc>
        <w:tc>
          <w:tcPr>
            <w:tcW w:w="681"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-377.5</w:t>
            </w:r>
          </w:p>
        </w:tc>
      </w:tr>
    </w:tbl>
    <w:p w:rsidR="00D13D1B" w:rsidRDefault="00D13D1B" w:rsidP="000B5C96">
      <w:pPr>
        <w:pStyle w:val="Footnotes"/>
        <w:numPr>
          <w:ilvl w:val="0"/>
          <w:numId w:val="106"/>
        </w:numPr>
        <w:ind w:left="284" w:hanging="284"/>
      </w:pPr>
      <w:r w:rsidRPr="0021221A">
        <w:t>A negative number indicates a decrease in the relevant budget balance.</w:t>
      </w:r>
    </w:p>
    <w:p w:rsidR="00D13D1B" w:rsidRPr="0021221A" w:rsidRDefault="00D13D1B" w:rsidP="000B5C96">
      <w:pPr>
        <w:pStyle w:val="Footnotes"/>
        <w:numPr>
          <w:ilvl w:val="0"/>
          <w:numId w:val="106"/>
        </w:numPr>
        <w:ind w:left="284" w:hanging="284"/>
      </w:pPr>
      <w:r>
        <w:t>Figures may not sum to totals due to rounding.</w:t>
      </w:r>
    </w:p>
    <w:p w:rsidR="00D13D1B" w:rsidRPr="00D7096D" w:rsidRDefault="00D13D1B" w:rsidP="00D13D1B">
      <w:pPr>
        <w:pStyle w:val="CostingsH7"/>
      </w:pPr>
      <w:r w:rsidRPr="00D7096D">
        <w:t>Methodology</w:t>
      </w:r>
    </w:p>
    <w:p w:rsidR="00D13D1B" w:rsidRPr="0021221A" w:rsidRDefault="00D13D1B" w:rsidP="00D13D1B">
      <w:pPr>
        <w:pStyle w:val="BodyText"/>
      </w:pPr>
      <w:r w:rsidRPr="0021221A">
        <w:t>The total impact of the proposal reflects the capped funding amounts as set out in the request, indexed by CPI where specified.</w:t>
      </w:r>
    </w:p>
    <w:p w:rsidR="00D13D1B" w:rsidRPr="0021221A" w:rsidRDefault="00D13D1B" w:rsidP="00D13D1B">
      <w:pPr>
        <w:pStyle w:val="BodyText"/>
      </w:pPr>
      <w:r w:rsidRPr="0021221A">
        <w:t xml:space="preserve">The request specified that departmental expenditure estimates would be accommodated within the capped funding amounts.  Departmental estimates were based on like programs and the estimates account for the net effect of indexation parameters and the efficiency dividend, in accordance with the Department of Finance’s costing practices.  It has been assumed that funding the </w:t>
      </w:r>
      <w:r w:rsidRPr="0021221A">
        <w:rPr>
          <w:i/>
        </w:rPr>
        <w:t>National Climate Change Adaptation Research Facility</w:t>
      </w:r>
      <w:r w:rsidRPr="0021221A">
        <w:t xml:space="preserve"> would involve payments to a known entity and would not be administratively burdensome.</w:t>
      </w:r>
    </w:p>
    <w:p w:rsidR="00D13D1B" w:rsidRPr="0021221A" w:rsidRDefault="00D13D1B" w:rsidP="00D13D1B">
      <w:pPr>
        <w:pStyle w:val="BodyText"/>
      </w:pPr>
      <w:r w:rsidRPr="0021221A">
        <w:t>Administered expenditure estimates for each component of the proposal are the remainder of the capped funding amounts after allowing for estimated departmental expenditure.</w:t>
      </w:r>
    </w:p>
    <w:p w:rsidR="00D13D1B" w:rsidRPr="00D7096D" w:rsidRDefault="00D13D1B" w:rsidP="00D13D1B">
      <w:pPr>
        <w:pStyle w:val="CostingsH7"/>
      </w:pPr>
      <w:r w:rsidRPr="00D7096D">
        <w:t>Data sources</w:t>
      </w:r>
    </w:p>
    <w:p w:rsidR="00D13D1B" w:rsidRPr="0021221A" w:rsidRDefault="00D13D1B" w:rsidP="00D13D1B">
      <w:pPr>
        <w:pStyle w:val="BodyText"/>
        <w:rPr>
          <w:lang w:eastAsia="en-AU"/>
        </w:rPr>
      </w:pPr>
      <w:r w:rsidRPr="0021221A">
        <w:rPr>
          <w:lang w:eastAsia="en-AU"/>
        </w:rPr>
        <w:t>Department of Finance provided indexation and efficiency dividend parameters.</w:t>
      </w:r>
    </w:p>
    <w:p w:rsidR="00D13D1B" w:rsidRPr="0021221A" w:rsidRDefault="00D13D1B" w:rsidP="00D13D1B">
      <w:pPr>
        <w:spacing w:before="113" w:line="260" w:lineRule="atLeast"/>
        <w:rPr>
          <w:rFonts w:ascii="Calibri" w:eastAsia="Calibri" w:hAnsi="Calibri" w:cs="Times New Roman"/>
          <w:sz w:val="20"/>
          <w:szCs w:val="20"/>
        </w:rPr>
      </w:pPr>
    </w:p>
    <w:p w:rsidR="00D13D1B" w:rsidRPr="0021221A" w:rsidRDefault="00D13D1B" w:rsidP="00D13D1B">
      <w:pPr>
        <w:spacing w:before="113" w:line="260" w:lineRule="atLeast"/>
        <w:ind w:left="833" w:hanging="360"/>
        <w:rPr>
          <w:rFonts w:ascii="Calibri" w:eastAsia="Calibri" w:hAnsi="Calibri" w:cs="Times New Roman"/>
          <w:sz w:val="20"/>
          <w:szCs w:val="20"/>
          <w:highlight w:val="yellow"/>
        </w:rPr>
        <w:sectPr w:rsidR="00D13D1B" w:rsidRPr="0021221A" w:rsidSect="00D13D1B">
          <w:headerReference w:type="even" r:id="rId247"/>
          <w:headerReference w:type="default" r:id="rId248"/>
          <w:footerReference w:type="even" r:id="rId249"/>
          <w:footerReference w:type="default" r:id="rId250"/>
          <w:headerReference w:type="first" r:id="rId251"/>
          <w:footerReference w:type="first" r:id="rId252"/>
          <w:footnotePr>
            <w:numRestart w:val="eachSect"/>
          </w:footnotePr>
          <w:pgSz w:w="11906" w:h="16838"/>
          <w:pgMar w:top="1361" w:right="1797" w:bottom="1474" w:left="1797" w:header="283" w:footer="454" w:gutter="0"/>
          <w:pgNumType w:start="572"/>
          <w:cols w:space="708"/>
          <w:docGrid w:linePitch="360"/>
        </w:sectPr>
      </w:pPr>
    </w:p>
    <w:p w:rsidR="00D13D1B" w:rsidRPr="0021221A" w:rsidRDefault="00D13D1B" w:rsidP="00D13D1B">
      <w:pPr>
        <w:pStyle w:val="Heading6"/>
        <w:tabs>
          <w:tab w:val="num" w:pos="360"/>
          <w:tab w:val="right" w:pos="1418"/>
          <w:tab w:val="right" w:pos="1701"/>
          <w:tab w:val="right" w:pos="1985"/>
        </w:tabs>
      </w:pPr>
      <w:r w:rsidRPr="0021221A">
        <w:t>Attachment A: Living with Global Warming: Climate Adaptation—specified funding profile to 2025-26</w:t>
      </w:r>
    </w:p>
    <w:p w:rsidR="00D13D1B" w:rsidRPr="0021221A" w:rsidRDefault="00D13D1B" w:rsidP="00D13D1B">
      <w:pPr>
        <w:pStyle w:val="Caption"/>
      </w:pPr>
      <w:r w:rsidRPr="0021221A">
        <w:t>Table A1: Living with Global Warming: Climate Adaptation—specified funding profile to 2025-26</w:t>
      </w:r>
      <w:r w:rsidRPr="0021221A">
        <w:rPr>
          <w:vertAlign w:val="superscript"/>
        </w:rPr>
        <w:t xml:space="preserve"> </w:t>
      </w:r>
      <w:r w:rsidRPr="0021221A">
        <w:rPr>
          <w:color w:val="000000"/>
          <w:vertAlign w:val="superscript"/>
        </w:rPr>
        <w:t>(a)</w:t>
      </w:r>
    </w:p>
    <w:tbl>
      <w:tblPr>
        <w:tblStyle w:val="TableGrid1"/>
        <w:tblW w:w="5311" w:type="pct"/>
        <w:tblInd w:w="-421" w:type="dxa"/>
        <w:tblLook w:val="0680" w:firstRow="0" w:lastRow="0" w:firstColumn="1" w:lastColumn="0" w:noHBand="1" w:noVBand="1"/>
      </w:tblPr>
      <w:tblGrid>
        <w:gridCol w:w="2820"/>
        <w:gridCol w:w="865"/>
        <w:gridCol w:w="868"/>
        <w:gridCol w:w="867"/>
        <w:gridCol w:w="867"/>
        <w:gridCol w:w="864"/>
        <w:gridCol w:w="867"/>
        <w:gridCol w:w="867"/>
        <w:gridCol w:w="867"/>
        <w:gridCol w:w="864"/>
        <w:gridCol w:w="867"/>
        <w:gridCol w:w="867"/>
        <w:gridCol w:w="867"/>
        <w:gridCol w:w="862"/>
      </w:tblGrid>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shd w:val="clear" w:color="auto" w:fill="D7DDE9"/>
          </w:tcPr>
          <w:p w:rsidR="00D13D1B" w:rsidRPr="0021221A" w:rsidRDefault="00D13D1B" w:rsidP="00D13D1B">
            <w:pPr>
              <w:spacing w:line="240" w:lineRule="auto"/>
              <w:ind w:left="57" w:right="57"/>
              <w:rPr>
                <w:b/>
              </w:rPr>
            </w:pPr>
            <w:r w:rsidRPr="0021221A">
              <w:rPr>
                <w:b/>
              </w:rPr>
              <w:t>($m)</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2016-17</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2017-18</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2018-19</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2019-20</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Total to 2019-20</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2020-21</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2021-22</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2022-23</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2023-24</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2024-25</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2025-26</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2026-27</w:t>
            </w:r>
          </w:p>
        </w:tc>
        <w:tc>
          <w:tcPr>
            <w:tcW w:w="306"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Total to 2026-27</w:t>
            </w:r>
          </w:p>
        </w:tc>
      </w:tr>
      <w:tr w:rsidR="00D13D1B" w:rsidRPr="0021221A" w:rsidTr="00D13D1B">
        <w:trPr>
          <w:cantSplit/>
          <w:trHeight w:val="740"/>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pPr>
            <w:r w:rsidRPr="0021221A">
              <w:t>National Climate Change Adaptation Research Facility</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10.0</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30</w:t>
            </w:r>
            <w:r w:rsidRPr="0021221A">
              <w:rPr>
                <w:rFonts w:ascii="Calibri" w:hAnsi="Calibri"/>
                <w:i/>
              </w:rPr>
              <w:t>.</w:t>
            </w:r>
            <w:r w:rsidRPr="0021221A">
              <w:rPr>
                <w:rFonts w:ascii="Calibri" w:hAnsi="Calibri"/>
                <w:b/>
                <w:i/>
              </w:rPr>
              <w:t>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rPr>
            </w:pPr>
            <w:r w:rsidRPr="0021221A">
              <w:rPr>
                <w:rFonts w:ascii="Calibri" w:hAnsi="Calibri"/>
                <w:b/>
                <w:bCs/>
                <w:i/>
              </w:rPr>
              <w:t>50</w:t>
            </w:r>
            <w:r w:rsidRPr="0021221A">
              <w:rPr>
                <w:rFonts w:ascii="Calibri" w:hAnsi="Calibri"/>
                <w:i/>
              </w:rPr>
              <w:t>.</w:t>
            </w:r>
            <w:r w:rsidRPr="0021221A">
              <w:rPr>
                <w:rFonts w:ascii="Calibri" w:hAnsi="Calibri"/>
                <w:b/>
                <w:i/>
              </w:rPr>
              <w:t>0</w:t>
            </w:r>
          </w:p>
        </w:tc>
      </w:tr>
      <w:tr w:rsidR="00D13D1B" w:rsidRPr="0021221A" w:rsidTr="00D13D1B">
        <w:trPr>
          <w:cantSplit/>
          <w:trHeight w:val="740"/>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rPr>
                <w:color w:val="000000"/>
              </w:rPr>
            </w:pPr>
            <w:r w:rsidRPr="0021221A">
              <w:rPr>
                <w:bCs/>
                <w:color w:val="000000"/>
              </w:rPr>
              <w:t>National Partnership Agreement: Backing our emergency workers</w:t>
            </w:r>
            <w:r w:rsidRPr="0021221A">
              <w:rPr>
                <w:bCs/>
                <w:color w:val="000000"/>
                <w:vertAlign w:val="superscript"/>
              </w:rPr>
              <w:t>(b)</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25.0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25.0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30.0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40.0</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120.0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80.0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100.0</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140.0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170.0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200.0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860.0</w:t>
            </w:r>
          </w:p>
        </w:tc>
      </w:tr>
      <w:tr w:rsidR="00D13D1B" w:rsidRPr="0021221A" w:rsidTr="00D13D1B">
        <w:trPr>
          <w:cantSplit/>
          <w:trHeight w:val="740"/>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rPr>
                <w:color w:val="000000"/>
              </w:rPr>
            </w:pPr>
            <w:r w:rsidRPr="0021221A">
              <w:rPr>
                <w:bCs/>
                <w:color w:val="000000"/>
              </w:rPr>
              <w:t>National Partnership Agreement: Preparing for extreme weather</w:t>
            </w:r>
            <w:r w:rsidRPr="0021221A">
              <w:rPr>
                <w:bCs/>
                <w:color w:val="000000"/>
                <w:vertAlign w:val="superscript"/>
              </w:rPr>
              <w:t>(b)</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50.0</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200.0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100.0</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120.0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150.0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200.0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920.0</w:t>
            </w:r>
          </w:p>
        </w:tc>
      </w:tr>
      <w:tr w:rsidR="00D13D1B" w:rsidRPr="0021221A" w:rsidTr="00D13D1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pPr>
            <w:r w:rsidRPr="0021221A">
              <w:t>Establish the Office of Climate Adaptation and Sea Level Rise</w:t>
            </w:r>
            <w:r w:rsidRPr="0021221A">
              <w:rPr>
                <w:bCs/>
                <w:color w:val="000000"/>
                <w:vertAlign w:val="superscript"/>
              </w:rPr>
              <w:t>(b)</w:t>
            </w:r>
          </w:p>
        </w:tc>
        <w:tc>
          <w:tcPr>
            <w:tcW w:w="307"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1221A">
              <w:rPr>
                <w:rFonts w:ascii="Calibri" w:hAnsi="Calibri"/>
                <w:i/>
              </w:rPr>
              <w:t>5.0</w:t>
            </w:r>
          </w:p>
        </w:tc>
        <w:tc>
          <w:tcPr>
            <w:tcW w:w="308"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1221A">
              <w:rPr>
                <w:rFonts w:ascii="Calibri" w:hAnsi="Calibri"/>
                <w:i/>
              </w:rPr>
              <w:t>5.0</w:t>
            </w:r>
          </w:p>
        </w:tc>
        <w:tc>
          <w:tcPr>
            <w:tcW w:w="308"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1221A">
              <w:rPr>
                <w:rFonts w:ascii="Calibri" w:hAnsi="Calibri"/>
                <w:i/>
              </w:rPr>
              <w:t>5.0</w:t>
            </w:r>
          </w:p>
        </w:tc>
        <w:tc>
          <w:tcPr>
            <w:tcW w:w="308"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1221A">
              <w:rPr>
                <w:rFonts w:ascii="Calibri" w:hAnsi="Calibri"/>
                <w:i/>
              </w:rPr>
              <w:t>5.0</w:t>
            </w:r>
          </w:p>
        </w:tc>
        <w:tc>
          <w:tcPr>
            <w:tcW w:w="307"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21221A">
              <w:rPr>
                <w:rFonts w:ascii="Calibri" w:hAnsi="Calibri"/>
                <w:b/>
                <w:i/>
              </w:rPr>
              <w:t>20.0</w:t>
            </w:r>
          </w:p>
        </w:tc>
        <w:tc>
          <w:tcPr>
            <w:tcW w:w="308"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1221A">
              <w:rPr>
                <w:rFonts w:ascii="Calibri" w:hAnsi="Calibri"/>
                <w:i/>
              </w:rPr>
              <w:t>5.0</w:t>
            </w:r>
          </w:p>
        </w:tc>
        <w:tc>
          <w:tcPr>
            <w:tcW w:w="308"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1221A">
              <w:rPr>
                <w:rFonts w:ascii="Calibri" w:hAnsi="Calibri"/>
                <w:i/>
              </w:rPr>
              <w:t>5.0</w:t>
            </w:r>
          </w:p>
        </w:tc>
        <w:tc>
          <w:tcPr>
            <w:tcW w:w="308"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1221A">
              <w:rPr>
                <w:rFonts w:ascii="Calibri" w:hAnsi="Calibri"/>
                <w:i/>
              </w:rPr>
              <w:t>5.0</w:t>
            </w:r>
          </w:p>
        </w:tc>
        <w:tc>
          <w:tcPr>
            <w:tcW w:w="307"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1221A">
              <w:rPr>
                <w:rFonts w:ascii="Calibri" w:hAnsi="Calibri"/>
                <w:i/>
              </w:rPr>
              <w:t>5.0</w:t>
            </w:r>
          </w:p>
        </w:tc>
        <w:tc>
          <w:tcPr>
            <w:tcW w:w="308"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1221A">
              <w:rPr>
                <w:rFonts w:ascii="Calibri" w:hAnsi="Calibri"/>
                <w:i/>
              </w:rPr>
              <w:t>5.0</w:t>
            </w:r>
          </w:p>
        </w:tc>
        <w:tc>
          <w:tcPr>
            <w:tcW w:w="308"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1221A">
              <w:rPr>
                <w:rFonts w:ascii="Calibri" w:hAnsi="Calibri"/>
                <w:i/>
              </w:rPr>
              <w:t>5.0</w:t>
            </w:r>
          </w:p>
        </w:tc>
        <w:tc>
          <w:tcPr>
            <w:tcW w:w="308"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21221A">
              <w:rPr>
                <w:rFonts w:ascii="Calibri" w:hAnsi="Calibri"/>
                <w:b/>
                <w:i/>
              </w:rPr>
              <w:t>50.0</w:t>
            </w:r>
          </w:p>
        </w:tc>
      </w:tr>
      <w:tr w:rsidR="00D13D1B" w:rsidRPr="0021221A" w:rsidTr="00D13D1B">
        <w:trPr>
          <w:cantSplit/>
          <w:trHeight w:val="611"/>
        </w:trPr>
        <w:tc>
          <w:tcPr>
            <w:cnfStyle w:val="001000000000" w:firstRow="0" w:lastRow="0" w:firstColumn="1" w:lastColumn="0" w:oddVBand="0" w:evenVBand="0" w:oddHBand="0" w:evenHBand="0" w:firstRowFirstColumn="0" w:firstRowLastColumn="0" w:lastRowFirstColumn="0" w:lastRowLastColumn="0"/>
            <w:tcW w:w="1001" w:type="pct"/>
            <w:shd w:val="clear" w:color="auto" w:fill="D7DDE9"/>
          </w:tcPr>
          <w:p w:rsidR="00D13D1B" w:rsidRPr="0021221A" w:rsidRDefault="00D13D1B" w:rsidP="00D13D1B">
            <w:pPr>
              <w:spacing w:line="240" w:lineRule="auto"/>
              <w:ind w:left="57" w:right="57"/>
              <w:rPr>
                <w:b/>
              </w:rPr>
            </w:pPr>
            <w:r w:rsidRPr="0021221A">
              <w:rPr>
                <w:b/>
              </w:rPr>
              <w:t>Total</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80.0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90.0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95.0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105.0</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370.0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115.0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195.0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205.0</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265.0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325.0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405.0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w:t>
            </w:r>
          </w:p>
        </w:tc>
        <w:tc>
          <w:tcPr>
            <w:tcW w:w="306"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1,880.0</w:t>
            </w:r>
          </w:p>
        </w:tc>
      </w:tr>
    </w:tbl>
    <w:p w:rsidR="00D13D1B" w:rsidRPr="0021221A" w:rsidRDefault="00D13D1B" w:rsidP="000B5C96">
      <w:pPr>
        <w:pStyle w:val="Footnotes"/>
        <w:numPr>
          <w:ilvl w:val="0"/>
          <w:numId w:val="107"/>
        </w:numPr>
        <w:ind w:left="284" w:hanging="284"/>
      </w:pPr>
      <w:r w:rsidRPr="0021221A">
        <w:t>A positive number indicates an increase in funding.</w:t>
      </w:r>
    </w:p>
    <w:p w:rsidR="00D13D1B" w:rsidRPr="0021221A" w:rsidRDefault="00D13D1B" w:rsidP="000B5C96">
      <w:pPr>
        <w:pStyle w:val="Footnotes"/>
        <w:numPr>
          <w:ilvl w:val="0"/>
          <w:numId w:val="106"/>
        </w:numPr>
        <w:ind w:left="284" w:hanging="284"/>
      </w:pPr>
      <w:r w:rsidRPr="0021221A">
        <w:t>2016-17 values shown, values used in the costing are indexed by growth in the CPI, as specified.</w:t>
      </w:r>
    </w:p>
    <w:p w:rsidR="00D13D1B" w:rsidRDefault="00D13D1B" w:rsidP="00D13D1B">
      <w:pPr>
        <w:pStyle w:val="Footnotes"/>
        <w:numPr>
          <w:ilvl w:val="0"/>
          <w:numId w:val="0"/>
        </w:numPr>
        <w:ind w:left="284" w:hanging="284"/>
        <w:sectPr w:rsidR="00D13D1B" w:rsidSect="00D13D1B">
          <w:headerReference w:type="even" r:id="rId253"/>
          <w:headerReference w:type="default" r:id="rId254"/>
          <w:footerReference w:type="even" r:id="rId255"/>
          <w:footerReference w:type="default" r:id="rId256"/>
          <w:headerReference w:type="first" r:id="rId257"/>
          <w:footerReference w:type="first" r:id="rId258"/>
          <w:footnotePr>
            <w:numRestart w:val="eachSect"/>
          </w:footnotePr>
          <w:pgSz w:w="16839" w:h="11907" w:orient="landscape" w:code="9"/>
          <w:pgMar w:top="1361" w:right="1797" w:bottom="1474" w:left="1797" w:header="283" w:footer="454" w:gutter="0"/>
          <w:cols w:space="708"/>
          <w:docGrid w:linePitch="360"/>
        </w:sectPr>
      </w:pPr>
      <w:r w:rsidRPr="0021221A">
        <w:t>-</w:t>
      </w:r>
      <w:r w:rsidRPr="0021221A">
        <w:tab/>
        <w:t>Indicates nil.</w:t>
      </w:r>
    </w:p>
    <w:p w:rsidR="00D13D1B" w:rsidRPr="0021221A" w:rsidRDefault="00D13D1B" w:rsidP="00D13D1B">
      <w:pPr>
        <w:pStyle w:val="Heading6"/>
        <w:tabs>
          <w:tab w:val="num" w:pos="360"/>
          <w:tab w:val="right" w:pos="1418"/>
          <w:tab w:val="right" w:pos="1701"/>
          <w:tab w:val="right" w:pos="1985"/>
        </w:tabs>
      </w:pPr>
      <w:r w:rsidRPr="0021221A">
        <w:t>Attachment B: Living with Global Warming: Climate Adaptation—financial implications</w:t>
      </w:r>
    </w:p>
    <w:p w:rsidR="00D13D1B" w:rsidRPr="0021221A" w:rsidRDefault="00D13D1B" w:rsidP="00D13D1B">
      <w:pPr>
        <w:pStyle w:val="Caption"/>
      </w:pPr>
      <w:r w:rsidRPr="0021221A">
        <w:t>Table B1: Combined impact of all components—Financial implications</w:t>
      </w:r>
      <w:r w:rsidRPr="0021221A">
        <w:rPr>
          <w:vertAlign w:val="superscript"/>
        </w:rPr>
        <w:t>(a)(b)</w:t>
      </w:r>
    </w:p>
    <w:tbl>
      <w:tblPr>
        <w:tblStyle w:val="TableGrid1"/>
        <w:tblW w:w="5311" w:type="pct"/>
        <w:tblInd w:w="-421" w:type="dxa"/>
        <w:tblLook w:val="0680" w:firstRow="0" w:lastRow="0" w:firstColumn="1" w:lastColumn="0" w:noHBand="1" w:noVBand="1"/>
      </w:tblPr>
      <w:tblGrid>
        <w:gridCol w:w="2820"/>
        <w:gridCol w:w="865"/>
        <w:gridCol w:w="868"/>
        <w:gridCol w:w="867"/>
        <w:gridCol w:w="867"/>
        <w:gridCol w:w="864"/>
        <w:gridCol w:w="867"/>
        <w:gridCol w:w="867"/>
        <w:gridCol w:w="867"/>
        <w:gridCol w:w="864"/>
        <w:gridCol w:w="867"/>
        <w:gridCol w:w="867"/>
        <w:gridCol w:w="867"/>
        <w:gridCol w:w="862"/>
      </w:tblGrid>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shd w:val="clear" w:color="auto" w:fill="D7DDE9"/>
          </w:tcPr>
          <w:p w:rsidR="00D13D1B" w:rsidRPr="0021221A" w:rsidRDefault="00D13D1B" w:rsidP="00D13D1B">
            <w:pPr>
              <w:spacing w:line="240" w:lineRule="auto"/>
              <w:ind w:left="57" w:right="57"/>
              <w:rPr>
                <w:b/>
              </w:rPr>
            </w:pPr>
            <w:r w:rsidRPr="0021221A">
              <w:rPr>
                <w:b/>
              </w:rPr>
              <w:t>($m)</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2016-17</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2017-18</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2018-19</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2019-20</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Total to 2019-20</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2020-21</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2021-22</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2022-23</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2023-24</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2024-25</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2025-26</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2026-27</w:t>
            </w:r>
          </w:p>
        </w:tc>
        <w:tc>
          <w:tcPr>
            <w:tcW w:w="306"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Total to 2026-27</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D13D1B" w:rsidRPr="0021221A" w:rsidRDefault="00D13D1B" w:rsidP="00D13D1B">
            <w:pPr>
              <w:spacing w:line="240" w:lineRule="auto"/>
              <w:ind w:left="57" w:right="57"/>
              <w:rPr>
                <w:b/>
              </w:rPr>
            </w:pPr>
            <w:r w:rsidRPr="0021221A">
              <w:rPr>
                <w:b/>
              </w:rPr>
              <w:t>Impact on fiscal and underlying cash balances</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pPr>
            <w:r w:rsidRPr="0021221A">
              <w:t>Administered</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-74.9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-86.4</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-92.0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-103.2</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-356.5</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-114.5</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-189.9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-202.4</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-259.9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-319.9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-399.9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-1,843.0</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rPr>
                <w:color w:val="000000"/>
              </w:rPr>
            </w:pPr>
            <w:r w:rsidRPr="0021221A">
              <w:rPr>
                <w:bCs/>
                <w:color w:val="000000"/>
              </w:rPr>
              <w:t>Departmental</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-5.2</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-5.3</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-5.4</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-21.0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-5.6</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-5.7</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-5.8</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-6.0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-6.1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-6.3</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-56.5</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shd w:val="clear" w:color="auto" w:fill="D7DDE9"/>
          </w:tcPr>
          <w:p w:rsidR="00D13D1B" w:rsidRPr="0021221A" w:rsidRDefault="00D13D1B" w:rsidP="00D13D1B">
            <w:pPr>
              <w:spacing w:line="240" w:lineRule="auto"/>
              <w:ind w:left="57" w:right="57"/>
              <w:rPr>
                <w:b/>
              </w:rPr>
            </w:pPr>
            <w:r w:rsidRPr="0021221A">
              <w:rPr>
                <w:b/>
              </w:rPr>
              <w:t>Total</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-80.0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-91.6</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-97.3</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-108.6</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-377.5</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-120.1</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-195.6</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-208.2</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-265.9</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-326.0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-406.2</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w:t>
            </w:r>
          </w:p>
        </w:tc>
        <w:tc>
          <w:tcPr>
            <w:tcW w:w="306"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-1,899.5</w:t>
            </w:r>
          </w:p>
        </w:tc>
      </w:tr>
    </w:tbl>
    <w:p w:rsidR="00D13D1B" w:rsidRPr="0021221A" w:rsidRDefault="00D13D1B" w:rsidP="000B5C96">
      <w:pPr>
        <w:pStyle w:val="Footnotes"/>
        <w:numPr>
          <w:ilvl w:val="0"/>
          <w:numId w:val="108"/>
        </w:numPr>
        <w:ind w:left="284" w:hanging="284"/>
      </w:pPr>
      <w:r w:rsidRPr="0021221A">
        <w:t>A negative number indicates a decrease in revenue or an increase in expenses in both accrual and cash terms.</w:t>
      </w:r>
    </w:p>
    <w:p w:rsidR="00D13D1B" w:rsidRPr="0021221A" w:rsidRDefault="00D13D1B" w:rsidP="000B5C96">
      <w:pPr>
        <w:pStyle w:val="Footnotes"/>
        <w:numPr>
          <w:ilvl w:val="0"/>
          <w:numId w:val="108"/>
        </w:numPr>
        <w:ind w:left="284" w:hanging="284"/>
      </w:pPr>
      <w:r w:rsidRPr="0021221A">
        <w:t>Figures may not sum to totals due to rounding.</w:t>
      </w:r>
    </w:p>
    <w:p w:rsidR="00D13D1B" w:rsidRPr="00000708" w:rsidRDefault="00D13D1B" w:rsidP="00D13D1B">
      <w:pPr>
        <w:pStyle w:val="Footnotes"/>
        <w:numPr>
          <w:ilvl w:val="0"/>
          <w:numId w:val="0"/>
        </w:numPr>
        <w:ind w:left="284" w:hanging="284"/>
        <w:rPr>
          <w:rFonts w:ascii="Calibri" w:eastAsia="Calibri" w:hAnsi="Calibri" w:cs="Times New Roman"/>
        </w:rPr>
      </w:pPr>
      <w:r w:rsidRPr="00000708">
        <w:rPr>
          <w:rFonts w:ascii="Calibri" w:eastAsia="Calibri" w:hAnsi="Calibri" w:cs="Times New Roman"/>
        </w:rPr>
        <w:t>-</w:t>
      </w:r>
      <w:r w:rsidRPr="00000708">
        <w:rPr>
          <w:rFonts w:ascii="Calibri" w:eastAsia="Calibri" w:hAnsi="Calibri" w:cs="Times New Roman"/>
        </w:rPr>
        <w:tab/>
        <w:t>Indicates nil.</w:t>
      </w:r>
    </w:p>
    <w:p w:rsidR="00D13D1B" w:rsidRPr="0021221A" w:rsidRDefault="00D13D1B" w:rsidP="00D13D1B">
      <w:pPr>
        <w:pStyle w:val="Caption"/>
      </w:pPr>
      <w:r w:rsidRPr="0021221A">
        <w:t>Table B2: Component 1: National Climate Change Adaptation Research Facility—Financial implications</w:t>
      </w:r>
      <w:r w:rsidRPr="0021221A">
        <w:rPr>
          <w:vertAlign w:val="superscript"/>
        </w:rPr>
        <w:t>(a)(b)</w:t>
      </w:r>
    </w:p>
    <w:tbl>
      <w:tblPr>
        <w:tblStyle w:val="TableGrid1"/>
        <w:tblW w:w="5311" w:type="pct"/>
        <w:tblInd w:w="-421" w:type="dxa"/>
        <w:tblLook w:val="0680" w:firstRow="0" w:lastRow="0" w:firstColumn="1" w:lastColumn="0" w:noHBand="1" w:noVBand="1"/>
      </w:tblPr>
      <w:tblGrid>
        <w:gridCol w:w="2820"/>
        <w:gridCol w:w="865"/>
        <w:gridCol w:w="868"/>
        <w:gridCol w:w="867"/>
        <w:gridCol w:w="867"/>
        <w:gridCol w:w="864"/>
        <w:gridCol w:w="867"/>
        <w:gridCol w:w="867"/>
        <w:gridCol w:w="867"/>
        <w:gridCol w:w="864"/>
        <w:gridCol w:w="867"/>
        <w:gridCol w:w="867"/>
        <w:gridCol w:w="867"/>
        <w:gridCol w:w="862"/>
      </w:tblGrid>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shd w:val="clear" w:color="auto" w:fill="D7DDE9"/>
          </w:tcPr>
          <w:p w:rsidR="00D13D1B" w:rsidRPr="0021221A" w:rsidRDefault="00D13D1B" w:rsidP="00D13D1B">
            <w:pPr>
              <w:spacing w:line="240" w:lineRule="auto"/>
              <w:ind w:left="57" w:right="57"/>
              <w:rPr>
                <w:b/>
              </w:rPr>
            </w:pPr>
            <w:r w:rsidRPr="0021221A">
              <w:rPr>
                <w:b/>
              </w:rPr>
              <w:t>($m)</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2016-17</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2017-18</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2018-19</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2019-20</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Total to 2019-20</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2020-21</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2021-22</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2022-23</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2023-24</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2024-25</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2025-26</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2026-27</w:t>
            </w:r>
          </w:p>
        </w:tc>
        <w:tc>
          <w:tcPr>
            <w:tcW w:w="306"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Total to 2026-27</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7DDE9"/>
          </w:tcPr>
          <w:p w:rsidR="00D13D1B" w:rsidRPr="0021221A" w:rsidRDefault="00D13D1B" w:rsidP="00D13D1B">
            <w:pPr>
              <w:spacing w:line="240" w:lineRule="auto"/>
              <w:ind w:left="57" w:right="57"/>
              <w:rPr>
                <w:b/>
              </w:rPr>
            </w:pPr>
            <w:r w:rsidRPr="0021221A">
              <w:rPr>
                <w:b/>
              </w:rPr>
              <w:t>Impact on fiscal and underlying cash balances</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D13D1B" w:rsidRPr="0021221A" w:rsidRDefault="00D13D1B" w:rsidP="00D13D1B">
            <w:pPr>
              <w:spacing w:line="240" w:lineRule="auto"/>
              <w:ind w:left="57" w:right="57"/>
              <w:rPr>
                <w:b/>
              </w:rPr>
            </w:pPr>
            <w:r w:rsidRPr="0021221A">
              <w:rPr>
                <w:b/>
              </w:rPr>
              <w:t>Administered</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pPr>
            <w:r w:rsidRPr="0021221A">
              <w:t>National Climate Change Adaptation Research Facility</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21221A">
              <w:rPr>
                <w:rFonts w:ascii="Calibri" w:hAnsi="Calibri"/>
                <w:i/>
                <w:color w:val="000000"/>
              </w:rPr>
              <w:t>-10.0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21221A">
              <w:rPr>
                <w:rFonts w:ascii="Calibri" w:hAnsi="Calibri"/>
                <w:i/>
                <w:color w:val="000000"/>
              </w:rPr>
              <w:t>-10.0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21221A">
              <w:rPr>
                <w:rFonts w:ascii="Calibri" w:hAnsi="Calibri"/>
                <w:i/>
                <w:color w:val="000000"/>
              </w:rPr>
              <w:t>-10.0</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4"/>
                <w:szCs w:val="24"/>
              </w:rPr>
            </w:pPr>
            <w:r w:rsidRPr="0021221A">
              <w:rPr>
                <w:rFonts w:ascii="Calibri" w:hAnsi="Calibri"/>
                <w:b/>
                <w:bCs/>
                <w:i/>
                <w:color w:val="000000"/>
              </w:rPr>
              <w:t>-30.0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21221A">
              <w:rPr>
                <w:rFonts w:ascii="Calibri" w:hAnsi="Calibri"/>
                <w:i/>
                <w:color w:val="000000"/>
              </w:rPr>
              <w:t>-10.0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21221A">
              <w:rPr>
                <w:rFonts w:ascii="Calibri" w:hAnsi="Calibri"/>
                <w:i/>
                <w:color w:val="000000"/>
              </w:rPr>
              <w:t>-10.0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-50.0</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shd w:val="clear" w:color="auto" w:fill="D7DDE9"/>
          </w:tcPr>
          <w:p w:rsidR="00D13D1B" w:rsidRPr="0021221A" w:rsidRDefault="00D13D1B" w:rsidP="00D13D1B">
            <w:pPr>
              <w:spacing w:line="240" w:lineRule="auto"/>
              <w:ind w:left="57" w:right="57"/>
              <w:rPr>
                <w:b/>
              </w:rPr>
            </w:pPr>
            <w:r w:rsidRPr="0021221A">
              <w:rPr>
                <w:b/>
              </w:rPr>
              <w:t>Total</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 xml:space="preserve">- </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21221A">
              <w:rPr>
                <w:rFonts w:ascii="Calibri" w:hAnsi="Calibri"/>
                <w:b/>
                <w:color w:val="000000"/>
              </w:rPr>
              <w:t>-10.0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21221A">
              <w:rPr>
                <w:rFonts w:ascii="Calibri" w:hAnsi="Calibri"/>
                <w:b/>
                <w:color w:val="000000"/>
              </w:rPr>
              <w:t>-10.0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21221A">
              <w:rPr>
                <w:rFonts w:ascii="Calibri" w:hAnsi="Calibri"/>
                <w:b/>
                <w:color w:val="000000"/>
              </w:rPr>
              <w:t>-10.0</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21221A">
              <w:rPr>
                <w:rFonts w:ascii="Calibri" w:hAnsi="Calibri"/>
                <w:b/>
                <w:bCs/>
                <w:color w:val="000000"/>
              </w:rPr>
              <w:t>-30.0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21221A">
              <w:rPr>
                <w:rFonts w:ascii="Calibri" w:hAnsi="Calibri"/>
                <w:b/>
                <w:color w:val="000000"/>
              </w:rPr>
              <w:t>-10.0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21221A">
              <w:rPr>
                <w:rFonts w:ascii="Calibri" w:hAnsi="Calibri"/>
                <w:b/>
                <w:color w:val="000000"/>
              </w:rPr>
              <w:t>-10.0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 xml:space="preserve">- </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 xml:space="preserve">- </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 xml:space="preserve">- </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 xml:space="preserve">- </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 xml:space="preserve">- </w:t>
            </w:r>
          </w:p>
        </w:tc>
        <w:tc>
          <w:tcPr>
            <w:tcW w:w="306"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-50.0</w:t>
            </w:r>
          </w:p>
        </w:tc>
      </w:tr>
    </w:tbl>
    <w:p w:rsidR="00D13D1B" w:rsidRPr="0021221A" w:rsidRDefault="00D13D1B" w:rsidP="000B5C96">
      <w:pPr>
        <w:pStyle w:val="Footnotes"/>
        <w:numPr>
          <w:ilvl w:val="0"/>
          <w:numId w:val="109"/>
        </w:numPr>
        <w:ind w:left="284" w:hanging="284"/>
      </w:pPr>
      <w:r w:rsidRPr="0021221A">
        <w:t>A negative number indicates a decrease in revenue or an increase in expenses in both accrual and cash terms.</w:t>
      </w:r>
    </w:p>
    <w:p w:rsidR="00D13D1B" w:rsidRPr="0021221A" w:rsidRDefault="00D13D1B" w:rsidP="000B5C96">
      <w:pPr>
        <w:pStyle w:val="Footnotes"/>
        <w:numPr>
          <w:ilvl w:val="0"/>
          <w:numId w:val="109"/>
        </w:numPr>
        <w:ind w:left="284" w:hanging="284"/>
      </w:pPr>
      <w:r w:rsidRPr="0021221A">
        <w:t>Figures may not sum to totals due to rounding.</w:t>
      </w:r>
    </w:p>
    <w:p w:rsidR="00D13D1B" w:rsidRPr="0021221A" w:rsidRDefault="00D13D1B" w:rsidP="00D13D1B">
      <w:pPr>
        <w:pStyle w:val="Footnotes"/>
        <w:numPr>
          <w:ilvl w:val="0"/>
          <w:numId w:val="0"/>
        </w:numPr>
        <w:ind w:left="284" w:hanging="284"/>
        <w:rPr>
          <w:rFonts w:ascii="Calibri" w:eastAsia="Calibri" w:hAnsi="Calibri" w:cs="Times New Roman"/>
        </w:rPr>
      </w:pPr>
      <w:r w:rsidRPr="009401A1">
        <w:rPr>
          <w:rFonts w:ascii="Calibri" w:eastAsia="Calibri" w:hAnsi="Calibri" w:cs="Times New Roman"/>
        </w:rPr>
        <w:t>-</w:t>
      </w:r>
      <w:r w:rsidRPr="009401A1">
        <w:rPr>
          <w:rFonts w:ascii="Calibri" w:eastAsia="Calibri" w:hAnsi="Calibri" w:cs="Times New Roman"/>
        </w:rPr>
        <w:tab/>
        <w:t>Indicates nil.</w:t>
      </w:r>
    </w:p>
    <w:p w:rsidR="00D13D1B" w:rsidRPr="0021221A" w:rsidRDefault="00D13D1B" w:rsidP="00D13D1B">
      <w:pPr>
        <w:pStyle w:val="Caption"/>
      </w:pPr>
      <w:r w:rsidRPr="0021221A">
        <w:t>Table B3: Component 2: National Partnership Agreement—Financial implications</w:t>
      </w:r>
      <w:r w:rsidRPr="0021221A">
        <w:rPr>
          <w:vertAlign w:val="superscript"/>
        </w:rPr>
        <w:t>(a)(b)</w:t>
      </w:r>
    </w:p>
    <w:tbl>
      <w:tblPr>
        <w:tblStyle w:val="TableGrid1"/>
        <w:tblW w:w="5311" w:type="pct"/>
        <w:tblInd w:w="-421" w:type="dxa"/>
        <w:tblLook w:val="0680" w:firstRow="0" w:lastRow="0" w:firstColumn="1" w:lastColumn="0" w:noHBand="1" w:noVBand="1"/>
      </w:tblPr>
      <w:tblGrid>
        <w:gridCol w:w="2820"/>
        <w:gridCol w:w="865"/>
        <w:gridCol w:w="868"/>
        <w:gridCol w:w="867"/>
        <w:gridCol w:w="867"/>
        <w:gridCol w:w="864"/>
        <w:gridCol w:w="867"/>
        <w:gridCol w:w="867"/>
        <w:gridCol w:w="867"/>
        <w:gridCol w:w="864"/>
        <w:gridCol w:w="867"/>
        <w:gridCol w:w="867"/>
        <w:gridCol w:w="867"/>
        <w:gridCol w:w="862"/>
      </w:tblGrid>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shd w:val="clear" w:color="auto" w:fill="D7DDE9"/>
          </w:tcPr>
          <w:p w:rsidR="00D13D1B" w:rsidRPr="0021221A" w:rsidRDefault="00D13D1B" w:rsidP="00D13D1B">
            <w:pPr>
              <w:spacing w:line="240" w:lineRule="auto"/>
              <w:ind w:left="57" w:right="57"/>
              <w:rPr>
                <w:b/>
              </w:rPr>
            </w:pPr>
            <w:r w:rsidRPr="0021221A">
              <w:rPr>
                <w:b/>
              </w:rPr>
              <w:t>($m)</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2016-17</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2017-18</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2018-19</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2019-20</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Total to 2019-20</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2020-21</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2021-22</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2022-23</w:t>
            </w:r>
          </w:p>
        </w:tc>
        <w:tc>
          <w:tcPr>
            <w:tcW w:w="307"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2023-24</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2024-25</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2025-26</w:t>
            </w:r>
          </w:p>
        </w:tc>
        <w:tc>
          <w:tcPr>
            <w:tcW w:w="308"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2026-27</w:t>
            </w:r>
          </w:p>
        </w:tc>
        <w:tc>
          <w:tcPr>
            <w:tcW w:w="306" w:type="pct"/>
            <w:shd w:val="clear" w:color="auto" w:fill="D7DDE9"/>
          </w:tcPr>
          <w:p w:rsidR="00D13D1B" w:rsidRPr="0021221A" w:rsidRDefault="00D13D1B" w:rsidP="00D13D1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Total to 2026-27</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7DDE9"/>
          </w:tcPr>
          <w:p w:rsidR="00D13D1B" w:rsidRPr="0021221A" w:rsidRDefault="00D13D1B" w:rsidP="00D13D1B">
            <w:pPr>
              <w:spacing w:line="240" w:lineRule="auto"/>
              <w:ind w:left="57" w:right="57"/>
              <w:rPr>
                <w:b/>
              </w:rPr>
            </w:pPr>
            <w:r w:rsidRPr="0021221A">
              <w:rPr>
                <w:b/>
              </w:rPr>
              <w:t>Impact on fiscal and underlying cash balances</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D13D1B" w:rsidRPr="0021221A" w:rsidRDefault="00D13D1B" w:rsidP="00D13D1B">
            <w:pPr>
              <w:spacing w:line="240" w:lineRule="auto"/>
              <w:ind w:left="57" w:right="57"/>
              <w:rPr>
                <w:b/>
              </w:rPr>
            </w:pPr>
            <w:r w:rsidRPr="0021221A">
              <w:rPr>
                <w:b/>
              </w:rPr>
              <w:t>Administered</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rPr>
                <w:color w:val="000000"/>
              </w:rPr>
            </w:pPr>
            <w:r w:rsidRPr="0021221A">
              <w:rPr>
                <w:bCs/>
                <w:color w:val="000000"/>
              </w:rPr>
              <w:t>Backing our emergency workers</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-25.0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-25.5</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-30.0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-40.0</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-120.4</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-80.0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-100.0</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-140.0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-169.9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-199.9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-860.1</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rPr>
                <w:color w:val="000000"/>
              </w:rPr>
            </w:pPr>
            <w:r w:rsidRPr="0021221A">
              <w:rPr>
                <w:bCs/>
                <w:color w:val="000000"/>
              </w:rPr>
              <w:t>Preparing for extreme weather</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-50.9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-52.0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-53.2</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-206.1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-54.6</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-102.5</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-120.0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-149.9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-199.9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-932.9</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rPr>
                <w:b/>
              </w:rPr>
            </w:pPr>
            <w:r w:rsidRPr="0021221A">
              <w:rPr>
                <w:b/>
              </w:rPr>
              <w:t>Total - Administered</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-74.9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-86.4</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-92.0</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-103.2</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-356.5</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-114.5</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-189.9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-202.4</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-259.9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-319.9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-399.9</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-1,793.0</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D13D1B" w:rsidRPr="0021221A" w:rsidRDefault="00D13D1B" w:rsidP="00D13D1B">
            <w:pPr>
              <w:spacing w:line="240" w:lineRule="auto"/>
              <w:ind w:left="57" w:right="57"/>
              <w:rPr>
                <w:b/>
              </w:rPr>
            </w:pPr>
            <w:r w:rsidRPr="0021221A">
              <w:rPr>
                <w:b/>
              </w:rPr>
              <w:t>Departmental</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rPr>
                <w:color w:val="000000"/>
              </w:rPr>
            </w:pPr>
            <w:r w:rsidRPr="0021221A">
              <w:rPr>
                <w:bCs/>
                <w:color w:val="000000"/>
              </w:rPr>
              <w:t>Backing our emergency workers</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-0.2</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-0.5</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rPr>
                <w:color w:val="000000"/>
              </w:rPr>
            </w:pPr>
            <w:r w:rsidRPr="0021221A">
              <w:rPr>
                <w:bCs/>
                <w:color w:val="000000"/>
              </w:rPr>
              <w:t>Preparing for extreme weather</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-0.2</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-0.5</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spacing w:line="240" w:lineRule="auto"/>
              <w:ind w:left="57" w:right="57"/>
              <w:rPr>
                <w:b/>
              </w:rPr>
            </w:pPr>
            <w:r w:rsidRPr="0021221A">
              <w:rPr>
                <w:b/>
              </w:rPr>
              <w:t>Total - Departmental</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-0.4</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7"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-0.1</w:t>
            </w:r>
          </w:p>
        </w:tc>
        <w:tc>
          <w:tcPr>
            <w:tcW w:w="308"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-1.0</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shd w:val="clear" w:color="auto" w:fill="D7DDE9"/>
          </w:tcPr>
          <w:p w:rsidR="00D13D1B" w:rsidRPr="0021221A" w:rsidRDefault="00D13D1B" w:rsidP="00D13D1B">
            <w:pPr>
              <w:spacing w:line="240" w:lineRule="auto"/>
              <w:ind w:left="57" w:right="57"/>
              <w:rPr>
                <w:b/>
              </w:rPr>
            </w:pPr>
            <w:r w:rsidRPr="0021221A">
              <w:rPr>
                <w:b/>
              </w:rPr>
              <w:t>Total</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-75.0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-76.5</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-82.1</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-93.3</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-326.9</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-104.6</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-180.0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-202.5</w:t>
            </w:r>
          </w:p>
        </w:tc>
        <w:tc>
          <w:tcPr>
            <w:tcW w:w="307"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-260.0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-320.0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-400.0</w:t>
            </w:r>
          </w:p>
        </w:tc>
        <w:tc>
          <w:tcPr>
            <w:tcW w:w="308"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w:t>
            </w:r>
          </w:p>
        </w:tc>
        <w:tc>
          <w:tcPr>
            <w:tcW w:w="306" w:type="pct"/>
            <w:shd w:val="clear" w:color="auto" w:fill="D7DDE9"/>
          </w:tcPr>
          <w:p w:rsidR="00D13D1B" w:rsidRPr="0021221A" w:rsidRDefault="00D13D1B" w:rsidP="00D13D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-1,794.0</w:t>
            </w:r>
          </w:p>
        </w:tc>
      </w:tr>
    </w:tbl>
    <w:p w:rsidR="00D13D1B" w:rsidRPr="0021221A" w:rsidRDefault="00D13D1B" w:rsidP="000B5C96">
      <w:pPr>
        <w:pStyle w:val="Footnotes"/>
        <w:numPr>
          <w:ilvl w:val="0"/>
          <w:numId w:val="110"/>
        </w:numPr>
        <w:ind w:left="284" w:hanging="284"/>
      </w:pPr>
      <w:r w:rsidRPr="0021221A">
        <w:t>A negative number indicates a decrease in revenue or an increase in expenses in both accrual and cash terms.</w:t>
      </w:r>
    </w:p>
    <w:p w:rsidR="00D13D1B" w:rsidRPr="0021221A" w:rsidRDefault="00D13D1B" w:rsidP="000B5C96">
      <w:pPr>
        <w:pStyle w:val="Footnotes"/>
        <w:numPr>
          <w:ilvl w:val="0"/>
          <w:numId w:val="106"/>
        </w:numPr>
        <w:ind w:left="284" w:hanging="284"/>
      </w:pPr>
      <w:r w:rsidRPr="0021221A">
        <w:t>Figures may not sum to totals due to rounding.</w:t>
      </w:r>
    </w:p>
    <w:p w:rsidR="00D13D1B" w:rsidRPr="0021221A" w:rsidRDefault="00D13D1B" w:rsidP="00D13D1B">
      <w:pPr>
        <w:pStyle w:val="Footnotes"/>
        <w:numPr>
          <w:ilvl w:val="0"/>
          <w:numId w:val="0"/>
        </w:numPr>
        <w:ind w:left="284" w:hanging="284"/>
      </w:pPr>
      <w:r w:rsidRPr="0021221A">
        <w:t>..</w:t>
      </w:r>
      <w:r w:rsidRPr="0021221A">
        <w:tab/>
        <w:t>Not zero but rounded to zero.</w:t>
      </w:r>
    </w:p>
    <w:p w:rsidR="00D13D1B" w:rsidRPr="0021221A" w:rsidRDefault="00D13D1B" w:rsidP="00D13D1B">
      <w:pPr>
        <w:pStyle w:val="Footnotes"/>
        <w:numPr>
          <w:ilvl w:val="0"/>
          <w:numId w:val="0"/>
        </w:numPr>
        <w:ind w:left="284" w:hanging="284"/>
      </w:pPr>
      <w:r w:rsidRPr="0021221A">
        <w:t>-</w:t>
      </w:r>
      <w:r w:rsidRPr="0021221A">
        <w:tab/>
        <w:t>Indicates nil.</w:t>
      </w:r>
    </w:p>
    <w:p w:rsidR="00D13D1B" w:rsidRPr="0021221A" w:rsidRDefault="00D13D1B" w:rsidP="00D13D1B">
      <w:pPr>
        <w:pStyle w:val="Caption"/>
      </w:pPr>
      <w:r w:rsidRPr="0021221A">
        <w:t>Table B4: Component 3: Establish the Office of Climate Adaptation and Sea Level Rise</w:t>
      </w:r>
      <w:r w:rsidRPr="0021221A" w:rsidDel="00935496">
        <w:t xml:space="preserve"> </w:t>
      </w:r>
      <w:r w:rsidRPr="0021221A">
        <w:t>—Financial implications</w:t>
      </w:r>
      <w:r w:rsidRPr="0021221A">
        <w:rPr>
          <w:vertAlign w:val="superscript"/>
        </w:rPr>
        <w:t>(a)(b)</w:t>
      </w:r>
    </w:p>
    <w:tbl>
      <w:tblPr>
        <w:tblStyle w:val="TableGrid1"/>
        <w:tblW w:w="5311" w:type="pct"/>
        <w:tblInd w:w="-421" w:type="dxa"/>
        <w:tblLook w:val="0680" w:firstRow="0" w:lastRow="0" w:firstColumn="1" w:lastColumn="0" w:noHBand="1" w:noVBand="1"/>
      </w:tblPr>
      <w:tblGrid>
        <w:gridCol w:w="2820"/>
        <w:gridCol w:w="865"/>
        <w:gridCol w:w="868"/>
        <w:gridCol w:w="867"/>
        <w:gridCol w:w="867"/>
        <w:gridCol w:w="864"/>
        <w:gridCol w:w="867"/>
        <w:gridCol w:w="867"/>
        <w:gridCol w:w="867"/>
        <w:gridCol w:w="864"/>
        <w:gridCol w:w="867"/>
        <w:gridCol w:w="867"/>
        <w:gridCol w:w="867"/>
        <w:gridCol w:w="862"/>
      </w:tblGrid>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shd w:val="clear" w:color="auto" w:fill="D7DDE9"/>
          </w:tcPr>
          <w:p w:rsidR="00D13D1B" w:rsidRPr="0021221A" w:rsidRDefault="00D13D1B" w:rsidP="00D13D1B">
            <w:pPr>
              <w:keepNext/>
              <w:keepLines/>
              <w:spacing w:line="240" w:lineRule="auto"/>
              <w:ind w:left="57" w:right="57"/>
              <w:rPr>
                <w:b/>
              </w:rPr>
            </w:pPr>
            <w:r w:rsidRPr="0021221A">
              <w:rPr>
                <w:b/>
              </w:rPr>
              <w:t>($m)</w:t>
            </w:r>
          </w:p>
        </w:tc>
        <w:tc>
          <w:tcPr>
            <w:tcW w:w="307"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2016-17</w:t>
            </w:r>
          </w:p>
        </w:tc>
        <w:tc>
          <w:tcPr>
            <w:tcW w:w="308"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2017-18</w:t>
            </w:r>
          </w:p>
        </w:tc>
        <w:tc>
          <w:tcPr>
            <w:tcW w:w="308"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2018-19</w:t>
            </w:r>
          </w:p>
        </w:tc>
        <w:tc>
          <w:tcPr>
            <w:tcW w:w="308"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2019-20</w:t>
            </w:r>
          </w:p>
        </w:tc>
        <w:tc>
          <w:tcPr>
            <w:tcW w:w="307"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Total to 2019-20</w:t>
            </w:r>
          </w:p>
        </w:tc>
        <w:tc>
          <w:tcPr>
            <w:tcW w:w="308"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2020-21</w:t>
            </w:r>
          </w:p>
        </w:tc>
        <w:tc>
          <w:tcPr>
            <w:tcW w:w="308"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2021-22</w:t>
            </w:r>
          </w:p>
        </w:tc>
        <w:tc>
          <w:tcPr>
            <w:tcW w:w="308"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2022-23</w:t>
            </w:r>
          </w:p>
        </w:tc>
        <w:tc>
          <w:tcPr>
            <w:tcW w:w="307"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2023-24</w:t>
            </w:r>
          </w:p>
        </w:tc>
        <w:tc>
          <w:tcPr>
            <w:tcW w:w="308"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2024-25</w:t>
            </w:r>
          </w:p>
        </w:tc>
        <w:tc>
          <w:tcPr>
            <w:tcW w:w="308"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2025-26</w:t>
            </w:r>
          </w:p>
        </w:tc>
        <w:tc>
          <w:tcPr>
            <w:tcW w:w="308"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1221A">
              <w:rPr>
                <w:rFonts w:ascii="Calibri" w:hAnsi="Calibri"/>
              </w:rPr>
              <w:t>2026-27</w:t>
            </w:r>
          </w:p>
        </w:tc>
        <w:tc>
          <w:tcPr>
            <w:tcW w:w="306" w:type="pct"/>
            <w:shd w:val="clear" w:color="auto" w:fill="D7DDE9"/>
          </w:tcPr>
          <w:p w:rsidR="00D13D1B" w:rsidRPr="0021221A" w:rsidRDefault="00D13D1B" w:rsidP="00D13D1B">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Total to 2026-27</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7DDE9"/>
          </w:tcPr>
          <w:p w:rsidR="00D13D1B" w:rsidRPr="0021221A" w:rsidRDefault="00D13D1B" w:rsidP="00D13D1B">
            <w:pPr>
              <w:keepNext/>
              <w:keepLines/>
              <w:spacing w:line="240" w:lineRule="auto"/>
              <w:ind w:left="57" w:right="57"/>
              <w:rPr>
                <w:b/>
              </w:rPr>
            </w:pPr>
            <w:r w:rsidRPr="0021221A">
              <w:rPr>
                <w:b/>
              </w:rPr>
              <w:t>Impact on fiscal and underlying cash balances</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D13D1B" w:rsidRPr="0021221A" w:rsidRDefault="00D13D1B" w:rsidP="00D13D1B">
            <w:pPr>
              <w:keepNext/>
              <w:keepLines/>
              <w:spacing w:line="240" w:lineRule="auto"/>
              <w:ind w:left="57" w:right="57"/>
              <w:rPr>
                <w:b/>
              </w:rPr>
            </w:pPr>
            <w:r w:rsidRPr="0021221A">
              <w:rPr>
                <w:b/>
              </w:rPr>
              <w:t>Departmental</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tcPr>
          <w:p w:rsidR="00D13D1B" w:rsidRPr="0021221A" w:rsidRDefault="00D13D1B" w:rsidP="00D13D1B">
            <w:pPr>
              <w:keepNext/>
              <w:keepLines/>
              <w:spacing w:line="240" w:lineRule="auto"/>
              <w:ind w:left="57" w:right="57"/>
            </w:pPr>
            <w:r w:rsidRPr="0021221A">
              <w:t>Establish the Office of Climate Adaptation and Sea Level Rise</w:t>
            </w:r>
          </w:p>
        </w:tc>
        <w:tc>
          <w:tcPr>
            <w:tcW w:w="307"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-5.0</w:t>
            </w:r>
          </w:p>
        </w:tc>
        <w:tc>
          <w:tcPr>
            <w:tcW w:w="308"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-5.1</w:t>
            </w:r>
          </w:p>
        </w:tc>
        <w:tc>
          <w:tcPr>
            <w:tcW w:w="308"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-5.2</w:t>
            </w:r>
          </w:p>
        </w:tc>
        <w:tc>
          <w:tcPr>
            <w:tcW w:w="308"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-5.3</w:t>
            </w:r>
          </w:p>
        </w:tc>
        <w:tc>
          <w:tcPr>
            <w:tcW w:w="307"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-20.6</w:t>
            </w:r>
          </w:p>
        </w:tc>
        <w:tc>
          <w:tcPr>
            <w:tcW w:w="308"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-5.5</w:t>
            </w:r>
          </w:p>
        </w:tc>
        <w:tc>
          <w:tcPr>
            <w:tcW w:w="308"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-5.6</w:t>
            </w:r>
          </w:p>
        </w:tc>
        <w:tc>
          <w:tcPr>
            <w:tcW w:w="308"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-5.7</w:t>
            </w:r>
          </w:p>
        </w:tc>
        <w:tc>
          <w:tcPr>
            <w:tcW w:w="307"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-5.9</w:t>
            </w:r>
          </w:p>
        </w:tc>
        <w:tc>
          <w:tcPr>
            <w:tcW w:w="308"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-6.0</w:t>
            </w:r>
          </w:p>
        </w:tc>
        <w:tc>
          <w:tcPr>
            <w:tcW w:w="308"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-6.2</w:t>
            </w:r>
          </w:p>
        </w:tc>
        <w:tc>
          <w:tcPr>
            <w:tcW w:w="308"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1221A">
              <w:rPr>
                <w:rFonts w:ascii="Calibri" w:hAnsi="Calibri"/>
                <w:i/>
              </w:rPr>
              <w:t>-</w:t>
            </w:r>
          </w:p>
        </w:tc>
        <w:tc>
          <w:tcPr>
            <w:tcW w:w="306" w:type="pct"/>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1221A">
              <w:rPr>
                <w:rFonts w:ascii="Calibri" w:hAnsi="Calibri"/>
                <w:b/>
                <w:i/>
              </w:rPr>
              <w:t>-55.5</w:t>
            </w:r>
          </w:p>
        </w:tc>
      </w:tr>
      <w:tr w:rsidR="00D13D1B" w:rsidRPr="0021221A" w:rsidTr="00D13D1B">
        <w:trPr>
          <w:cantSplit/>
        </w:trPr>
        <w:tc>
          <w:tcPr>
            <w:cnfStyle w:val="001000000000" w:firstRow="0" w:lastRow="0" w:firstColumn="1" w:lastColumn="0" w:oddVBand="0" w:evenVBand="0" w:oddHBand="0" w:evenHBand="0" w:firstRowFirstColumn="0" w:firstRowLastColumn="0" w:lastRowFirstColumn="0" w:lastRowLastColumn="0"/>
            <w:tcW w:w="1001" w:type="pct"/>
            <w:shd w:val="clear" w:color="auto" w:fill="D7DDE9"/>
          </w:tcPr>
          <w:p w:rsidR="00D13D1B" w:rsidRPr="0021221A" w:rsidRDefault="00D13D1B" w:rsidP="00D13D1B">
            <w:pPr>
              <w:keepNext/>
              <w:keepLines/>
              <w:spacing w:line="240" w:lineRule="auto"/>
              <w:ind w:left="57" w:right="57"/>
              <w:rPr>
                <w:b/>
              </w:rPr>
            </w:pPr>
            <w:r w:rsidRPr="0021221A">
              <w:rPr>
                <w:b/>
              </w:rPr>
              <w:t>Total</w:t>
            </w:r>
          </w:p>
        </w:tc>
        <w:tc>
          <w:tcPr>
            <w:tcW w:w="307"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-5.0</w:t>
            </w:r>
          </w:p>
        </w:tc>
        <w:tc>
          <w:tcPr>
            <w:tcW w:w="308"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-5.1</w:t>
            </w:r>
          </w:p>
        </w:tc>
        <w:tc>
          <w:tcPr>
            <w:tcW w:w="308"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-5.2</w:t>
            </w:r>
          </w:p>
        </w:tc>
        <w:tc>
          <w:tcPr>
            <w:tcW w:w="308"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-5.3</w:t>
            </w:r>
          </w:p>
        </w:tc>
        <w:tc>
          <w:tcPr>
            <w:tcW w:w="307"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-20.6</w:t>
            </w:r>
          </w:p>
        </w:tc>
        <w:tc>
          <w:tcPr>
            <w:tcW w:w="308"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-5.5</w:t>
            </w:r>
          </w:p>
        </w:tc>
        <w:tc>
          <w:tcPr>
            <w:tcW w:w="308"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-5.6</w:t>
            </w:r>
          </w:p>
        </w:tc>
        <w:tc>
          <w:tcPr>
            <w:tcW w:w="308"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-5.7</w:t>
            </w:r>
          </w:p>
        </w:tc>
        <w:tc>
          <w:tcPr>
            <w:tcW w:w="307"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-5.9</w:t>
            </w:r>
          </w:p>
        </w:tc>
        <w:tc>
          <w:tcPr>
            <w:tcW w:w="308"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-6.0</w:t>
            </w:r>
          </w:p>
        </w:tc>
        <w:tc>
          <w:tcPr>
            <w:tcW w:w="308"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-6.2</w:t>
            </w:r>
          </w:p>
        </w:tc>
        <w:tc>
          <w:tcPr>
            <w:tcW w:w="308"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 xml:space="preserve">- </w:t>
            </w:r>
          </w:p>
        </w:tc>
        <w:tc>
          <w:tcPr>
            <w:tcW w:w="306" w:type="pct"/>
            <w:shd w:val="clear" w:color="auto" w:fill="D7DDE9"/>
          </w:tcPr>
          <w:p w:rsidR="00D13D1B" w:rsidRPr="0021221A" w:rsidRDefault="00D13D1B" w:rsidP="00D13D1B">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1221A">
              <w:rPr>
                <w:rFonts w:ascii="Calibri" w:hAnsi="Calibri"/>
                <w:b/>
              </w:rPr>
              <w:t>-55.5</w:t>
            </w:r>
          </w:p>
        </w:tc>
      </w:tr>
    </w:tbl>
    <w:p w:rsidR="00D13D1B" w:rsidRPr="0021221A" w:rsidRDefault="00D13D1B" w:rsidP="000B5C96">
      <w:pPr>
        <w:pStyle w:val="Footnotes"/>
        <w:keepNext/>
        <w:keepLines/>
        <w:numPr>
          <w:ilvl w:val="0"/>
          <w:numId w:val="111"/>
        </w:numPr>
        <w:ind w:left="284" w:hanging="284"/>
      </w:pPr>
      <w:r w:rsidRPr="0021221A">
        <w:t>A negative number indicates a decrease in revenue or an increase in expenses in both accrual and cash terms.</w:t>
      </w:r>
    </w:p>
    <w:p w:rsidR="00D13D1B" w:rsidRPr="0021221A" w:rsidRDefault="00D13D1B" w:rsidP="000B5C96">
      <w:pPr>
        <w:pStyle w:val="Footnotes"/>
        <w:keepNext/>
        <w:keepLines/>
        <w:numPr>
          <w:ilvl w:val="0"/>
          <w:numId w:val="111"/>
        </w:numPr>
        <w:ind w:left="284" w:hanging="284"/>
      </w:pPr>
      <w:r w:rsidRPr="0021221A">
        <w:t>Figures may not sum to totals due to rounding.</w:t>
      </w:r>
    </w:p>
    <w:p w:rsidR="00D13D1B" w:rsidRDefault="00D13D1B" w:rsidP="00D13D1B">
      <w:pPr>
        <w:pStyle w:val="Footnotes"/>
        <w:numPr>
          <w:ilvl w:val="0"/>
          <w:numId w:val="0"/>
        </w:numPr>
        <w:ind w:left="284" w:hanging="284"/>
      </w:pPr>
      <w:r w:rsidRPr="0021221A">
        <w:t>-</w:t>
      </w:r>
      <w:r w:rsidRPr="0021221A">
        <w:tab/>
        <w:t>Indicates nil.</w:t>
      </w:r>
    </w:p>
    <w:p w:rsidR="000B5C96" w:rsidRDefault="000B5C96" w:rsidP="000B5C96">
      <w:pPr>
        <w:pStyle w:val="BodyText17ptAbove"/>
        <w:sectPr w:rsidR="000B5C96" w:rsidSect="00D13D1B">
          <w:footerReference w:type="even" r:id="rId259"/>
          <w:footerReference w:type="default" r:id="rId260"/>
          <w:pgSz w:w="16839" w:h="11907" w:orient="landscape" w:code="9"/>
          <w:pgMar w:top="1361" w:right="1797" w:bottom="1474" w:left="1797" w:header="283" w:footer="454" w:gutter="0"/>
          <w:cols w:space="708"/>
          <w:docGrid w:linePitch="360"/>
        </w:sectPr>
      </w:pPr>
    </w:p>
    <w:p w:rsidR="000B5C96" w:rsidRDefault="000B5C96" w:rsidP="003F606A">
      <w:pPr>
        <w:pStyle w:val="Heading5"/>
        <w:spacing w:before="0"/>
      </w:pPr>
      <w:bookmarkStart w:id="110" w:name="Here"/>
      <w:bookmarkStart w:id="111" w:name="_Toc457979344"/>
      <w:bookmarkStart w:id="112" w:name="_Toc458069202"/>
      <w:bookmarkEnd w:id="110"/>
      <w:r>
        <w:t>GRN027: Securing the Future of Farming</w:t>
      </w:r>
      <w:bookmarkEnd w:id="111"/>
      <w:bookmarkEnd w:id="112"/>
    </w:p>
    <w:p w:rsidR="000B5C96" w:rsidRPr="009C09D3" w:rsidRDefault="000B5C96" w:rsidP="003F606A">
      <w:pPr>
        <w:pStyle w:val="BodyText"/>
      </w:pPr>
      <w:r w:rsidRPr="009C09D3">
        <w:rPr>
          <w:noProof/>
          <w:lang w:eastAsia="en-AU"/>
        </w:rPr>
        <w:drawing>
          <wp:inline distT="0" distB="0" distL="0" distR="0" wp14:anchorId="10C0266F" wp14:editId="368F193C">
            <wp:extent cx="2696845" cy="572135"/>
            <wp:effectExtent l="0" t="0" r="8255" b="0"/>
            <wp:docPr id="6" name="Picture 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D808A0" w:rsidRDefault="000B5C96" w:rsidP="000B5C96">
      <w:pPr>
        <w:pStyle w:val="Heading6"/>
        <w:numPr>
          <w:ilvl w:val="0"/>
          <w:numId w:val="5"/>
        </w:numPr>
        <w:tabs>
          <w:tab w:val="clear" w:pos="0"/>
          <w:tab w:val="num" w:pos="360"/>
          <w:tab w:val="right" w:pos="1418"/>
          <w:tab w:val="right" w:pos="1701"/>
          <w:tab w:val="right" w:pos="1985"/>
        </w:tabs>
      </w:pPr>
      <w:r w:rsidRPr="00D808A0">
        <w:t>Policy costing—during the caretaker period for the 2016 general election</w:t>
      </w:r>
    </w:p>
    <w:tbl>
      <w:tblPr>
        <w:tblStyle w:val="TableGrid2"/>
        <w:tblW w:w="8340" w:type="dxa"/>
        <w:tblCellMar>
          <w:left w:w="113" w:type="dxa"/>
          <w:right w:w="113" w:type="dxa"/>
        </w:tblCellMar>
        <w:tblLook w:val="04A0" w:firstRow="1" w:lastRow="0" w:firstColumn="1" w:lastColumn="0" w:noHBand="0" w:noVBand="1"/>
      </w:tblPr>
      <w:tblGrid>
        <w:gridCol w:w="3005"/>
        <w:gridCol w:w="5335"/>
      </w:tblGrid>
      <w:tr w:rsidR="000B5C96" w:rsidRPr="00B512A0"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B512A0" w:rsidRDefault="000B5C96" w:rsidP="00B512A0">
            <w:pPr>
              <w:pStyle w:val="PullOutBoxHeading"/>
              <w:rPr>
                <w:b w:val="0"/>
                <w:sz w:val="22"/>
              </w:rPr>
            </w:pPr>
            <w:r w:rsidRPr="00B512A0">
              <w:rPr>
                <w:sz w:val="22"/>
              </w:rPr>
              <w:t>Name of proposal:</w:t>
            </w:r>
          </w:p>
        </w:tc>
        <w:tc>
          <w:tcPr>
            <w:tcW w:w="5335" w:type="dxa"/>
          </w:tcPr>
          <w:p w:rsidR="000B5C96" w:rsidRPr="00B512A0" w:rsidRDefault="000B5C96" w:rsidP="00B512A0">
            <w:pPr>
              <w:pStyle w:val="PullOutBoxHeading"/>
              <w:jc w:val="left"/>
              <w:cnfStyle w:val="100000000000" w:firstRow="1" w:lastRow="0" w:firstColumn="0" w:lastColumn="0" w:oddVBand="0" w:evenVBand="0" w:oddHBand="0" w:evenHBand="0" w:firstRowFirstColumn="0" w:firstRowLastColumn="0" w:lastRowFirstColumn="0" w:lastRowLastColumn="0"/>
              <w:rPr>
                <w:b w:val="0"/>
                <w:sz w:val="22"/>
              </w:rPr>
            </w:pPr>
            <w:r w:rsidRPr="00B512A0">
              <w:rPr>
                <w:sz w:val="22"/>
              </w:rPr>
              <w:t>Securing the future of farming</w:t>
            </w:r>
          </w:p>
        </w:tc>
      </w:tr>
      <w:tr w:rsidR="000B5C96" w:rsidRPr="00B512A0"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B512A0" w:rsidRDefault="000B5C96" w:rsidP="003F606A">
            <w:pPr>
              <w:pStyle w:val="PullOutBoxBodyText"/>
              <w:rPr>
                <w:sz w:val="22"/>
              </w:rPr>
            </w:pPr>
            <w:r w:rsidRPr="00B512A0">
              <w:rPr>
                <w:sz w:val="22"/>
              </w:rPr>
              <w:t>Summary of proposal:</w:t>
            </w:r>
          </w:p>
        </w:tc>
        <w:tc>
          <w:tcPr>
            <w:tcW w:w="5335" w:type="dxa"/>
          </w:tcPr>
          <w:p w:rsidR="000B5C96" w:rsidRPr="00B512A0"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B512A0">
              <w:rPr>
                <w:sz w:val="22"/>
              </w:rPr>
              <w:t>The proposal has the following components:</w:t>
            </w:r>
          </w:p>
          <w:p w:rsidR="000B5C96" w:rsidRPr="00B512A0"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u w:val="single"/>
              </w:rPr>
            </w:pPr>
            <w:r w:rsidRPr="00B512A0">
              <w:rPr>
                <w:sz w:val="22"/>
                <w:u w:val="single"/>
              </w:rPr>
              <w:t>Component 1: Helping our soils survive</w:t>
            </w:r>
          </w:p>
          <w:p w:rsidR="000B5C96" w:rsidRPr="00B512A0"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rPr>
                <w:sz w:val="22"/>
              </w:rPr>
            </w:pPr>
            <w:r w:rsidRPr="00B512A0">
              <w:rPr>
                <w:sz w:val="22"/>
              </w:rPr>
              <w:t>This component would provide capped funding of $25 million (including administration costs) per year over the period 2017</w:t>
            </w:r>
            <w:r w:rsidRPr="00B512A0">
              <w:rPr>
                <w:sz w:val="22"/>
              </w:rPr>
              <w:noBreakHyphen/>
              <w:t>18 to 2020</w:t>
            </w:r>
            <w:r w:rsidRPr="00B512A0">
              <w:rPr>
                <w:sz w:val="22"/>
              </w:rPr>
              <w:noBreakHyphen/>
              <w:t>21 to improve research and investment in soil quality through a National Soil Health Strategy.</w:t>
            </w:r>
          </w:p>
          <w:p w:rsidR="000B5C96" w:rsidRPr="00B512A0"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B512A0">
              <w:rPr>
                <w:sz w:val="22"/>
              </w:rPr>
              <w:t xml:space="preserve">Component 2: Helping farmers sell direct </w:t>
            </w:r>
          </w:p>
          <w:p w:rsidR="000B5C96" w:rsidRPr="00B512A0"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rPr>
                <w:sz w:val="22"/>
              </w:rPr>
            </w:pPr>
            <w:r w:rsidRPr="00B512A0">
              <w:rPr>
                <w:sz w:val="22"/>
              </w:rPr>
              <w:t>This component would provide grants of $20 million (including administration costs) per year over the period 2017</w:t>
            </w:r>
            <w:r w:rsidRPr="00B512A0">
              <w:rPr>
                <w:sz w:val="22"/>
              </w:rPr>
              <w:noBreakHyphen/>
              <w:t>18 to 2020</w:t>
            </w:r>
            <w:r w:rsidRPr="00B512A0">
              <w:rPr>
                <w:sz w:val="22"/>
              </w:rPr>
              <w:noBreakHyphen/>
              <w:t>21 to connect farmers and local communities.</w:t>
            </w:r>
          </w:p>
          <w:p w:rsidR="000B5C96" w:rsidRPr="00B512A0"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B512A0">
              <w:rPr>
                <w:sz w:val="22"/>
              </w:rPr>
              <w:t>Component 3: Saying no to corporate control</w:t>
            </w:r>
          </w:p>
          <w:p w:rsidR="000B5C96" w:rsidRPr="00B512A0"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rPr>
                <w:sz w:val="22"/>
              </w:rPr>
            </w:pPr>
            <w:r w:rsidRPr="00B512A0">
              <w:rPr>
                <w:sz w:val="22"/>
              </w:rPr>
              <w:t>This component would provide funding:</w:t>
            </w:r>
          </w:p>
          <w:p w:rsidR="000B5C96" w:rsidRPr="00B512A0" w:rsidRDefault="000B5C96" w:rsidP="000B5C96">
            <w:pPr>
              <w:pStyle w:val="PullOutBoxBullet2"/>
              <w:numPr>
                <w:ilvl w:val="1"/>
                <w:numId w:val="2"/>
              </w:numPr>
              <w:ind w:left="737"/>
              <w:cnfStyle w:val="000000100000" w:firstRow="0" w:lastRow="0" w:firstColumn="0" w:lastColumn="0" w:oddVBand="0" w:evenVBand="0" w:oddHBand="1" w:evenHBand="0" w:firstRowFirstColumn="0" w:firstRowLastColumn="0" w:lastRowFirstColumn="0" w:lastRowLastColumn="0"/>
              <w:rPr>
                <w:sz w:val="22"/>
              </w:rPr>
            </w:pPr>
            <w:r w:rsidRPr="00B512A0">
              <w:rPr>
                <w:sz w:val="22"/>
              </w:rPr>
              <w:t>of $2 million for the establishment of an independent research and development group tasked with scoping the establishment of a genetically-modified (GM) contamination clean</w:t>
            </w:r>
            <w:r w:rsidRPr="00B512A0">
              <w:rPr>
                <w:sz w:val="22"/>
              </w:rPr>
              <w:noBreakHyphen/>
              <w:t>up fund</w:t>
            </w:r>
          </w:p>
          <w:p w:rsidR="000B5C96" w:rsidRPr="00B512A0" w:rsidRDefault="000B5C96" w:rsidP="000B5C96">
            <w:pPr>
              <w:pStyle w:val="PullOutBoxBullet2"/>
              <w:numPr>
                <w:ilvl w:val="1"/>
                <w:numId w:val="2"/>
              </w:numPr>
              <w:ind w:left="737"/>
              <w:cnfStyle w:val="000000100000" w:firstRow="0" w:lastRow="0" w:firstColumn="0" w:lastColumn="0" w:oddVBand="0" w:evenVBand="0" w:oddHBand="1" w:evenHBand="0" w:firstRowFirstColumn="0" w:firstRowLastColumn="0" w:lastRowFirstColumn="0" w:lastRowLastColumn="0"/>
              <w:rPr>
                <w:sz w:val="22"/>
              </w:rPr>
            </w:pPr>
            <w:r w:rsidRPr="00B512A0">
              <w:rPr>
                <w:sz w:val="22"/>
              </w:rPr>
              <w:t>of $2 million for an inquiry into the assessment procedures for GM crops and products</w:t>
            </w:r>
          </w:p>
          <w:p w:rsidR="000B5C96" w:rsidRPr="00B512A0" w:rsidRDefault="000B5C96" w:rsidP="000B5C96">
            <w:pPr>
              <w:pStyle w:val="PullOutBoxBullet2"/>
              <w:numPr>
                <w:ilvl w:val="1"/>
                <w:numId w:val="2"/>
              </w:numPr>
              <w:ind w:left="737"/>
              <w:cnfStyle w:val="000000100000" w:firstRow="0" w:lastRow="0" w:firstColumn="0" w:lastColumn="0" w:oddVBand="0" w:evenVBand="0" w:oddHBand="1" w:evenHBand="0" w:firstRowFirstColumn="0" w:firstRowLastColumn="0" w:lastRowFirstColumn="0" w:lastRowLastColumn="0"/>
              <w:rPr>
                <w:sz w:val="22"/>
              </w:rPr>
            </w:pPr>
            <w:r w:rsidRPr="00B512A0">
              <w:rPr>
                <w:sz w:val="22"/>
              </w:rPr>
              <w:t>for implementation of comprehensive, mandatory labelling for foods containing any ingredient, additive or processing aid, or other constituent product using genetic modification.</w:t>
            </w:r>
          </w:p>
          <w:p w:rsidR="000B5C96" w:rsidRPr="00B512A0"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B512A0">
              <w:rPr>
                <w:sz w:val="22"/>
              </w:rPr>
              <w:t>The proposal would have effect from 1 July 2017.</w:t>
            </w:r>
          </w:p>
        </w:tc>
      </w:tr>
      <w:tr w:rsidR="000B5C96" w:rsidRPr="00B512A0"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B512A0" w:rsidRDefault="000B5C96" w:rsidP="003F606A">
            <w:pPr>
              <w:pStyle w:val="PullOutBoxBodyText"/>
              <w:rPr>
                <w:sz w:val="22"/>
              </w:rPr>
            </w:pPr>
            <w:r w:rsidRPr="00B512A0">
              <w:rPr>
                <w:sz w:val="22"/>
              </w:rPr>
              <w:t>Person/party requesting costing:</w:t>
            </w:r>
          </w:p>
        </w:tc>
        <w:tc>
          <w:tcPr>
            <w:tcW w:w="5335" w:type="dxa"/>
          </w:tcPr>
          <w:p w:rsidR="000B5C96" w:rsidRPr="00B512A0"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B512A0">
              <w:rPr>
                <w:sz w:val="22"/>
              </w:rPr>
              <w:t>Senator Richard Di Natale, Australian Greens</w:t>
            </w:r>
          </w:p>
        </w:tc>
      </w:tr>
      <w:tr w:rsidR="000B5C96" w:rsidRPr="00B512A0"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B512A0" w:rsidRDefault="000B5C96" w:rsidP="003F606A">
            <w:pPr>
              <w:pStyle w:val="PullOutBoxBodyText"/>
              <w:keepNext/>
              <w:keepLines/>
              <w:rPr>
                <w:sz w:val="22"/>
              </w:rPr>
            </w:pPr>
            <w:r w:rsidRPr="00B512A0">
              <w:rPr>
                <w:sz w:val="22"/>
              </w:rPr>
              <w:t>Date of public release of policy:</w:t>
            </w:r>
          </w:p>
        </w:tc>
        <w:tc>
          <w:tcPr>
            <w:tcW w:w="5335" w:type="dxa"/>
          </w:tcPr>
          <w:p w:rsidR="000B5C96" w:rsidRPr="00B512A0" w:rsidRDefault="000B5C96" w:rsidP="003F606A">
            <w:pPr>
              <w:pStyle w:val="PullOutBoxBodyText"/>
              <w:keepNext/>
              <w:keepLines/>
              <w:cnfStyle w:val="000000100000" w:firstRow="0" w:lastRow="0" w:firstColumn="0" w:lastColumn="0" w:oddVBand="0" w:evenVBand="0" w:oddHBand="1" w:evenHBand="0" w:firstRowFirstColumn="0" w:firstRowLastColumn="0" w:lastRowFirstColumn="0" w:lastRowLastColumn="0"/>
              <w:rPr>
                <w:sz w:val="22"/>
              </w:rPr>
            </w:pPr>
            <w:r w:rsidRPr="00B512A0">
              <w:rPr>
                <w:sz w:val="22"/>
              </w:rPr>
              <w:t>20 June 2016</w:t>
            </w:r>
          </w:p>
          <w:p w:rsidR="000B5C96" w:rsidRPr="00B512A0" w:rsidRDefault="00E46526" w:rsidP="003F606A">
            <w:pPr>
              <w:pStyle w:val="PullOutBoxBodyText"/>
              <w:keepNext/>
              <w:keepLines/>
              <w:cnfStyle w:val="000000100000" w:firstRow="0" w:lastRow="0" w:firstColumn="0" w:lastColumn="0" w:oddVBand="0" w:evenVBand="0" w:oddHBand="1" w:evenHBand="0" w:firstRowFirstColumn="0" w:firstRowLastColumn="0" w:lastRowFirstColumn="0" w:lastRowLastColumn="0"/>
              <w:rPr>
                <w:sz w:val="22"/>
              </w:rPr>
            </w:pPr>
            <w:hyperlink r:id="rId261" w:history="1">
              <w:r w:rsidR="000B5C96" w:rsidRPr="00B512A0">
                <w:rPr>
                  <w:color w:val="0000FF"/>
                  <w:sz w:val="22"/>
                  <w:u w:val="single"/>
                </w:rPr>
                <w:t>http://greens.org.au/news/wa/greens-announce-package-help-farmers-sell-direct</w:t>
              </w:r>
            </w:hyperlink>
          </w:p>
          <w:p w:rsidR="000B5C96" w:rsidRPr="00B512A0" w:rsidRDefault="00E46526" w:rsidP="003F606A">
            <w:pPr>
              <w:pStyle w:val="PullOutBoxBodyText"/>
              <w:keepNext/>
              <w:keepLines/>
              <w:cnfStyle w:val="000000100000" w:firstRow="0" w:lastRow="0" w:firstColumn="0" w:lastColumn="0" w:oddVBand="0" w:evenVBand="0" w:oddHBand="1" w:evenHBand="0" w:firstRowFirstColumn="0" w:firstRowLastColumn="0" w:lastRowFirstColumn="0" w:lastRowLastColumn="0"/>
              <w:rPr>
                <w:sz w:val="22"/>
              </w:rPr>
            </w:pPr>
            <w:hyperlink r:id="rId262" w:history="1">
              <w:r w:rsidR="000B5C96" w:rsidRPr="00B512A0">
                <w:rPr>
                  <w:color w:val="0000FF"/>
                  <w:sz w:val="22"/>
                  <w:u w:val="single"/>
                </w:rPr>
                <w:t>http://greens.org.au/local-food</w:t>
              </w:r>
            </w:hyperlink>
          </w:p>
          <w:p w:rsidR="000B5C96" w:rsidRPr="00B512A0" w:rsidRDefault="00E46526" w:rsidP="003F606A">
            <w:pPr>
              <w:pStyle w:val="PullOutBoxBodyText"/>
              <w:keepNext/>
              <w:keepLines/>
              <w:cnfStyle w:val="000000100000" w:firstRow="0" w:lastRow="0" w:firstColumn="0" w:lastColumn="0" w:oddVBand="0" w:evenVBand="0" w:oddHBand="1" w:evenHBand="0" w:firstRowFirstColumn="0" w:firstRowLastColumn="0" w:lastRowFirstColumn="0" w:lastRowLastColumn="0"/>
              <w:rPr>
                <w:sz w:val="22"/>
              </w:rPr>
            </w:pPr>
            <w:hyperlink r:id="rId263" w:history="1">
              <w:r w:rsidR="000B5C96" w:rsidRPr="00B512A0">
                <w:rPr>
                  <w:color w:val="0000FF"/>
                  <w:sz w:val="22"/>
                  <w:u w:val="single"/>
                </w:rPr>
                <w:t>http://greens.org.au/soil-health</w:t>
              </w:r>
            </w:hyperlink>
          </w:p>
          <w:p w:rsidR="000B5C96" w:rsidRPr="00B512A0" w:rsidRDefault="00E46526" w:rsidP="003F606A">
            <w:pPr>
              <w:pStyle w:val="PullOutBoxBodyText"/>
              <w:keepNext/>
              <w:keepLines/>
              <w:cnfStyle w:val="000000100000" w:firstRow="0" w:lastRow="0" w:firstColumn="0" w:lastColumn="0" w:oddVBand="0" w:evenVBand="0" w:oddHBand="1" w:evenHBand="0" w:firstRowFirstColumn="0" w:firstRowLastColumn="0" w:lastRowFirstColumn="0" w:lastRowLastColumn="0"/>
              <w:rPr>
                <w:sz w:val="22"/>
              </w:rPr>
            </w:pPr>
            <w:hyperlink r:id="rId264" w:history="1">
              <w:r w:rsidR="000B5C96" w:rsidRPr="00B512A0">
                <w:rPr>
                  <w:color w:val="0000FF"/>
                  <w:sz w:val="22"/>
                  <w:u w:val="single"/>
                </w:rPr>
                <w:t>http://greens.org.au/food-system</w:t>
              </w:r>
            </w:hyperlink>
          </w:p>
        </w:tc>
      </w:tr>
      <w:tr w:rsidR="000B5C96" w:rsidRPr="00B512A0"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B512A0" w:rsidRDefault="000B5C96" w:rsidP="003F606A">
            <w:pPr>
              <w:pStyle w:val="PullOutBoxBodyText"/>
              <w:rPr>
                <w:sz w:val="22"/>
              </w:rPr>
            </w:pPr>
            <w:r w:rsidRPr="00B512A0">
              <w:rPr>
                <w:sz w:val="22"/>
              </w:rPr>
              <w:t>Date costing request received:</w:t>
            </w:r>
          </w:p>
        </w:tc>
        <w:tc>
          <w:tcPr>
            <w:tcW w:w="5335" w:type="dxa"/>
          </w:tcPr>
          <w:p w:rsidR="000B5C96" w:rsidRPr="00B512A0"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B512A0">
              <w:rPr>
                <w:sz w:val="22"/>
              </w:rPr>
              <w:t>27 June 2016</w:t>
            </w:r>
          </w:p>
        </w:tc>
      </w:tr>
      <w:tr w:rsidR="000B5C96" w:rsidRPr="00B512A0"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B512A0" w:rsidRDefault="000B5C96" w:rsidP="003F606A">
            <w:pPr>
              <w:pStyle w:val="PullOutBoxBodyText"/>
              <w:rPr>
                <w:sz w:val="22"/>
              </w:rPr>
            </w:pPr>
            <w:r w:rsidRPr="00B512A0">
              <w:rPr>
                <w:sz w:val="22"/>
              </w:rPr>
              <w:t>Date costing completed:</w:t>
            </w:r>
          </w:p>
        </w:tc>
        <w:tc>
          <w:tcPr>
            <w:tcW w:w="5335" w:type="dxa"/>
          </w:tcPr>
          <w:p w:rsidR="000B5C96" w:rsidRPr="00B512A0"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B512A0">
              <w:rPr>
                <w:sz w:val="22"/>
              </w:rPr>
              <w:t>28 June 2016</w:t>
            </w:r>
          </w:p>
        </w:tc>
      </w:tr>
      <w:tr w:rsidR="000B5C96" w:rsidRPr="00B512A0"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B512A0" w:rsidRDefault="000B5C96" w:rsidP="003F606A">
            <w:pPr>
              <w:pStyle w:val="PullOutBoxBodyText"/>
              <w:rPr>
                <w:sz w:val="22"/>
              </w:rPr>
            </w:pPr>
            <w:r w:rsidRPr="00B512A0">
              <w:rPr>
                <w:sz w:val="22"/>
              </w:rPr>
              <w:t>Expiry date for the costing:</w:t>
            </w:r>
          </w:p>
        </w:tc>
        <w:tc>
          <w:tcPr>
            <w:tcW w:w="5335" w:type="dxa"/>
          </w:tcPr>
          <w:p w:rsidR="000B5C96" w:rsidRPr="00B512A0"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B512A0">
              <w:rPr>
                <w:sz w:val="22"/>
              </w:rPr>
              <w:t>Release of the next economic and fiscal outlook report</w:t>
            </w:r>
          </w:p>
        </w:tc>
      </w:tr>
    </w:tbl>
    <w:p w:rsidR="000B5C96" w:rsidRPr="00D7096D" w:rsidRDefault="000B5C96" w:rsidP="003F606A">
      <w:pPr>
        <w:pStyle w:val="CostingsH7"/>
      </w:pPr>
      <w:r w:rsidRPr="00D7096D">
        <w:t>Costing overview</w:t>
      </w:r>
    </w:p>
    <w:p w:rsidR="000B5C96" w:rsidRPr="005276C2" w:rsidRDefault="000B5C96" w:rsidP="003F606A">
      <w:pPr>
        <w:pStyle w:val="BodyText"/>
      </w:pPr>
      <w:r w:rsidRPr="005276C2">
        <w:t>The proposal would be expected to decrease the fiscal and underlying cash balances by $143.5 million over the 2016</w:t>
      </w:r>
      <w:r w:rsidRPr="005276C2">
        <w:noBreakHyphen/>
        <w:t>17 Budget forward estimates period.  These impacts are due to an increase in administered expenses of $137.3 million and an increase in departmental expenses of $6.2 million.  Detailed financial implications over the period 2016</w:t>
      </w:r>
      <w:r w:rsidRPr="005276C2">
        <w:noBreakHyphen/>
        <w:t>17 to 2020</w:t>
      </w:r>
      <w:r w:rsidRPr="005276C2">
        <w:noBreakHyphen/>
        <w:t>21, at which point funding for the proposal would terminate, are at Attachment A.</w:t>
      </w:r>
    </w:p>
    <w:p w:rsidR="000B5C96" w:rsidRPr="005276C2" w:rsidRDefault="000B5C96" w:rsidP="003F606A">
      <w:pPr>
        <w:pStyle w:val="BodyText"/>
      </w:pPr>
      <w:r w:rsidRPr="005276C2">
        <w:t>Components 1 and 2 of this costing are considered to be of high reliability as the estimates are based on capped administered funding with departmental expenditure based on similar sized grant programs.  Component 3 is considered to be of medium reliability due to the uncertainty of the scope of implementing labelling for GM foods.</w:t>
      </w:r>
    </w:p>
    <w:p w:rsidR="000B5C96" w:rsidRPr="00D808A0" w:rsidRDefault="000B5C96" w:rsidP="003F606A">
      <w:pPr>
        <w:pStyle w:val="Caption"/>
      </w:pPr>
      <w:r w:rsidRPr="00D808A0">
        <w:t>Table 1: Financial implications (outturn prices)</w:t>
      </w:r>
      <w:r w:rsidRPr="00D808A0">
        <w:rPr>
          <w:vertAlign w:val="superscript"/>
        </w:rPr>
        <w:t>(a)(b)</w:t>
      </w:r>
    </w:p>
    <w:tbl>
      <w:tblPr>
        <w:tblStyle w:val="TableGrid2"/>
        <w:tblW w:w="4993" w:type="pct"/>
        <w:tblLook w:val="04A0" w:firstRow="1" w:lastRow="0" w:firstColumn="1" w:lastColumn="0" w:noHBand="0" w:noVBand="1"/>
      </w:tblPr>
      <w:tblGrid>
        <w:gridCol w:w="2644"/>
        <w:gridCol w:w="1133"/>
        <w:gridCol w:w="1134"/>
        <w:gridCol w:w="1134"/>
        <w:gridCol w:w="1134"/>
        <w:gridCol w:w="1132"/>
      </w:tblGrid>
      <w:tr w:rsidR="000B5C96" w:rsidRPr="00D808A0"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D808A0" w:rsidRDefault="000B5C96" w:rsidP="003F606A">
            <w:pPr>
              <w:keepNext/>
              <w:keepLines/>
              <w:spacing w:line="240" w:lineRule="auto"/>
              <w:ind w:left="57" w:right="57"/>
              <w:rPr>
                <w:szCs w:val="20"/>
              </w:rPr>
            </w:pPr>
            <w:r w:rsidRPr="00D808A0">
              <w:rPr>
                <w:szCs w:val="20"/>
              </w:rPr>
              <w:t>Impact on ($m)</w:t>
            </w:r>
          </w:p>
        </w:tc>
        <w:tc>
          <w:tcPr>
            <w:tcW w:w="682" w:type="pct"/>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rPr>
                <w:szCs w:val="20"/>
              </w:rPr>
              <w:t>2016–17</w:t>
            </w:r>
          </w:p>
        </w:tc>
        <w:tc>
          <w:tcPr>
            <w:tcW w:w="682" w:type="pct"/>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rPr>
                <w:szCs w:val="20"/>
              </w:rPr>
              <w:t>2017–18</w:t>
            </w:r>
          </w:p>
        </w:tc>
        <w:tc>
          <w:tcPr>
            <w:tcW w:w="682" w:type="pct"/>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rPr>
                <w:szCs w:val="20"/>
              </w:rPr>
              <w:t>2018–19</w:t>
            </w:r>
          </w:p>
        </w:tc>
        <w:tc>
          <w:tcPr>
            <w:tcW w:w="682" w:type="pct"/>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rPr>
                <w:szCs w:val="20"/>
              </w:rPr>
              <w:t>2019–20</w:t>
            </w:r>
          </w:p>
        </w:tc>
        <w:tc>
          <w:tcPr>
            <w:tcW w:w="681" w:type="pct"/>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rPr>
                <w:szCs w:val="20"/>
              </w:rPr>
              <w:t>Total</w:t>
            </w:r>
          </w:p>
        </w:tc>
      </w:tr>
      <w:tr w:rsidR="000B5C96" w:rsidRPr="00D808A0"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D808A0" w:rsidRDefault="000B5C96" w:rsidP="003F606A">
            <w:pPr>
              <w:keepNext/>
              <w:keepLines/>
              <w:spacing w:line="240" w:lineRule="auto"/>
              <w:ind w:left="57" w:right="57"/>
              <w:rPr>
                <w:szCs w:val="20"/>
              </w:rPr>
            </w:pPr>
            <w:r w:rsidRPr="00D808A0">
              <w:rPr>
                <w:szCs w:val="20"/>
              </w:rPr>
              <w:t>Fiscal balance</w:t>
            </w:r>
          </w:p>
        </w:tc>
        <w:tc>
          <w:tcPr>
            <w:tcW w:w="682" w:type="pct"/>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D808A0">
              <w:rPr>
                <w:rFonts w:ascii="Calibri" w:hAnsi="Calibri"/>
                <w:bCs/>
                <w:color w:val="000000"/>
                <w:szCs w:val="20"/>
              </w:rPr>
              <w:t>-</w:t>
            </w:r>
          </w:p>
        </w:tc>
        <w:tc>
          <w:tcPr>
            <w:tcW w:w="682" w:type="pct"/>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D808A0">
              <w:rPr>
                <w:rFonts w:ascii="Calibri" w:hAnsi="Calibri"/>
                <w:bCs/>
                <w:color w:val="000000"/>
                <w:szCs w:val="20"/>
              </w:rPr>
              <w:t>-50.0</w:t>
            </w:r>
          </w:p>
        </w:tc>
        <w:tc>
          <w:tcPr>
            <w:tcW w:w="682" w:type="pct"/>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D808A0">
              <w:rPr>
                <w:rFonts w:ascii="Calibri" w:hAnsi="Calibri"/>
                <w:bCs/>
                <w:color w:val="000000"/>
                <w:szCs w:val="20"/>
              </w:rPr>
              <w:t>-48.4</w:t>
            </w:r>
          </w:p>
        </w:tc>
        <w:tc>
          <w:tcPr>
            <w:tcW w:w="682" w:type="pct"/>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D808A0">
              <w:rPr>
                <w:rFonts w:ascii="Calibri" w:hAnsi="Calibri"/>
                <w:bCs/>
                <w:color w:val="000000"/>
                <w:szCs w:val="20"/>
              </w:rPr>
              <w:t>-45.0</w:t>
            </w:r>
          </w:p>
        </w:tc>
        <w:tc>
          <w:tcPr>
            <w:tcW w:w="681" w:type="pct"/>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-143.5</w:t>
            </w:r>
          </w:p>
        </w:tc>
      </w:tr>
      <w:tr w:rsidR="000B5C96" w:rsidRPr="00D808A0"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D808A0" w:rsidRDefault="000B5C96" w:rsidP="003F606A">
            <w:pPr>
              <w:keepNext/>
              <w:keepLines/>
              <w:spacing w:line="240" w:lineRule="auto"/>
              <w:ind w:left="57" w:right="57"/>
              <w:rPr>
                <w:szCs w:val="20"/>
              </w:rPr>
            </w:pPr>
            <w:r w:rsidRPr="00D808A0">
              <w:rPr>
                <w:szCs w:val="20"/>
              </w:rPr>
              <w:t>Underlying cash balance</w:t>
            </w:r>
          </w:p>
        </w:tc>
        <w:tc>
          <w:tcPr>
            <w:tcW w:w="68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20"/>
              </w:rPr>
            </w:pPr>
            <w:r w:rsidRPr="00D808A0">
              <w:rPr>
                <w:rFonts w:ascii="Calibri" w:hAnsi="Calibri"/>
                <w:bCs/>
                <w:color w:val="000000"/>
                <w:szCs w:val="20"/>
              </w:rPr>
              <w:t>-</w:t>
            </w:r>
          </w:p>
        </w:tc>
        <w:tc>
          <w:tcPr>
            <w:tcW w:w="68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20"/>
              </w:rPr>
            </w:pPr>
            <w:r w:rsidRPr="00D808A0">
              <w:rPr>
                <w:rFonts w:ascii="Calibri" w:hAnsi="Calibri"/>
                <w:bCs/>
                <w:color w:val="000000"/>
                <w:szCs w:val="20"/>
              </w:rPr>
              <w:t>-50.0</w:t>
            </w:r>
          </w:p>
        </w:tc>
        <w:tc>
          <w:tcPr>
            <w:tcW w:w="68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20"/>
              </w:rPr>
            </w:pPr>
            <w:r w:rsidRPr="00D808A0">
              <w:rPr>
                <w:rFonts w:ascii="Calibri" w:hAnsi="Calibri"/>
                <w:bCs/>
                <w:color w:val="000000"/>
                <w:szCs w:val="20"/>
              </w:rPr>
              <w:t>-48.4</w:t>
            </w:r>
          </w:p>
        </w:tc>
        <w:tc>
          <w:tcPr>
            <w:tcW w:w="68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20"/>
              </w:rPr>
            </w:pPr>
            <w:r w:rsidRPr="00D808A0">
              <w:rPr>
                <w:rFonts w:ascii="Calibri" w:hAnsi="Calibri"/>
                <w:bCs/>
                <w:color w:val="000000"/>
                <w:szCs w:val="20"/>
              </w:rPr>
              <w:t>-45.0</w:t>
            </w:r>
          </w:p>
        </w:tc>
        <w:tc>
          <w:tcPr>
            <w:tcW w:w="681"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-143.5</w:t>
            </w:r>
          </w:p>
        </w:tc>
      </w:tr>
    </w:tbl>
    <w:p w:rsidR="000B5C96" w:rsidRPr="00D808A0" w:rsidRDefault="000B5C96" w:rsidP="000B5C96">
      <w:pPr>
        <w:pStyle w:val="Footnotes"/>
        <w:numPr>
          <w:ilvl w:val="0"/>
          <w:numId w:val="136"/>
        </w:numPr>
        <w:ind w:left="284" w:hanging="284"/>
      </w:pPr>
      <w:r w:rsidRPr="00D808A0">
        <w:t>A positive number represents an increase in the relevant budget balance; a negative number represents a decrease.</w:t>
      </w:r>
    </w:p>
    <w:p w:rsidR="000B5C96" w:rsidRPr="00D808A0" w:rsidRDefault="000B5C96" w:rsidP="000B5C96">
      <w:pPr>
        <w:pStyle w:val="Footnotes"/>
        <w:numPr>
          <w:ilvl w:val="0"/>
          <w:numId w:val="136"/>
        </w:numPr>
        <w:ind w:left="284" w:hanging="284"/>
      </w:pPr>
      <w:r w:rsidRPr="00D808A0">
        <w:t>Figures may not sum to totals due to rounding.</w:t>
      </w:r>
    </w:p>
    <w:p w:rsidR="000B5C96" w:rsidRPr="00D808A0" w:rsidRDefault="000B5C96" w:rsidP="000B5C96">
      <w:pPr>
        <w:pStyle w:val="Footnotes"/>
        <w:numPr>
          <w:ilvl w:val="0"/>
          <w:numId w:val="114"/>
        </w:numPr>
        <w:ind w:left="284" w:hanging="284"/>
      </w:pPr>
      <w:r w:rsidRPr="00D808A0">
        <w:t>Indicates nil.</w:t>
      </w:r>
    </w:p>
    <w:p w:rsidR="000B5C96" w:rsidRPr="00D7096D" w:rsidRDefault="000B5C96" w:rsidP="003F606A">
      <w:pPr>
        <w:pStyle w:val="CostingsH7"/>
      </w:pPr>
      <w:r w:rsidRPr="00D7096D">
        <w:t>Methodology</w:t>
      </w:r>
    </w:p>
    <w:p w:rsidR="000B5C96" w:rsidRPr="005276C2" w:rsidRDefault="000B5C96" w:rsidP="003F606A">
      <w:pPr>
        <w:pStyle w:val="BodyText"/>
      </w:pPr>
      <w:r w:rsidRPr="005276C2">
        <w:t>Departmental expenditure estimates for Components 1 and 2 are included within the capped funding amounts as specified in the request.  These estimates are based on other like programs and the estimates account for the net effect of indexation parameters and the efficiency dividend, in accordance with the Department of Finance’s costing practices.</w:t>
      </w:r>
    </w:p>
    <w:p w:rsidR="000B5C96" w:rsidRPr="005276C2" w:rsidRDefault="000B5C96" w:rsidP="003F606A">
      <w:pPr>
        <w:pStyle w:val="BodyText"/>
        <w:keepNext/>
        <w:keepLines/>
      </w:pPr>
      <w:r w:rsidRPr="005276C2">
        <w:t>Administered expenditure estimates for Components 1 and 2 are the remainder of the</w:t>
      </w:r>
      <w:r w:rsidRPr="00D808A0">
        <w:t xml:space="preserve"> </w:t>
      </w:r>
      <w:r w:rsidRPr="005276C2">
        <w:t>capped funding amounts after allowing for the estimated departmental expenditure.</w:t>
      </w:r>
    </w:p>
    <w:p w:rsidR="000B5C96" w:rsidRPr="005276C2" w:rsidRDefault="000B5C96" w:rsidP="003F606A">
      <w:pPr>
        <w:pStyle w:val="BodyText"/>
      </w:pPr>
      <w:r w:rsidRPr="005276C2">
        <w:t>Administered and departmental expenditure estimates for Component 3 were based on the estimates for a 2012-13 Budget measure related to implementing recommendations from the review of food labelling.</w:t>
      </w:r>
    </w:p>
    <w:p w:rsidR="000B5C96" w:rsidRDefault="000B5C96" w:rsidP="003F606A">
      <w:pPr>
        <w:pStyle w:val="CostingsH7"/>
        <w:rPr>
          <w:rFonts w:eastAsia="Calibri"/>
        </w:rPr>
      </w:pPr>
      <w:r w:rsidRPr="00D808A0">
        <w:rPr>
          <w:rFonts w:eastAsia="Calibri"/>
        </w:rPr>
        <w:t>Data sources</w:t>
      </w:r>
    </w:p>
    <w:p w:rsidR="000B5C96" w:rsidRPr="00D808A0" w:rsidRDefault="000B5C96" w:rsidP="000B5C96">
      <w:pPr>
        <w:pStyle w:val="ListBullet"/>
        <w:keepLines w:val="0"/>
        <w:numPr>
          <w:ilvl w:val="0"/>
          <w:numId w:val="2"/>
        </w:numPr>
        <w:spacing w:before="113"/>
        <w:ind w:left="454" w:hanging="454"/>
      </w:pPr>
      <w:r w:rsidRPr="00D808A0">
        <w:t>The Department of Finance provided indexation parameters.</w:t>
      </w:r>
    </w:p>
    <w:p w:rsidR="000B5C96" w:rsidRDefault="000B5C96" w:rsidP="000B5C96">
      <w:pPr>
        <w:pStyle w:val="ListBullet"/>
        <w:keepLines w:val="0"/>
        <w:numPr>
          <w:ilvl w:val="0"/>
          <w:numId w:val="2"/>
        </w:numPr>
        <w:spacing w:before="113"/>
        <w:ind w:left="454" w:hanging="454"/>
      </w:pPr>
      <w:r w:rsidRPr="00D808A0">
        <w:t>2012-13 Budget Paper No. 2.</w:t>
      </w:r>
    </w:p>
    <w:p w:rsidR="000B5C96" w:rsidRDefault="000B5C96" w:rsidP="003F606A">
      <w:pPr>
        <w:pStyle w:val="BodyText"/>
      </w:pPr>
    </w:p>
    <w:p w:rsidR="000B5C96" w:rsidRPr="00D808A0" w:rsidRDefault="000B5C96" w:rsidP="003F606A">
      <w:pPr>
        <w:pStyle w:val="BodyText"/>
        <w:sectPr w:rsidR="000B5C96" w:rsidRPr="00D808A0" w:rsidSect="003F606A">
          <w:headerReference w:type="even" r:id="rId265"/>
          <w:headerReference w:type="default" r:id="rId266"/>
          <w:footerReference w:type="even" r:id="rId267"/>
          <w:footerReference w:type="default" r:id="rId268"/>
          <w:footerReference w:type="first" r:id="rId269"/>
          <w:pgSz w:w="11907" w:h="16839" w:code="9"/>
          <w:pgMar w:top="1361" w:right="1797" w:bottom="1474" w:left="1797" w:header="283" w:footer="454" w:gutter="0"/>
          <w:cols w:space="708"/>
          <w:docGrid w:linePitch="360"/>
        </w:sectPr>
      </w:pPr>
    </w:p>
    <w:p w:rsidR="000B5C96" w:rsidRPr="00D808A0" w:rsidRDefault="000B5C96" w:rsidP="000B5C96">
      <w:pPr>
        <w:pStyle w:val="Heading6"/>
        <w:numPr>
          <w:ilvl w:val="0"/>
          <w:numId w:val="5"/>
        </w:numPr>
        <w:tabs>
          <w:tab w:val="clear" w:pos="0"/>
          <w:tab w:val="num" w:pos="360"/>
          <w:tab w:val="right" w:pos="1418"/>
          <w:tab w:val="right" w:pos="1701"/>
          <w:tab w:val="right" w:pos="1985"/>
        </w:tabs>
      </w:pPr>
      <w:r w:rsidRPr="00D808A0">
        <w:t>Attachment A: Securing the future of farming—financial implications</w:t>
      </w:r>
    </w:p>
    <w:p w:rsidR="000B5C96" w:rsidRPr="00D808A0" w:rsidRDefault="000B5C96" w:rsidP="003F606A">
      <w:pPr>
        <w:pStyle w:val="Caption"/>
        <w:rPr>
          <w:vertAlign w:val="superscript"/>
        </w:rPr>
      </w:pPr>
      <w:r w:rsidRPr="00D808A0">
        <w:t>Table A1: All components – Securing the future of farming—Financial implications</w:t>
      </w:r>
      <w:r w:rsidRPr="00D808A0">
        <w:rPr>
          <w:vertAlign w:val="superscript"/>
        </w:rPr>
        <w:t>(a)(b)</w:t>
      </w:r>
    </w:p>
    <w:tbl>
      <w:tblPr>
        <w:tblStyle w:val="TableGrid2"/>
        <w:tblW w:w="5000"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078"/>
        <w:gridCol w:w="891"/>
        <w:gridCol w:w="892"/>
        <w:gridCol w:w="892"/>
        <w:gridCol w:w="892"/>
        <w:gridCol w:w="894"/>
        <w:gridCol w:w="892"/>
        <w:gridCol w:w="892"/>
      </w:tblGrid>
      <w:tr w:rsidR="000B5C96" w:rsidRPr="00D808A0"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rPr>
                <w:szCs w:val="20"/>
              </w:rPr>
            </w:pPr>
            <w:r w:rsidRPr="00D808A0">
              <w:rPr>
                <w:szCs w:val="20"/>
              </w:rPr>
              <w:t>($m)</w:t>
            </w:r>
          </w:p>
        </w:tc>
        <w:tc>
          <w:tcPr>
            <w:tcW w:w="535"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2016–17</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2017–18</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2018–19</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2019–20</w:t>
            </w:r>
          </w:p>
        </w:tc>
        <w:tc>
          <w:tcPr>
            <w:tcW w:w="537"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D808A0">
              <w:t>Total</w:t>
            </w:r>
            <w:r w:rsidRPr="00D808A0">
              <w:rPr>
                <w:szCs w:val="20"/>
              </w:rPr>
              <w:t xml:space="preserve"> to 2019–20</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2020–21</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D808A0">
              <w:t>Total</w:t>
            </w:r>
            <w:r w:rsidRPr="00D808A0">
              <w:rPr>
                <w:szCs w:val="20"/>
              </w:rPr>
              <w:t xml:space="preserve"> to 2020–21</w:t>
            </w:r>
          </w:p>
        </w:tc>
      </w:tr>
      <w:tr w:rsidR="000B5C96" w:rsidRPr="00D808A0"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788184"/>
              <w:left w:val="single" w:sz="4" w:space="0" w:color="788184"/>
              <w:bottom w:val="single" w:sz="4" w:space="0" w:color="788184"/>
              <w:right w:val="single" w:sz="4" w:space="0" w:color="788184"/>
            </w:tcBorders>
            <w:shd w:val="clear" w:color="auto" w:fill="E9ECF3"/>
          </w:tcPr>
          <w:p w:rsidR="000B5C96" w:rsidRPr="00D808A0" w:rsidRDefault="000B5C96" w:rsidP="003F606A">
            <w:pPr>
              <w:keepNext/>
              <w:keepLines/>
              <w:spacing w:line="240" w:lineRule="auto"/>
              <w:ind w:left="57" w:right="57"/>
              <w:rPr>
                <w:b/>
              </w:rPr>
            </w:pPr>
            <w:r w:rsidRPr="00D808A0">
              <w:rPr>
                <w:b/>
              </w:rPr>
              <w:t>Impact on fiscal and underlying cash balances</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rPr>
                <w:color w:val="000000"/>
                <w:szCs w:val="20"/>
              </w:rPr>
            </w:pPr>
            <w:r w:rsidRPr="00D808A0">
              <w:rPr>
                <w:color w:val="000000"/>
                <w:szCs w:val="20"/>
              </w:rPr>
              <w:t>Administered</w:t>
            </w:r>
          </w:p>
        </w:tc>
        <w:tc>
          <w:tcPr>
            <w:tcW w:w="535"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808A0">
              <w:rPr>
                <w:rFonts w:ascii="Calibri" w:hAnsi="Calibri"/>
                <w:i/>
              </w:rPr>
              <w:t>-</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808A0">
              <w:rPr>
                <w:rFonts w:ascii="Calibri" w:hAnsi="Calibri"/>
                <w:i/>
              </w:rPr>
              <w:t>-47.8</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808A0">
              <w:rPr>
                <w:rFonts w:ascii="Calibri" w:hAnsi="Calibri"/>
                <w:i/>
              </w:rPr>
              <w:t>-46.4</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808A0">
              <w:rPr>
                <w:rFonts w:ascii="Calibri" w:hAnsi="Calibri"/>
                <w:i/>
              </w:rPr>
              <w:t>-43.4</w:t>
            </w:r>
          </w:p>
        </w:tc>
        <w:tc>
          <w:tcPr>
            <w:tcW w:w="537"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rPr>
            </w:pPr>
            <w:r w:rsidRPr="00D808A0">
              <w:rPr>
                <w:rFonts w:ascii="Calibri" w:hAnsi="Calibri"/>
                <w:b/>
                <w:bCs/>
                <w:i/>
              </w:rPr>
              <w:t>-137.3</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808A0">
              <w:rPr>
                <w:rFonts w:ascii="Calibri" w:hAnsi="Calibri"/>
                <w:i/>
              </w:rPr>
              <w:t>-43.4</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rPr>
            </w:pPr>
            <w:r w:rsidRPr="00D808A0">
              <w:rPr>
                <w:rFonts w:ascii="Calibri" w:hAnsi="Calibri"/>
                <w:b/>
                <w:bCs/>
                <w:i/>
              </w:rPr>
              <w:t>-180.7</w:t>
            </w:r>
          </w:p>
        </w:tc>
      </w:tr>
      <w:tr w:rsidR="000B5C96" w:rsidRPr="00D808A0"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rPr>
                <w:color w:val="000000"/>
                <w:szCs w:val="20"/>
              </w:rPr>
            </w:pPr>
            <w:r w:rsidRPr="00D808A0">
              <w:rPr>
                <w:color w:val="000000"/>
                <w:szCs w:val="20"/>
              </w:rPr>
              <w:t>Departmental</w:t>
            </w:r>
          </w:p>
        </w:tc>
        <w:tc>
          <w:tcPr>
            <w:tcW w:w="535"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808A0">
              <w:rPr>
                <w:rFonts w:ascii="Calibri" w:hAnsi="Calibri"/>
                <w:i/>
              </w:rPr>
              <w:t>-</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808A0">
              <w:rPr>
                <w:rFonts w:ascii="Calibri" w:hAnsi="Calibri"/>
                <w:i/>
              </w:rPr>
              <w:t>-2.3</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808A0">
              <w:rPr>
                <w:rFonts w:ascii="Calibri" w:hAnsi="Calibri"/>
                <w:i/>
              </w:rPr>
              <w:t>-2.1</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808A0">
              <w:rPr>
                <w:rFonts w:ascii="Calibri" w:hAnsi="Calibri"/>
                <w:i/>
              </w:rPr>
              <w:t>-1.6</w:t>
            </w:r>
          </w:p>
        </w:tc>
        <w:tc>
          <w:tcPr>
            <w:tcW w:w="537"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bCs/>
                <w:i/>
              </w:rPr>
            </w:pPr>
            <w:r w:rsidRPr="00D808A0">
              <w:rPr>
                <w:rFonts w:ascii="Calibri" w:hAnsi="Calibri"/>
                <w:b/>
                <w:bCs/>
                <w:i/>
              </w:rPr>
              <w:t>-6.2</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808A0">
              <w:rPr>
                <w:rFonts w:ascii="Calibri" w:hAnsi="Calibri"/>
                <w:i/>
              </w:rPr>
              <w:t>-1.6</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bCs/>
                <w:i/>
              </w:rPr>
            </w:pPr>
            <w:r w:rsidRPr="00D808A0">
              <w:rPr>
                <w:rFonts w:ascii="Calibri" w:hAnsi="Calibri"/>
                <w:b/>
                <w:bCs/>
                <w:i/>
              </w:rPr>
              <w:t>-7.8</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shd w:val="clear" w:color="auto" w:fill="D7DDE9"/>
          </w:tcPr>
          <w:p w:rsidR="000B5C96" w:rsidRPr="00D808A0" w:rsidRDefault="000B5C96" w:rsidP="003F606A">
            <w:pPr>
              <w:spacing w:line="240" w:lineRule="auto"/>
              <w:ind w:left="57" w:right="57"/>
              <w:rPr>
                <w:color w:val="000000"/>
                <w:szCs w:val="20"/>
              </w:rPr>
            </w:pPr>
            <w:r w:rsidRPr="00D808A0">
              <w:rPr>
                <w:b/>
                <w:bCs/>
                <w:color w:val="000000"/>
                <w:szCs w:val="20"/>
              </w:rPr>
              <w:t>Total</w:t>
            </w:r>
          </w:p>
        </w:tc>
        <w:tc>
          <w:tcPr>
            <w:tcW w:w="535"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w:t>
            </w:r>
          </w:p>
        </w:tc>
        <w:tc>
          <w:tcPr>
            <w:tcW w:w="536"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-50.0</w:t>
            </w:r>
          </w:p>
        </w:tc>
        <w:tc>
          <w:tcPr>
            <w:tcW w:w="536"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-48.4</w:t>
            </w:r>
          </w:p>
        </w:tc>
        <w:tc>
          <w:tcPr>
            <w:tcW w:w="536"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-45.0</w:t>
            </w:r>
          </w:p>
        </w:tc>
        <w:tc>
          <w:tcPr>
            <w:tcW w:w="537"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-143.5</w:t>
            </w:r>
          </w:p>
        </w:tc>
        <w:tc>
          <w:tcPr>
            <w:tcW w:w="536"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-45.0</w:t>
            </w:r>
          </w:p>
        </w:tc>
        <w:tc>
          <w:tcPr>
            <w:tcW w:w="536"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-188.5</w:t>
            </w:r>
          </w:p>
        </w:tc>
      </w:tr>
    </w:tbl>
    <w:p w:rsidR="000B5C96" w:rsidRPr="00D808A0" w:rsidRDefault="000B5C96" w:rsidP="000B5C96">
      <w:pPr>
        <w:pStyle w:val="Footnotes"/>
        <w:numPr>
          <w:ilvl w:val="0"/>
          <w:numId w:val="137"/>
        </w:numPr>
        <w:ind w:left="284" w:hanging="284"/>
      </w:pPr>
      <w:r w:rsidRPr="00D808A0">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D808A0" w:rsidRDefault="000B5C96" w:rsidP="000B5C96">
      <w:pPr>
        <w:pStyle w:val="Footnotes"/>
        <w:numPr>
          <w:ilvl w:val="0"/>
          <w:numId w:val="137"/>
        </w:numPr>
        <w:ind w:left="284" w:hanging="284"/>
      </w:pPr>
      <w:r w:rsidRPr="00D808A0">
        <w:t>Figures may not sum to totals due to rounding.</w:t>
      </w:r>
    </w:p>
    <w:p w:rsidR="000B5C96" w:rsidRPr="00D808A0" w:rsidRDefault="000B5C96" w:rsidP="000B5C96">
      <w:pPr>
        <w:pStyle w:val="Footnotes"/>
        <w:numPr>
          <w:ilvl w:val="0"/>
          <w:numId w:val="114"/>
        </w:numPr>
        <w:ind w:left="284" w:hanging="284"/>
      </w:pPr>
      <w:r w:rsidRPr="00D808A0">
        <w:t>Indicates nil.</w:t>
      </w:r>
    </w:p>
    <w:p w:rsidR="000B5C96" w:rsidRPr="00D808A0" w:rsidRDefault="000B5C96" w:rsidP="003F606A">
      <w:pPr>
        <w:pStyle w:val="Caption"/>
        <w:rPr>
          <w:vertAlign w:val="superscript"/>
        </w:rPr>
      </w:pPr>
      <w:r w:rsidRPr="00D808A0">
        <w:t>Table A2: Component 1: Helping our soils survive—Financial implications</w:t>
      </w:r>
      <w:r w:rsidRPr="00D808A0">
        <w:rPr>
          <w:vertAlign w:val="superscript"/>
        </w:rPr>
        <w:t>(a)(b)</w:t>
      </w:r>
    </w:p>
    <w:tbl>
      <w:tblPr>
        <w:tblStyle w:val="TableGrid2"/>
        <w:tblW w:w="5000"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078"/>
        <w:gridCol w:w="891"/>
        <w:gridCol w:w="892"/>
        <w:gridCol w:w="892"/>
        <w:gridCol w:w="892"/>
        <w:gridCol w:w="894"/>
        <w:gridCol w:w="892"/>
        <w:gridCol w:w="892"/>
      </w:tblGrid>
      <w:tr w:rsidR="000B5C96" w:rsidRPr="00D808A0"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rPr>
                <w:szCs w:val="20"/>
              </w:rPr>
            </w:pPr>
            <w:r w:rsidRPr="00D808A0">
              <w:rPr>
                <w:szCs w:val="20"/>
              </w:rPr>
              <w:t>($m)</w:t>
            </w:r>
          </w:p>
        </w:tc>
        <w:tc>
          <w:tcPr>
            <w:tcW w:w="535"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2016–17</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2017–18</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2018–19</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2019–20</w:t>
            </w:r>
          </w:p>
        </w:tc>
        <w:tc>
          <w:tcPr>
            <w:tcW w:w="537"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D808A0">
              <w:t>Total</w:t>
            </w:r>
            <w:r w:rsidRPr="00D808A0">
              <w:rPr>
                <w:szCs w:val="20"/>
              </w:rPr>
              <w:t xml:space="preserve"> to 2019–20</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2020–21</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D808A0">
              <w:t>Total</w:t>
            </w:r>
            <w:r w:rsidRPr="00D808A0">
              <w:rPr>
                <w:szCs w:val="20"/>
              </w:rPr>
              <w:t xml:space="preserve"> to 2020–21</w:t>
            </w:r>
          </w:p>
        </w:tc>
      </w:tr>
      <w:tr w:rsidR="000B5C96" w:rsidRPr="00D808A0"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788184"/>
              <w:left w:val="single" w:sz="4" w:space="0" w:color="788184"/>
              <w:bottom w:val="single" w:sz="4" w:space="0" w:color="788184"/>
              <w:right w:val="single" w:sz="4" w:space="0" w:color="788184"/>
            </w:tcBorders>
            <w:shd w:val="clear" w:color="auto" w:fill="E9ECF3"/>
          </w:tcPr>
          <w:p w:rsidR="000B5C96" w:rsidRPr="00D808A0" w:rsidRDefault="000B5C96" w:rsidP="003F606A">
            <w:pPr>
              <w:keepNext/>
              <w:keepLines/>
              <w:spacing w:line="240" w:lineRule="auto"/>
              <w:ind w:left="57" w:right="57"/>
              <w:rPr>
                <w:b/>
              </w:rPr>
            </w:pPr>
            <w:r w:rsidRPr="00D808A0">
              <w:rPr>
                <w:b/>
              </w:rPr>
              <w:t>Impact on fiscal and underlying cash balances</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rPr>
                <w:color w:val="000000"/>
                <w:szCs w:val="20"/>
              </w:rPr>
            </w:pPr>
            <w:r w:rsidRPr="00D808A0">
              <w:rPr>
                <w:color w:val="000000"/>
                <w:szCs w:val="20"/>
              </w:rPr>
              <w:t>Administered</w:t>
            </w:r>
          </w:p>
        </w:tc>
        <w:tc>
          <w:tcPr>
            <w:tcW w:w="535"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808A0">
              <w:rPr>
                <w:rFonts w:ascii="Calibri" w:hAnsi="Calibri"/>
                <w:i/>
              </w:rPr>
              <w:t>-</w:t>
            </w:r>
          </w:p>
        </w:tc>
        <w:tc>
          <w:tcPr>
            <w:tcW w:w="536"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808A0">
              <w:rPr>
                <w:rFonts w:ascii="Calibri" w:hAnsi="Calibri"/>
                <w:i/>
              </w:rPr>
              <w:t>-24.1</w:t>
            </w:r>
          </w:p>
        </w:tc>
        <w:tc>
          <w:tcPr>
            <w:tcW w:w="536"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808A0">
              <w:rPr>
                <w:rFonts w:ascii="Calibri" w:hAnsi="Calibri"/>
                <w:i/>
              </w:rPr>
              <w:t>-24.1</w:t>
            </w:r>
          </w:p>
        </w:tc>
        <w:tc>
          <w:tcPr>
            <w:tcW w:w="536"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808A0">
              <w:rPr>
                <w:rFonts w:ascii="Calibri" w:hAnsi="Calibri"/>
                <w:i/>
              </w:rPr>
              <w:t>-24.1</w:t>
            </w:r>
          </w:p>
        </w:tc>
        <w:tc>
          <w:tcPr>
            <w:tcW w:w="537"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808A0">
              <w:rPr>
                <w:rFonts w:ascii="Calibri" w:hAnsi="Calibri"/>
                <w:b/>
                <w:i/>
              </w:rPr>
              <w:t>-72.2</w:t>
            </w:r>
          </w:p>
        </w:tc>
        <w:tc>
          <w:tcPr>
            <w:tcW w:w="536"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808A0">
              <w:rPr>
                <w:rFonts w:ascii="Calibri" w:hAnsi="Calibri"/>
                <w:i/>
              </w:rPr>
              <w:t>-24.1</w:t>
            </w:r>
          </w:p>
        </w:tc>
        <w:tc>
          <w:tcPr>
            <w:tcW w:w="536"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808A0">
              <w:rPr>
                <w:rFonts w:ascii="Calibri" w:hAnsi="Calibri"/>
                <w:b/>
                <w:i/>
              </w:rPr>
              <w:t>-96.3</w:t>
            </w:r>
          </w:p>
        </w:tc>
      </w:tr>
      <w:tr w:rsidR="000B5C96" w:rsidRPr="00D808A0"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rPr>
                <w:color w:val="000000"/>
                <w:szCs w:val="20"/>
              </w:rPr>
            </w:pPr>
            <w:r w:rsidRPr="00D808A0">
              <w:rPr>
                <w:color w:val="000000"/>
                <w:szCs w:val="20"/>
              </w:rPr>
              <w:t>Departmental</w:t>
            </w:r>
          </w:p>
        </w:tc>
        <w:tc>
          <w:tcPr>
            <w:tcW w:w="535"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808A0">
              <w:rPr>
                <w:rFonts w:ascii="Calibri" w:hAnsi="Calibri"/>
                <w:i/>
              </w:rPr>
              <w:t>-</w:t>
            </w:r>
          </w:p>
        </w:tc>
        <w:tc>
          <w:tcPr>
            <w:tcW w:w="536"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808A0">
              <w:rPr>
                <w:rFonts w:ascii="Calibri" w:hAnsi="Calibri"/>
                <w:i/>
              </w:rPr>
              <w:t>-0.9</w:t>
            </w:r>
          </w:p>
        </w:tc>
        <w:tc>
          <w:tcPr>
            <w:tcW w:w="536"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808A0">
              <w:rPr>
                <w:rFonts w:ascii="Calibri" w:hAnsi="Calibri"/>
                <w:i/>
              </w:rPr>
              <w:t>-0.9</w:t>
            </w:r>
          </w:p>
        </w:tc>
        <w:tc>
          <w:tcPr>
            <w:tcW w:w="536"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808A0">
              <w:rPr>
                <w:rFonts w:ascii="Calibri" w:hAnsi="Calibri"/>
                <w:i/>
              </w:rPr>
              <w:t>-0.9</w:t>
            </w:r>
          </w:p>
        </w:tc>
        <w:tc>
          <w:tcPr>
            <w:tcW w:w="537"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D808A0">
              <w:rPr>
                <w:rFonts w:ascii="Calibri" w:hAnsi="Calibri"/>
                <w:b/>
                <w:i/>
              </w:rPr>
              <w:t>-2.8</w:t>
            </w:r>
          </w:p>
        </w:tc>
        <w:tc>
          <w:tcPr>
            <w:tcW w:w="536"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808A0">
              <w:rPr>
                <w:rFonts w:ascii="Calibri" w:hAnsi="Calibri"/>
                <w:i/>
              </w:rPr>
              <w:t>-0.9</w:t>
            </w:r>
          </w:p>
        </w:tc>
        <w:tc>
          <w:tcPr>
            <w:tcW w:w="536"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D808A0">
              <w:rPr>
                <w:rFonts w:ascii="Calibri" w:hAnsi="Calibri"/>
                <w:b/>
                <w:i/>
              </w:rPr>
              <w:t>-3.7</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shd w:val="clear" w:color="auto" w:fill="D7DDE9"/>
          </w:tcPr>
          <w:p w:rsidR="000B5C96" w:rsidRPr="00D808A0" w:rsidRDefault="000B5C96" w:rsidP="003F606A">
            <w:pPr>
              <w:spacing w:line="240" w:lineRule="auto"/>
              <w:ind w:left="57" w:right="57"/>
              <w:rPr>
                <w:color w:val="000000"/>
                <w:szCs w:val="20"/>
              </w:rPr>
            </w:pPr>
            <w:r w:rsidRPr="00D808A0">
              <w:rPr>
                <w:b/>
                <w:bCs/>
                <w:color w:val="000000"/>
                <w:szCs w:val="20"/>
              </w:rPr>
              <w:t>Total</w:t>
            </w:r>
          </w:p>
        </w:tc>
        <w:tc>
          <w:tcPr>
            <w:tcW w:w="535" w:type="pct"/>
            <w:tcBorders>
              <w:top w:val="single" w:sz="4" w:space="0" w:color="788184"/>
              <w:left w:val="single" w:sz="4" w:space="0" w:color="788184"/>
              <w:bottom w:val="single" w:sz="4" w:space="0" w:color="788184"/>
              <w:right w:val="single" w:sz="4" w:space="0" w:color="788184"/>
            </w:tcBorders>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w:t>
            </w:r>
          </w:p>
        </w:tc>
        <w:tc>
          <w:tcPr>
            <w:tcW w:w="536" w:type="pct"/>
            <w:tcBorders>
              <w:top w:val="single" w:sz="4" w:space="0" w:color="788184"/>
              <w:left w:val="single" w:sz="4" w:space="0" w:color="788184"/>
              <w:bottom w:val="single" w:sz="4" w:space="0" w:color="788184"/>
              <w:right w:val="single" w:sz="4" w:space="0" w:color="788184"/>
            </w:tcBorders>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-25.0</w:t>
            </w:r>
          </w:p>
        </w:tc>
        <w:tc>
          <w:tcPr>
            <w:tcW w:w="536" w:type="pct"/>
            <w:tcBorders>
              <w:top w:val="single" w:sz="4" w:space="0" w:color="788184"/>
              <w:left w:val="single" w:sz="4" w:space="0" w:color="788184"/>
              <w:bottom w:val="single" w:sz="4" w:space="0" w:color="788184"/>
              <w:right w:val="single" w:sz="4" w:space="0" w:color="788184"/>
            </w:tcBorders>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-25.0</w:t>
            </w:r>
          </w:p>
        </w:tc>
        <w:tc>
          <w:tcPr>
            <w:tcW w:w="536" w:type="pct"/>
            <w:tcBorders>
              <w:top w:val="single" w:sz="4" w:space="0" w:color="788184"/>
              <w:left w:val="single" w:sz="4" w:space="0" w:color="788184"/>
              <w:bottom w:val="single" w:sz="4" w:space="0" w:color="788184"/>
              <w:right w:val="single" w:sz="4" w:space="0" w:color="788184"/>
            </w:tcBorders>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-25.0</w:t>
            </w:r>
          </w:p>
        </w:tc>
        <w:tc>
          <w:tcPr>
            <w:tcW w:w="537" w:type="pct"/>
            <w:tcBorders>
              <w:top w:val="single" w:sz="4" w:space="0" w:color="788184"/>
              <w:left w:val="single" w:sz="4" w:space="0" w:color="788184"/>
              <w:bottom w:val="single" w:sz="4" w:space="0" w:color="788184"/>
              <w:right w:val="single" w:sz="4" w:space="0" w:color="788184"/>
            </w:tcBorders>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-75.0</w:t>
            </w:r>
          </w:p>
        </w:tc>
        <w:tc>
          <w:tcPr>
            <w:tcW w:w="536" w:type="pct"/>
            <w:tcBorders>
              <w:top w:val="single" w:sz="4" w:space="0" w:color="788184"/>
              <w:left w:val="single" w:sz="4" w:space="0" w:color="788184"/>
              <w:bottom w:val="single" w:sz="4" w:space="0" w:color="788184"/>
              <w:right w:val="single" w:sz="4" w:space="0" w:color="788184"/>
            </w:tcBorders>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-25.0</w:t>
            </w:r>
          </w:p>
        </w:tc>
        <w:tc>
          <w:tcPr>
            <w:tcW w:w="536" w:type="pct"/>
            <w:tcBorders>
              <w:top w:val="single" w:sz="4" w:space="0" w:color="788184"/>
              <w:left w:val="single" w:sz="4" w:space="0" w:color="788184"/>
              <w:bottom w:val="single" w:sz="4" w:space="0" w:color="788184"/>
              <w:right w:val="single" w:sz="4" w:space="0" w:color="788184"/>
            </w:tcBorders>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808A0">
              <w:rPr>
                <w:rFonts w:ascii="Calibri" w:hAnsi="Calibri"/>
                <w:b/>
                <w:color w:val="000000"/>
                <w:szCs w:val="20"/>
              </w:rPr>
              <w:t>-100.0</w:t>
            </w:r>
          </w:p>
        </w:tc>
      </w:tr>
    </w:tbl>
    <w:p w:rsidR="000B5C96" w:rsidRPr="00D808A0" w:rsidRDefault="000B5C96" w:rsidP="000B5C96">
      <w:pPr>
        <w:pStyle w:val="Footnotes"/>
        <w:numPr>
          <w:ilvl w:val="0"/>
          <w:numId w:val="138"/>
        </w:numPr>
        <w:ind w:left="284" w:hanging="284"/>
      </w:pPr>
      <w:r w:rsidRPr="00D808A0">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D808A0" w:rsidRDefault="000B5C96" w:rsidP="000B5C96">
      <w:pPr>
        <w:pStyle w:val="Footnotes"/>
        <w:numPr>
          <w:ilvl w:val="0"/>
          <w:numId w:val="138"/>
        </w:numPr>
        <w:ind w:left="284" w:hanging="284"/>
      </w:pPr>
      <w:r w:rsidRPr="00D808A0">
        <w:t>Figures may not sum to totals due to rounding.</w:t>
      </w:r>
    </w:p>
    <w:p w:rsidR="000B5C96" w:rsidRPr="00D808A0" w:rsidRDefault="000B5C96" w:rsidP="000B5C96">
      <w:pPr>
        <w:pStyle w:val="Footnotes"/>
        <w:numPr>
          <w:ilvl w:val="0"/>
          <w:numId w:val="114"/>
        </w:numPr>
        <w:ind w:left="284" w:hanging="284"/>
      </w:pPr>
      <w:r w:rsidRPr="00D808A0">
        <w:t>Indicates nil.</w:t>
      </w:r>
    </w:p>
    <w:p w:rsidR="000B5C96" w:rsidRPr="00D808A0" w:rsidRDefault="000B5C96" w:rsidP="003F606A">
      <w:pPr>
        <w:pStyle w:val="Caption"/>
        <w:rPr>
          <w:vertAlign w:val="superscript"/>
        </w:rPr>
      </w:pPr>
      <w:r w:rsidRPr="00D808A0">
        <w:t>Table A3: Component 2: Helping farmers sell direct—financial implications</w:t>
      </w:r>
      <w:r w:rsidRPr="00D808A0">
        <w:rPr>
          <w:vertAlign w:val="superscript"/>
        </w:rPr>
        <w:t>(a)(b)</w:t>
      </w:r>
    </w:p>
    <w:tbl>
      <w:tblPr>
        <w:tblStyle w:val="TableGrid2"/>
        <w:tblW w:w="5000"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078"/>
        <w:gridCol w:w="891"/>
        <w:gridCol w:w="892"/>
        <w:gridCol w:w="892"/>
        <w:gridCol w:w="892"/>
        <w:gridCol w:w="894"/>
        <w:gridCol w:w="892"/>
        <w:gridCol w:w="892"/>
      </w:tblGrid>
      <w:tr w:rsidR="000B5C96" w:rsidRPr="00D808A0"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rPr>
                <w:szCs w:val="20"/>
              </w:rPr>
            </w:pPr>
            <w:r w:rsidRPr="00D808A0">
              <w:rPr>
                <w:szCs w:val="20"/>
              </w:rPr>
              <w:t>($m)</w:t>
            </w:r>
          </w:p>
        </w:tc>
        <w:tc>
          <w:tcPr>
            <w:tcW w:w="535"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2016–17</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2017–18</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2018–19</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2019–20</w:t>
            </w:r>
          </w:p>
        </w:tc>
        <w:tc>
          <w:tcPr>
            <w:tcW w:w="537"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D808A0">
              <w:t>Total</w:t>
            </w:r>
            <w:r w:rsidRPr="00D808A0">
              <w:rPr>
                <w:szCs w:val="20"/>
              </w:rPr>
              <w:t xml:space="preserve"> to 2019–20</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808A0">
              <w:t>2020–21</w:t>
            </w:r>
          </w:p>
        </w:tc>
        <w:tc>
          <w:tcPr>
            <w:tcW w:w="536" w:type="pct"/>
            <w:tcBorders>
              <w:top w:val="single" w:sz="4" w:space="0" w:color="788184"/>
              <w:left w:val="single" w:sz="4" w:space="0" w:color="788184"/>
              <w:bottom w:val="single" w:sz="4" w:space="0" w:color="788184"/>
              <w:right w:val="single" w:sz="4" w:space="0" w:color="788184"/>
            </w:tcBorders>
            <w:vAlign w:val="center"/>
          </w:tcPr>
          <w:p w:rsidR="000B5C96" w:rsidRPr="00D808A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D808A0">
              <w:t>Total</w:t>
            </w:r>
            <w:r w:rsidRPr="00D808A0">
              <w:rPr>
                <w:szCs w:val="20"/>
              </w:rPr>
              <w:t xml:space="preserve"> to 2020–21</w:t>
            </w:r>
          </w:p>
        </w:tc>
      </w:tr>
      <w:tr w:rsidR="000B5C96" w:rsidRPr="00D808A0"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788184"/>
              <w:left w:val="single" w:sz="4" w:space="0" w:color="788184"/>
              <w:bottom w:val="single" w:sz="4" w:space="0" w:color="788184"/>
              <w:right w:val="single" w:sz="4" w:space="0" w:color="788184"/>
            </w:tcBorders>
            <w:shd w:val="clear" w:color="auto" w:fill="E9ECF3"/>
          </w:tcPr>
          <w:p w:rsidR="000B5C96" w:rsidRPr="00D808A0" w:rsidRDefault="000B5C96" w:rsidP="003F606A">
            <w:pPr>
              <w:keepNext/>
              <w:keepLines/>
              <w:spacing w:line="240" w:lineRule="auto"/>
              <w:ind w:left="57" w:right="57"/>
              <w:rPr>
                <w:b/>
              </w:rPr>
            </w:pPr>
            <w:r w:rsidRPr="00D808A0">
              <w:rPr>
                <w:b/>
              </w:rPr>
              <w:t>Impact on fiscal and underlying cash balances</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keepNext/>
              <w:keepLines/>
              <w:spacing w:line="240" w:lineRule="auto"/>
              <w:ind w:left="57" w:right="57"/>
              <w:rPr>
                <w:color w:val="000000"/>
                <w:szCs w:val="20"/>
              </w:rPr>
            </w:pPr>
            <w:r w:rsidRPr="00D808A0">
              <w:rPr>
                <w:color w:val="000000"/>
                <w:szCs w:val="20"/>
              </w:rPr>
              <w:t>Administered</w:t>
            </w:r>
          </w:p>
        </w:tc>
        <w:tc>
          <w:tcPr>
            <w:tcW w:w="535"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-19.3</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-19.3</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-19.3</w:t>
            </w:r>
          </w:p>
        </w:tc>
        <w:tc>
          <w:tcPr>
            <w:tcW w:w="537"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Cs w:val="20"/>
              </w:rPr>
            </w:pPr>
            <w:r w:rsidRPr="00D808A0">
              <w:rPr>
                <w:rFonts w:ascii="Calibri" w:hAnsi="Calibri"/>
                <w:b/>
                <w:bCs/>
                <w:i/>
                <w:iCs/>
                <w:color w:val="000000"/>
                <w:szCs w:val="20"/>
              </w:rPr>
              <w:t>-57.8</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-19.3</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D808A0">
              <w:rPr>
                <w:rFonts w:ascii="Calibri" w:hAnsi="Calibri"/>
                <w:b/>
                <w:bCs/>
                <w:i/>
                <w:color w:val="000000"/>
                <w:szCs w:val="20"/>
              </w:rPr>
              <w:t>-77.1</w:t>
            </w:r>
          </w:p>
        </w:tc>
      </w:tr>
      <w:tr w:rsidR="000B5C96" w:rsidRPr="00D808A0"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tcPr>
          <w:p w:rsidR="000B5C96" w:rsidRPr="00D808A0" w:rsidRDefault="000B5C96" w:rsidP="003F606A">
            <w:pPr>
              <w:keepNext/>
              <w:keepLines/>
              <w:spacing w:line="240" w:lineRule="auto"/>
              <w:ind w:left="57" w:right="57"/>
              <w:rPr>
                <w:color w:val="000000"/>
                <w:szCs w:val="20"/>
              </w:rPr>
            </w:pPr>
            <w:r w:rsidRPr="00D808A0">
              <w:rPr>
                <w:color w:val="000000"/>
                <w:szCs w:val="20"/>
              </w:rPr>
              <w:t>Departmental</w:t>
            </w:r>
          </w:p>
        </w:tc>
        <w:tc>
          <w:tcPr>
            <w:tcW w:w="535"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-0.7</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-0.7</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-0.7</w:t>
            </w:r>
          </w:p>
        </w:tc>
        <w:tc>
          <w:tcPr>
            <w:tcW w:w="537"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0000"/>
                <w:szCs w:val="20"/>
              </w:rPr>
            </w:pPr>
            <w:r w:rsidRPr="00D808A0">
              <w:rPr>
                <w:rFonts w:ascii="Calibri" w:hAnsi="Calibri"/>
                <w:b/>
                <w:bCs/>
                <w:i/>
                <w:iCs/>
                <w:color w:val="000000"/>
                <w:szCs w:val="20"/>
              </w:rPr>
              <w:t>-2.2</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-0.7</w:t>
            </w:r>
          </w:p>
        </w:tc>
        <w:tc>
          <w:tcPr>
            <w:tcW w:w="536" w:type="pct"/>
            <w:tcBorders>
              <w:top w:val="single" w:sz="4" w:space="0" w:color="788184"/>
              <w:left w:val="single" w:sz="4" w:space="0" w:color="788184"/>
              <w:bottom w:val="single" w:sz="4" w:space="0" w:color="788184"/>
              <w:right w:val="single" w:sz="4" w:space="0" w:color="788184"/>
            </w:tcBorders>
            <w:vAlign w:val="bottom"/>
          </w:tcPr>
          <w:p w:rsidR="000B5C96" w:rsidRPr="00D808A0"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szCs w:val="20"/>
              </w:rPr>
            </w:pPr>
            <w:r w:rsidRPr="00D808A0">
              <w:rPr>
                <w:rFonts w:ascii="Calibri" w:hAnsi="Calibri"/>
                <w:b/>
                <w:bCs/>
                <w:i/>
                <w:color w:val="000000"/>
                <w:szCs w:val="20"/>
              </w:rPr>
              <w:t>-2.9</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48" w:type="pct"/>
            <w:tcBorders>
              <w:top w:val="single" w:sz="4" w:space="0" w:color="788184"/>
              <w:left w:val="single" w:sz="4" w:space="0" w:color="788184"/>
              <w:bottom w:val="single" w:sz="4" w:space="0" w:color="788184"/>
              <w:right w:val="single" w:sz="4" w:space="0" w:color="788184"/>
            </w:tcBorders>
            <w:shd w:val="clear" w:color="auto" w:fill="D7DDE9"/>
          </w:tcPr>
          <w:p w:rsidR="000B5C96" w:rsidRPr="00D808A0" w:rsidRDefault="000B5C96" w:rsidP="003F606A">
            <w:pPr>
              <w:keepNext/>
              <w:keepLines/>
              <w:spacing w:line="240" w:lineRule="auto"/>
              <w:ind w:left="57" w:right="57"/>
              <w:rPr>
                <w:color w:val="000000"/>
                <w:szCs w:val="20"/>
              </w:rPr>
            </w:pPr>
            <w:r w:rsidRPr="00D808A0">
              <w:rPr>
                <w:b/>
                <w:bCs/>
                <w:color w:val="000000"/>
                <w:szCs w:val="20"/>
              </w:rPr>
              <w:t>Total</w:t>
            </w:r>
          </w:p>
        </w:tc>
        <w:tc>
          <w:tcPr>
            <w:tcW w:w="535"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w:t>
            </w:r>
          </w:p>
        </w:tc>
        <w:tc>
          <w:tcPr>
            <w:tcW w:w="536"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-20.0</w:t>
            </w:r>
          </w:p>
        </w:tc>
        <w:tc>
          <w:tcPr>
            <w:tcW w:w="536"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-20.0</w:t>
            </w:r>
          </w:p>
        </w:tc>
        <w:tc>
          <w:tcPr>
            <w:tcW w:w="536"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-20.0</w:t>
            </w:r>
          </w:p>
        </w:tc>
        <w:tc>
          <w:tcPr>
            <w:tcW w:w="537"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-60.0</w:t>
            </w:r>
          </w:p>
        </w:tc>
        <w:tc>
          <w:tcPr>
            <w:tcW w:w="536"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-20.0</w:t>
            </w:r>
          </w:p>
        </w:tc>
        <w:tc>
          <w:tcPr>
            <w:tcW w:w="536"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-80.0</w:t>
            </w:r>
          </w:p>
        </w:tc>
      </w:tr>
    </w:tbl>
    <w:p w:rsidR="000B5C96" w:rsidRPr="00D808A0" w:rsidRDefault="000B5C96" w:rsidP="000B5C96">
      <w:pPr>
        <w:pStyle w:val="Footnotes"/>
        <w:keepNext/>
        <w:keepLines/>
        <w:numPr>
          <w:ilvl w:val="0"/>
          <w:numId w:val="139"/>
        </w:numPr>
        <w:ind w:left="284" w:hanging="284"/>
      </w:pPr>
      <w:r w:rsidRPr="00D808A0">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D808A0" w:rsidRDefault="000B5C96" w:rsidP="000B5C96">
      <w:pPr>
        <w:pStyle w:val="Footnotes"/>
        <w:keepNext/>
        <w:keepLines/>
        <w:numPr>
          <w:ilvl w:val="0"/>
          <w:numId w:val="139"/>
        </w:numPr>
        <w:ind w:left="284" w:hanging="284"/>
      </w:pPr>
      <w:r w:rsidRPr="00D808A0">
        <w:t>Figures may not sum to totals due to rounding.</w:t>
      </w:r>
    </w:p>
    <w:p w:rsidR="000B5C96" w:rsidRPr="00D808A0" w:rsidRDefault="000B5C96" w:rsidP="000B5C96">
      <w:pPr>
        <w:pStyle w:val="Footnotes"/>
        <w:numPr>
          <w:ilvl w:val="0"/>
          <w:numId w:val="114"/>
        </w:numPr>
        <w:ind w:left="284" w:hanging="284"/>
      </w:pPr>
      <w:r w:rsidRPr="00D808A0">
        <w:t>Indicates nil.</w:t>
      </w:r>
    </w:p>
    <w:p w:rsidR="000B5C96" w:rsidRPr="00D808A0" w:rsidRDefault="000B5C96" w:rsidP="003F606A">
      <w:pPr>
        <w:pStyle w:val="Caption"/>
        <w:rPr>
          <w:vertAlign w:val="superscript"/>
        </w:rPr>
      </w:pPr>
      <w:r w:rsidRPr="00D808A0">
        <w:t>Table A4: Component 3: Saying no to corporate control—financial implications</w:t>
      </w:r>
      <w:r w:rsidRPr="00D808A0">
        <w:rPr>
          <w:vertAlign w:val="superscript"/>
        </w:rPr>
        <w:t>(a)(b)</w:t>
      </w:r>
    </w:p>
    <w:tbl>
      <w:tblPr>
        <w:tblStyle w:val="TableGrid2"/>
        <w:tblW w:w="4943" w:type="pct"/>
        <w:tblLayout w:type="fixed"/>
        <w:tblLook w:val="0680" w:firstRow="0" w:lastRow="0" w:firstColumn="1" w:lastColumn="0" w:noHBand="1" w:noVBand="1"/>
      </w:tblPr>
      <w:tblGrid>
        <w:gridCol w:w="1987"/>
        <w:gridCol w:w="892"/>
        <w:gridCol w:w="892"/>
        <w:gridCol w:w="892"/>
        <w:gridCol w:w="892"/>
        <w:gridCol w:w="892"/>
        <w:gridCol w:w="892"/>
        <w:gridCol w:w="889"/>
      </w:tblGrid>
      <w:tr w:rsidR="000B5C96" w:rsidRPr="00D808A0" w:rsidTr="003F606A">
        <w:trPr>
          <w:cantSplit/>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D7DDE9"/>
          </w:tcPr>
          <w:p w:rsidR="000B5C96" w:rsidRPr="00D808A0" w:rsidRDefault="000B5C96" w:rsidP="003F606A">
            <w:pPr>
              <w:spacing w:line="240" w:lineRule="auto"/>
              <w:ind w:left="57" w:right="57"/>
              <w:rPr>
                <w:szCs w:val="20"/>
              </w:rPr>
            </w:pPr>
            <w:r w:rsidRPr="00D808A0">
              <w:rPr>
                <w:szCs w:val="20"/>
              </w:rPr>
              <w:t>($m)</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808A0">
              <w:rPr>
                <w:rFonts w:ascii="Calibri" w:hAnsi="Calibri"/>
                <w:szCs w:val="20"/>
              </w:rPr>
              <w:t>2016–17</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808A0">
              <w:rPr>
                <w:rFonts w:ascii="Calibri" w:hAnsi="Calibri"/>
                <w:szCs w:val="20"/>
              </w:rPr>
              <w:t>2017–18</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808A0">
              <w:rPr>
                <w:rFonts w:ascii="Calibri" w:hAnsi="Calibri"/>
                <w:szCs w:val="20"/>
              </w:rPr>
              <w:t>2018–19</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808A0">
              <w:rPr>
                <w:rFonts w:ascii="Calibri" w:hAnsi="Calibri"/>
                <w:szCs w:val="20"/>
              </w:rPr>
              <w:t>2019–20</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D808A0">
              <w:rPr>
                <w:rFonts w:ascii="Calibri" w:hAnsi="Calibri"/>
                <w:b/>
                <w:szCs w:val="20"/>
              </w:rPr>
              <w:t>Total to 2019–20</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808A0">
              <w:rPr>
                <w:rFonts w:ascii="Calibri" w:hAnsi="Calibri"/>
                <w:szCs w:val="20"/>
              </w:rPr>
              <w:t>2020–21</w:t>
            </w:r>
          </w:p>
        </w:tc>
        <w:tc>
          <w:tcPr>
            <w:tcW w:w="540" w:type="pct"/>
            <w:shd w:val="clear" w:color="auto" w:fill="D7DDE9"/>
          </w:tcPr>
          <w:p w:rsidR="000B5C96" w:rsidRPr="00D808A0"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vertAlign w:val="superscript"/>
              </w:rPr>
            </w:pPr>
            <w:r w:rsidRPr="00D808A0">
              <w:rPr>
                <w:rFonts w:ascii="Calibri" w:hAnsi="Calibri"/>
                <w:b/>
                <w:szCs w:val="20"/>
              </w:rPr>
              <w:t>Total to 2020–21</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9ECF3"/>
          </w:tcPr>
          <w:p w:rsidR="000B5C96" w:rsidRPr="00D808A0" w:rsidRDefault="000B5C96" w:rsidP="003F606A">
            <w:pPr>
              <w:spacing w:line="240" w:lineRule="auto"/>
              <w:ind w:left="57" w:right="57"/>
              <w:rPr>
                <w:b/>
                <w:szCs w:val="20"/>
              </w:rPr>
            </w:pPr>
            <w:r w:rsidRPr="00D808A0">
              <w:rPr>
                <w:b/>
                <w:szCs w:val="20"/>
              </w:rPr>
              <w:t>Impact on fiscal and underlying cash balances</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9ECF3"/>
          </w:tcPr>
          <w:p w:rsidR="000B5C96" w:rsidRPr="00D808A0" w:rsidRDefault="000B5C96" w:rsidP="003F606A">
            <w:pPr>
              <w:spacing w:line="240" w:lineRule="auto"/>
              <w:ind w:left="57" w:right="57"/>
              <w:rPr>
                <w:b/>
                <w:szCs w:val="20"/>
              </w:rPr>
            </w:pPr>
            <w:r w:rsidRPr="00D808A0">
              <w:rPr>
                <w:b/>
                <w:szCs w:val="20"/>
              </w:rPr>
              <w:t>Administered</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08" w:type="pct"/>
          </w:tcPr>
          <w:p w:rsidR="000B5C96" w:rsidRPr="00D808A0" w:rsidRDefault="000B5C96" w:rsidP="003F606A">
            <w:pPr>
              <w:spacing w:line="240" w:lineRule="auto"/>
              <w:ind w:left="57" w:right="57"/>
              <w:rPr>
                <w:color w:val="000000"/>
                <w:szCs w:val="20"/>
              </w:rPr>
            </w:pPr>
            <w:r w:rsidRPr="00D808A0">
              <w:rPr>
                <w:color w:val="000000"/>
                <w:szCs w:val="20"/>
              </w:rPr>
              <w:t>R&amp;D on GM clean up</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-1.0</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-1.0</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D808A0">
              <w:rPr>
                <w:rFonts w:ascii="Calibri" w:hAnsi="Calibri"/>
                <w:b/>
                <w:i/>
                <w:iCs/>
                <w:color w:val="000000"/>
                <w:szCs w:val="20"/>
              </w:rPr>
              <w:t>-2.0</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0"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D808A0">
              <w:rPr>
                <w:rFonts w:ascii="Calibri" w:hAnsi="Calibri"/>
                <w:b/>
                <w:bCs/>
                <w:i/>
                <w:color w:val="000000"/>
                <w:szCs w:val="20"/>
              </w:rPr>
              <w:t>-2.0</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08" w:type="pct"/>
          </w:tcPr>
          <w:p w:rsidR="000B5C96" w:rsidRPr="00D808A0" w:rsidRDefault="000B5C96" w:rsidP="003F606A">
            <w:pPr>
              <w:spacing w:line="240" w:lineRule="auto"/>
              <w:ind w:left="57" w:right="57"/>
              <w:rPr>
                <w:color w:val="000000"/>
                <w:szCs w:val="20"/>
              </w:rPr>
            </w:pPr>
            <w:r w:rsidRPr="00D808A0">
              <w:rPr>
                <w:color w:val="000000"/>
                <w:szCs w:val="20"/>
              </w:rPr>
              <w:t>Inquiry into GM assessment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-1.0</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-1.0</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D808A0">
              <w:rPr>
                <w:rFonts w:ascii="Calibri" w:hAnsi="Calibri"/>
                <w:b/>
                <w:i/>
                <w:iCs/>
                <w:color w:val="000000"/>
                <w:szCs w:val="20"/>
              </w:rPr>
              <w:t>-2.0</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0"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D808A0">
              <w:rPr>
                <w:rFonts w:ascii="Calibri" w:hAnsi="Calibri"/>
                <w:b/>
                <w:bCs/>
                <w:i/>
                <w:color w:val="000000"/>
                <w:szCs w:val="20"/>
              </w:rPr>
              <w:t>-2.0</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08" w:type="pct"/>
          </w:tcPr>
          <w:p w:rsidR="000B5C96" w:rsidRPr="00D808A0" w:rsidRDefault="000B5C96" w:rsidP="003F606A">
            <w:pPr>
              <w:spacing w:line="240" w:lineRule="auto"/>
              <w:ind w:left="57" w:right="57"/>
              <w:rPr>
                <w:color w:val="000000"/>
                <w:szCs w:val="20"/>
              </w:rPr>
            </w:pPr>
            <w:r w:rsidRPr="00D808A0">
              <w:rPr>
                <w:color w:val="000000"/>
                <w:szCs w:val="20"/>
              </w:rPr>
              <w:t>Mandatory food labelling</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-2.4</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-1.0</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D808A0">
              <w:rPr>
                <w:rFonts w:ascii="Calibri" w:hAnsi="Calibri"/>
                <w:b/>
                <w:i/>
                <w:iCs/>
                <w:color w:val="000000"/>
                <w:szCs w:val="20"/>
              </w:rPr>
              <w:t>-3.3</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0"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D808A0">
              <w:rPr>
                <w:rFonts w:ascii="Calibri" w:hAnsi="Calibri"/>
                <w:b/>
                <w:bCs/>
                <w:i/>
                <w:color w:val="000000"/>
                <w:szCs w:val="20"/>
              </w:rPr>
              <w:t>-3.3</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08" w:type="pct"/>
            <w:shd w:val="clear" w:color="auto" w:fill="D7DDE9"/>
          </w:tcPr>
          <w:p w:rsidR="000B5C96" w:rsidRPr="00D808A0" w:rsidRDefault="000B5C96" w:rsidP="003F606A">
            <w:pPr>
              <w:spacing w:line="240" w:lineRule="auto"/>
              <w:ind w:left="57" w:right="57"/>
              <w:rPr>
                <w:b/>
                <w:szCs w:val="20"/>
              </w:rPr>
            </w:pPr>
            <w:r w:rsidRPr="00D808A0">
              <w:rPr>
                <w:b/>
                <w:szCs w:val="20"/>
              </w:rPr>
              <w:t>Total - administered</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808A0">
              <w:rPr>
                <w:rFonts w:ascii="Calibri" w:hAnsi="Calibri"/>
                <w:b/>
                <w:color w:val="000000"/>
                <w:szCs w:val="20"/>
              </w:rPr>
              <w:t>-</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808A0">
              <w:rPr>
                <w:rFonts w:ascii="Calibri" w:hAnsi="Calibri"/>
                <w:b/>
                <w:color w:val="000000"/>
                <w:szCs w:val="20"/>
              </w:rPr>
              <w:t>-4.4</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808A0">
              <w:rPr>
                <w:rFonts w:ascii="Calibri" w:hAnsi="Calibri"/>
                <w:b/>
                <w:color w:val="000000"/>
                <w:szCs w:val="20"/>
              </w:rPr>
              <w:t>-3.0</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808A0">
              <w:rPr>
                <w:rFonts w:ascii="Calibri" w:hAnsi="Calibri"/>
                <w:b/>
                <w:color w:val="000000"/>
                <w:szCs w:val="20"/>
              </w:rPr>
              <w:t>-</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-7.3</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808A0">
              <w:rPr>
                <w:rFonts w:ascii="Calibri" w:hAnsi="Calibri"/>
                <w:b/>
                <w:color w:val="000000"/>
                <w:szCs w:val="20"/>
              </w:rPr>
              <w:t>-</w:t>
            </w:r>
          </w:p>
        </w:tc>
        <w:tc>
          <w:tcPr>
            <w:tcW w:w="540"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-7.3</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9ECF3"/>
          </w:tcPr>
          <w:p w:rsidR="000B5C96" w:rsidRPr="00D808A0" w:rsidRDefault="000B5C96" w:rsidP="003F606A">
            <w:pPr>
              <w:spacing w:line="240" w:lineRule="auto"/>
              <w:ind w:left="57" w:right="57"/>
              <w:rPr>
                <w:b/>
                <w:szCs w:val="20"/>
              </w:rPr>
            </w:pPr>
            <w:r w:rsidRPr="00D808A0">
              <w:rPr>
                <w:b/>
                <w:szCs w:val="20"/>
              </w:rPr>
              <w:t>Departmental</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08" w:type="pct"/>
          </w:tcPr>
          <w:p w:rsidR="000B5C96" w:rsidRPr="00D808A0" w:rsidRDefault="000B5C96" w:rsidP="003F606A">
            <w:pPr>
              <w:spacing w:line="240" w:lineRule="auto"/>
              <w:ind w:left="57" w:right="57"/>
              <w:rPr>
                <w:color w:val="000000"/>
                <w:szCs w:val="20"/>
              </w:rPr>
            </w:pPr>
            <w:r w:rsidRPr="00D808A0">
              <w:rPr>
                <w:color w:val="000000"/>
                <w:szCs w:val="20"/>
              </w:rPr>
              <w:t>R&amp;D on GM clean up</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D808A0">
              <w:rPr>
                <w:rFonts w:ascii="Calibri" w:hAnsi="Calibri"/>
                <w:b/>
                <w:i/>
                <w:iCs/>
                <w:color w:val="000000"/>
                <w:szCs w:val="20"/>
              </w:rPr>
              <w:t>-0.1</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0"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D808A0">
              <w:rPr>
                <w:rFonts w:ascii="Calibri" w:hAnsi="Calibri"/>
                <w:b/>
                <w:bCs/>
                <w:i/>
                <w:color w:val="000000"/>
                <w:szCs w:val="20"/>
              </w:rPr>
              <w:t>-0.1</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08" w:type="pct"/>
          </w:tcPr>
          <w:p w:rsidR="000B5C96" w:rsidRPr="00D808A0" w:rsidRDefault="000B5C96" w:rsidP="003F606A">
            <w:pPr>
              <w:spacing w:line="240" w:lineRule="auto"/>
              <w:ind w:left="57" w:right="57"/>
              <w:rPr>
                <w:color w:val="000000"/>
                <w:szCs w:val="20"/>
              </w:rPr>
            </w:pPr>
            <w:r w:rsidRPr="00D808A0">
              <w:rPr>
                <w:color w:val="000000"/>
                <w:szCs w:val="20"/>
              </w:rPr>
              <w:t>Inquiry into GM assessment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D808A0">
              <w:rPr>
                <w:rFonts w:ascii="Calibri" w:hAnsi="Calibri"/>
                <w:b/>
                <w:i/>
                <w:iCs/>
                <w:color w:val="000000"/>
                <w:szCs w:val="20"/>
              </w:rPr>
              <w:t>-0.1</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0"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D808A0">
              <w:rPr>
                <w:rFonts w:ascii="Calibri" w:hAnsi="Calibri"/>
                <w:b/>
                <w:bCs/>
                <w:i/>
                <w:color w:val="000000"/>
                <w:szCs w:val="20"/>
              </w:rPr>
              <w:t>-0.1</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08" w:type="pct"/>
          </w:tcPr>
          <w:p w:rsidR="000B5C96" w:rsidRPr="00D808A0" w:rsidRDefault="000B5C96" w:rsidP="003F606A">
            <w:pPr>
              <w:spacing w:line="240" w:lineRule="auto"/>
              <w:ind w:left="57" w:right="57"/>
              <w:rPr>
                <w:color w:val="000000"/>
                <w:szCs w:val="20"/>
              </w:rPr>
            </w:pPr>
            <w:r w:rsidRPr="00D808A0">
              <w:rPr>
                <w:color w:val="000000"/>
                <w:szCs w:val="20"/>
              </w:rPr>
              <w:t>Mandatory food labelling</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-0.6</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-0.4</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D808A0">
              <w:rPr>
                <w:rFonts w:ascii="Calibri" w:hAnsi="Calibri"/>
                <w:b/>
                <w:i/>
                <w:iCs/>
                <w:color w:val="000000"/>
                <w:szCs w:val="20"/>
              </w:rPr>
              <w:t>-1.0</w:t>
            </w:r>
          </w:p>
        </w:tc>
        <w:tc>
          <w:tcPr>
            <w:tcW w:w="542"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808A0">
              <w:rPr>
                <w:rFonts w:ascii="Calibri" w:hAnsi="Calibri"/>
                <w:i/>
                <w:iCs/>
                <w:color w:val="000000"/>
                <w:szCs w:val="20"/>
              </w:rPr>
              <w:t>-</w:t>
            </w:r>
          </w:p>
        </w:tc>
        <w:tc>
          <w:tcPr>
            <w:tcW w:w="540" w:type="pct"/>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D808A0">
              <w:rPr>
                <w:rFonts w:ascii="Calibri" w:hAnsi="Calibri"/>
                <w:b/>
                <w:bCs/>
                <w:i/>
                <w:color w:val="000000"/>
                <w:szCs w:val="20"/>
              </w:rPr>
              <w:t>-1.0</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08" w:type="pct"/>
            <w:shd w:val="clear" w:color="auto" w:fill="D7DDE9"/>
          </w:tcPr>
          <w:p w:rsidR="000B5C96" w:rsidRPr="00D808A0" w:rsidRDefault="000B5C96" w:rsidP="003F606A">
            <w:pPr>
              <w:spacing w:line="240" w:lineRule="auto"/>
              <w:ind w:left="57" w:right="57"/>
              <w:rPr>
                <w:b/>
                <w:szCs w:val="20"/>
              </w:rPr>
            </w:pPr>
            <w:r w:rsidRPr="00D808A0">
              <w:rPr>
                <w:b/>
                <w:szCs w:val="20"/>
              </w:rPr>
              <w:t>Total - departmental</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808A0">
              <w:rPr>
                <w:rFonts w:ascii="Calibri" w:hAnsi="Calibri"/>
                <w:b/>
                <w:color w:val="000000"/>
                <w:szCs w:val="20"/>
              </w:rPr>
              <w:t>-</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808A0">
              <w:rPr>
                <w:rFonts w:ascii="Calibri" w:hAnsi="Calibri"/>
                <w:b/>
                <w:color w:val="000000"/>
                <w:szCs w:val="20"/>
              </w:rPr>
              <w:t>-0.7</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808A0">
              <w:rPr>
                <w:rFonts w:ascii="Calibri" w:hAnsi="Calibri"/>
                <w:b/>
                <w:color w:val="000000"/>
                <w:szCs w:val="20"/>
              </w:rPr>
              <w:t>-0.5</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808A0">
              <w:rPr>
                <w:rFonts w:ascii="Calibri" w:hAnsi="Calibri"/>
                <w:b/>
                <w:color w:val="000000"/>
                <w:szCs w:val="20"/>
              </w:rPr>
              <w:t>-</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-1.2</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808A0">
              <w:rPr>
                <w:rFonts w:ascii="Calibri" w:hAnsi="Calibri"/>
                <w:b/>
                <w:color w:val="000000"/>
                <w:szCs w:val="20"/>
              </w:rPr>
              <w:t>-</w:t>
            </w:r>
          </w:p>
        </w:tc>
        <w:tc>
          <w:tcPr>
            <w:tcW w:w="540"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-1.2</w:t>
            </w:r>
          </w:p>
        </w:tc>
      </w:tr>
      <w:tr w:rsidR="000B5C96" w:rsidRPr="00D808A0" w:rsidTr="003F606A">
        <w:trPr>
          <w:cantSplit/>
        </w:trPr>
        <w:tc>
          <w:tcPr>
            <w:cnfStyle w:val="001000000000" w:firstRow="0" w:lastRow="0" w:firstColumn="1" w:lastColumn="0" w:oddVBand="0" w:evenVBand="0" w:oddHBand="0" w:evenHBand="0" w:firstRowFirstColumn="0" w:firstRowLastColumn="0" w:lastRowFirstColumn="0" w:lastRowLastColumn="0"/>
            <w:tcW w:w="1208" w:type="pct"/>
            <w:shd w:val="clear" w:color="auto" w:fill="D7DDE9"/>
          </w:tcPr>
          <w:p w:rsidR="000B5C96" w:rsidRPr="00D808A0" w:rsidRDefault="000B5C96" w:rsidP="003F606A">
            <w:pPr>
              <w:spacing w:line="240" w:lineRule="auto"/>
              <w:ind w:left="57" w:right="57"/>
              <w:rPr>
                <w:b/>
                <w:szCs w:val="20"/>
              </w:rPr>
            </w:pPr>
            <w:r w:rsidRPr="00D808A0">
              <w:rPr>
                <w:b/>
                <w:szCs w:val="20"/>
              </w:rPr>
              <w:t>Total</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-5.0</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-3.4</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-8.5</w:t>
            </w:r>
          </w:p>
        </w:tc>
        <w:tc>
          <w:tcPr>
            <w:tcW w:w="542"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808A0">
              <w:rPr>
                <w:rFonts w:ascii="Calibri" w:hAnsi="Calibri"/>
                <w:b/>
                <w:bCs/>
                <w:color w:val="000000"/>
                <w:szCs w:val="20"/>
              </w:rPr>
              <w:t>-</w:t>
            </w:r>
          </w:p>
        </w:tc>
        <w:tc>
          <w:tcPr>
            <w:tcW w:w="540" w:type="pct"/>
            <w:shd w:val="clear" w:color="auto" w:fill="D7DDE9"/>
          </w:tcPr>
          <w:p w:rsidR="000B5C96" w:rsidRPr="00D808A0"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D808A0">
              <w:rPr>
                <w:rFonts w:ascii="Calibri" w:hAnsi="Calibri"/>
                <w:b/>
                <w:bCs/>
                <w:i/>
                <w:color w:val="000000"/>
                <w:szCs w:val="20"/>
              </w:rPr>
              <w:t>-8.5</w:t>
            </w:r>
          </w:p>
        </w:tc>
      </w:tr>
    </w:tbl>
    <w:p w:rsidR="000B5C96" w:rsidRPr="00D808A0" w:rsidRDefault="000B5C96" w:rsidP="000B5C96">
      <w:pPr>
        <w:pStyle w:val="Footnotes"/>
        <w:numPr>
          <w:ilvl w:val="0"/>
          <w:numId w:val="140"/>
        </w:numPr>
        <w:ind w:left="284" w:hanging="284"/>
      </w:pPr>
      <w:r w:rsidRPr="00D808A0">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D808A0" w:rsidRDefault="000B5C96" w:rsidP="000B5C96">
      <w:pPr>
        <w:pStyle w:val="Footnotes"/>
        <w:numPr>
          <w:ilvl w:val="0"/>
          <w:numId w:val="140"/>
        </w:numPr>
        <w:ind w:left="284" w:hanging="284"/>
      </w:pPr>
      <w:r w:rsidRPr="00D808A0">
        <w:t>Figures may not sum to totals due to rounding.</w:t>
      </w:r>
    </w:p>
    <w:p w:rsidR="000B5C96" w:rsidRPr="00D808A0" w:rsidRDefault="000B5C96" w:rsidP="000B5C96">
      <w:pPr>
        <w:pStyle w:val="Footnotes"/>
        <w:numPr>
          <w:ilvl w:val="0"/>
          <w:numId w:val="114"/>
        </w:numPr>
        <w:ind w:left="284" w:hanging="284"/>
      </w:pPr>
      <w:r w:rsidRPr="00D808A0">
        <w:t>Indicates nil; .. indicates the value is not zero, but rounded to zero.</w:t>
      </w:r>
    </w:p>
    <w:p w:rsidR="000B5C96" w:rsidRDefault="000B5C96" w:rsidP="003F606A">
      <w:pPr>
        <w:pStyle w:val="BodyText"/>
      </w:pP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13" w:name="_Toc457979345"/>
      <w:bookmarkStart w:id="114" w:name="_Toc458069203"/>
      <w:r>
        <w:t>GRN028: Innovation in Agriculture</w:t>
      </w:r>
      <w:bookmarkEnd w:id="113"/>
      <w:bookmarkEnd w:id="114"/>
    </w:p>
    <w:p w:rsidR="000B5C96" w:rsidRPr="009C09D3" w:rsidRDefault="000B5C96" w:rsidP="003F606A">
      <w:pPr>
        <w:pStyle w:val="BodyText"/>
      </w:pPr>
      <w:r w:rsidRPr="009C09D3">
        <w:rPr>
          <w:noProof/>
          <w:lang w:eastAsia="en-AU"/>
        </w:rPr>
        <w:drawing>
          <wp:inline distT="0" distB="0" distL="0" distR="0" wp14:anchorId="2AC7F362" wp14:editId="53D0AF3F">
            <wp:extent cx="2696845" cy="572135"/>
            <wp:effectExtent l="0" t="0" r="8255" b="0"/>
            <wp:docPr id="13" name="Picture 1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9A0282" w:rsidRDefault="000B5C96" w:rsidP="000B5C96">
      <w:pPr>
        <w:pStyle w:val="Heading6"/>
        <w:numPr>
          <w:ilvl w:val="0"/>
          <w:numId w:val="5"/>
        </w:numPr>
        <w:tabs>
          <w:tab w:val="clear" w:pos="0"/>
          <w:tab w:val="num" w:pos="360"/>
          <w:tab w:val="right" w:pos="1418"/>
          <w:tab w:val="right" w:pos="1701"/>
          <w:tab w:val="right" w:pos="1985"/>
        </w:tabs>
      </w:pPr>
      <w:r w:rsidRPr="009A0282">
        <w:t>Policy costing—during the caretaker period for the 2016 general election</w:t>
      </w:r>
    </w:p>
    <w:tbl>
      <w:tblPr>
        <w:tblStyle w:val="TableGrid3"/>
        <w:tblW w:w="8340" w:type="dxa"/>
        <w:tblCellMar>
          <w:left w:w="108" w:type="dxa"/>
          <w:right w:w="108" w:type="dxa"/>
        </w:tblCellMar>
        <w:tblLook w:val="04A0" w:firstRow="1" w:lastRow="0" w:firstColumn="1" w:lastColumn="0" w:noHBand="0" w:noVBand="1"/>
      </w:tblPr>
      <w:tblGrid>
        <w:gridCol w:w="3005"/>
        <w:gridCol w:w="5335"/>
      </w:tblGrid>
      <w:tr w:rsidR="000B5C96" w:rsidRPr="005F19AE"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5F19AE" w:rsidRDefault="000B5C96" w:rsidP="003F606A">
            <w:pPr>
              <w:pStyle w:val="PullOutBoxHeading"/>
              <w:rPr>
                <w:b w:val="0"/>
                <w:sz w:val="22"/>
              </w:rPr>
            </w:pPr>
            <w:r w:rsidRPr="005F19AE">
              <w:rPr>
                <w:sz w:val="22"/>
              </w:rPr>
              <w:t>Name of proposal:</w:t>
            </w:r>
          </w:p>
        </w:tc>
        <w:tc>
          <w:tcPr>
            <w:tcW w:w="5335" w:type="dxa"/>
          </w:tcPr>
          <w:p w:rsidR="000B5C96" w:rsidRPr="005F19AE" w:rsidRDefault="000B5C96" w:rsidP="005F19AE">
            <w:pPr>
              <w:pStyle w:val="PullOutBoxHeading"/>
              <w:jc w:val="left"/>
              <w:cnfStyle w:val="100000000000" w:firstRow="1" w:lastRow="0" w:firstColumn="0" w:lastColumn="0" w:oddVBand="0" w:evenVBand="0" w:oddHBand="0" w:evenHBand="0" w:firstRowFirstColumn="0" w:firstRowLastColumn="0" w:lastRowFirstColumn="0" w:lastRowLastColumn="0"/>
              <w:rPr>
                <w:b w:val="0"/>
                <w:sz w:val="22"/>
              </w:rPr>
            </w:pPr>
            <w:r w:rsidRPr="005F19AE">
              <w:rPr>
                <w:sz w:val="22"/>
              </w:rPr>
              <w:t>Innovation in Agriculture</w:t>
            </w:r>
          </w:p>
        </w:tc>
      </w:tr>
      <w:tr w:rsidR="000B5C96" w:rsidRPr="005F19AE"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5F19AE" w:rsidRDefault="000B5C96" w:rsidP="003F606A">
            <w:pPr>
              <w:pStyle w:val="PullOutBoxBodyText"/>
              <w:rPr>
                <w:sz w:val="22"/>
              </w:rPr>
            </w:pPr>
            <w:r w:rsidRPr="005F19AE">
              <w:rPr>
                <w:sz w:val="22"/>
              </w:rPr>
              <w:t>Summary of proposal:</w:t>
            </w:r>
          </w:p>
        </w:tc>
        <w:tc>
          <w:tcPr>
            <w:tcW w:w="5335" w:type="dxa"/>
          </w:tcPr>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5F19AE">
              <w:rPr>
                <w:sz w:val="22"/>
              </w:rPr>
              <w:t>The proposal would:</w:t>
            </w:r>
          </w:p>
          <w:p w:rsidR="000B5C96" w:rsidRPr="005F19AE"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rPr>
                <w:sz w:val="22"/>
              </w:rPr>
            </w:pPr>
            <w:r w:rsidRPr="005F19AE">
              <w:rPr>
                <w:sz w:val="22"/>
              </w:rPr>
              <w:t>provide a capped amount of $75 million (including administration costs) over the forward estimates to agricultural research and development (R&amp;D)</w:t>
            </w:r>
          </w:p>
          <w:p w:rsidR="000B5C96" w:rsidRPr="005F19AE"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rPr>
                <w:sz w:val="22"/>
              </w:rPr>
            </w:pPr>
            <w:r w:rsidRPr="005F19AE">
              <w:rPr>
                <w:sz w:val="22"/>
              </w:rPr>
              <w:t>provide a capped amount of $100 million (including administration costs) to establish a new Centre for Sustainable Agriculture</w:t>
            </w:r>
          </w:p>
          <w:p w:rsidR="000B5C96" w:rsidRPr="005F19AE"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rPr>
                <w:sz w:val="22"/>
              </w:rPr>
            </w:pPr>
            <w:r w:rsidRPr="005F19AE">
              <w:rPr>
                <w:sz w:val="22"/>
              </w:rPr>
              <w:t>establish a national network of 180 agricultural extension officers, who would be full-time equivalent Commonwealth employees, with remuneration and on-costs equivalent to an Australian Public Service Level 6 (APS 6) employee</w:t>
            </w:r>
          </w:p>
          <w:p w:rsidR="000B5C96" w:rsidRPr="005F19AE"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rPr>
                <w:sz w:val="22"/>
              </w:rPr>
            </w:pPr>
            <w:r w:rsidRPr="005F19AE">
              <w:rPr>
                <w:sz w:val="22"/>
              </w:rPr>
              <w:t>provide an additional $722 million in capped funding for Landcare, with any administration costs to be in addition to the capped funding amount.</w:t>
            </w:r>
          </w:p>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5F19AE">
              <w:rPr>
                <w:sz w:val="22"/>
              </w:rPr>
              <w:t>The national network of agricultural extension officers would commence in 2017-18, with an enrolment period in that year.</w:t>
            </w:r>
          </w:p>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5F19AE">
              <w:rPr>
                <w:sz w:val="22"/>
              </w:rPr>
              <w:t>For all other components of the proposal, the capped funding amounts would be spread evenly over the forward estimates period.</w:t>
            </w:r>
          </w:p>
        </w:tc>
      </w:tr>
      <w:tr w:rsidR="000B5C96" w:rsidRPr="005F19AE"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5F19AE" w:rsidRDefault="000B5C96" w:rsidP="003F606A">
            <w:pPr>
              <w:pStyle w:val="PullOutBoxBodyText"/>
              <w:rPr>
                <w:sz w:val="22"/>
              </w:rPr>
            </w:pPr>
            <w:r w:rsidRPr="005F19AE">
              <w:rPr>
                <w:sz w:val="22"/>
              </w:rPr>
              <w:t>Person/party requesting costing:</w:t>
            </w:r>
          </w:p>
        </w:tc>
        <w:tc>
          <w:tcPr>
            <w:tcW w:w="5335" w:type="dxa"/>
          </w:tcPr>
          <w:p w:rsidR="000B5C96" w:rsidRPr="005F19AE"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5F19AE">
              <w:rPr>
                <w:sz w:val="22"/>
              </w:rPr>
              <w:t>Senator Richard Di Natale, Australian Greens</w:t>
            </w:r>
          </w:p>
        </w:tc>
      </w:tr>
      <w:tr w:rsidR="000B5C96" w:rsidRPr="005F19AE"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5F19AE" w:rsidRDefault="000B5C96" w:rsidP="003F606A">
            <w:pPr>
              <w:pStyle w:val="PullOutBoxBodyText"/>
              <w:rPr>
                <w:sz w:val="22"/>
              </w:rPr>
            </w:pPr>
            <w:r w:rsidRPr="005F19AE">
              <w:rPr>
                <w:sz w:val="22"/>
              </w:rPr>
              <w:t>Date of public release of policy:</w:t>
            </w:r>
          </w:p>
        </w:tc>
        <w:tc>
          <w:tcPr>
            <w:tcW w:w="5335" w:type="dxa"/>
          </w:tcPr>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5F19AE">
              <w:rPr>
                <w:sz w:val="22"/>
              </w:rPr>
              <w:t>19 May 2016</w:t>
            </w:r>
          </w:p>
          <w:p w:rsidR="000B5C96" w:rsidRPr="005F19AE" w:rsidRDefault="00E4652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hyperlink r:id="rId270" w:history="1">
              <w:r w:rsidR="000B5C96" w:rsidRPr="005F19AE">
                <w:rPr>
                  <w:color w:val="0000FF"/>
                  <w:sz w:val="22"/>
                  <w:u w:val="single"/>
                </w:rPr>
                <w:t>http://rachel-siewert.greensmps.org.au/content/media-releases/greens-launch-ag-package-would-help-innovate-agriculture-combat-climate-chang</w:t>
              </w:r>
            </w:hyperlink>
          </w:p>
        </w:tc>
      </w:tr>
      <w:tr w:rsidR="000B5C96" w:rsidRPr="005F19AE"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5F19AE" w:rsidRDefault="000B5C96" w:rsidP="003F606A">
            <w:pPr>
              <w:pStyle w:val="PullOutBoxBodyText"/>
              <w:rPr>
                <w:sz w:val="22"/>
              </w:rPr>
            </w:pPr>
            <w:r w:rsidRPr="005F19AE">
              <w:rPr>
                <w:sz w:val="22"/>
              </w:rPr>
              <w:t>Date costing request received:</w:t>
            </w:r>
          </w:p>
        </w:tc>
        <w:tc>
          <w:tcPr>
            <w:tcW w:w="5335" w:type="dxa"/>
          </w:tcPr>
          <w:p w:rsidR="000B5C96" w:rsidRPr="005F19AE"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5F19AE">
              <w:rPr>
                <w:sz w:val="22"/>
              </w:rPr>
              <w:t>27 June 2016</w:t>
            </w:r>
          </w:p>
        </w:tc>
      </w:tr>
      <w:tr w:rsidR="000B5C96" w:rsidRPr="005F19AE"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5F19AE" w:rsidRDefault="000B5C96" w:rsidP="003F606A">
            <w:pPr>
              <w:pStyle w:val="PullOutBoxBodyText"/>
              <w:rPr>
                <w:sz w:val="22"/>
              </w:rPr>
            </w:pPr>
            <w:r w:rsidRPr="005F19AE">
              <w:rPr>
                <w:sz w:val="22"/>
              </w:rPr>
              <w:t>Date costing completed:</w:t>
            </w:r>
          </w:p>
        </w:tc>
        <w:tc>
          <w:tcPr>
            <w:tcW w:w="5335" w:type="dxa"/>
          </w:tcPr>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5F19AE">
              <w:rPr>
                <w:sz w:val="22"/>
              </w:rPr>
              <w:t>29 June 2016</w:t>
            </w:r>
          </w:p>
        </w:tc>
      </w:tr>
      <w:tr w:rsidR="000B5C96" w:rsidRPr="005F19AE"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5F19AE" w:rsidRDefault="000B5C96" w:rsidP="003F606A">
            <w:pPr>
              <w:pStyle w:val="PullOutBoxBodyText"/>
              <w:rPr>
                <w:sz w:val="22"/>
              </w:rPr>
            </w:pPr>
            <w:r w:rsidRPr="005F19AE">
              <w:rPr>
                <w:sz w:val="22"/>
              </w:rPr>
              <w:t>Expiry date for the costing:</w:t>
            </w:r>
          </w:p>
        </w:tc>
        <w:tc>
          <w:tcPr>
            <w:tcW w:w="5335" w:type="dxa"/>
          </w:tcPr>
          <w:p w:rsidR="000B5C96" w:rsidRPr="005F19AE"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5F19AE">
              <w:rPr>
                <w:sz w:val="22"/>
              </w:rPr>
              <w:t>Release of the next economic and fiscal outlook report</w:t>
            </w:r>
          </w:p>
        </w:tc>
      </w:tr>
    </w:tbl>
    <w:p w:rsidR="000B5C96" w:rsidRPr="00D7096D" w:rsidRDefault="000B5C96" w:rsidP="003F606A">
      <w:pPr>
        <w:pStyle w:val="CostingsH7"/>
      </w:pPr>
      <w:r w:rsidRPr="00D7096D">
        <w:t>Costing overview</w:t>
      </w:r>
    </w:p>
    <w:p w:rsidR="000B5C96" w:rsidRPr="0013345F" w:rsidRDefault="000B5C96" w:rsidP="003F606A">
      <w:pPr>
        <w:pStyle w:val="BodyText"/>
      </w:pPr>
      <w:r w:rsidRPr="0013345F">
        <w:t xml:space="preserve">This proposal would be expected to decrease both the fiscal and underlying cash balances by $1,034.5 million over the 2016-17 Budget forward estimates period.  This reflects an increase in administered expenses of $793.1 million and an increase in departmental expenses of $241.3 million. </w:t>
      </w:r>
    </w:p>
    <w:p w:rsidR="000B5C96" w:rsidRPr="0013345F" w:rsidRDefault="000B5C96" w:rsidP="003F606A">
      <w:pPr>
        <w:pStyle w:val="BodyText"/>
      </w:pPr>
      <w:r w:rsidRPr="0013345F">
        <w:t xml:space="preserve">A breakdown of the financial implications by component for the period 2016-17 to 2019-20 is at Attachment A.  </w:t>
      </w:r>
    </w:p>
    <w:p w:rsidR="000B5C96" w:rsidRPr="0013345F" w:rsidRDefault="000B5C96" w:rsidP="003F606A">
      <w:pPr>
        <w:pStyle w:val="BodyText"/>
      </w:pPr>
      <w:r w:rsidRPr="0013345F">
        <w:t>This proposal would not be expected to have an impact beyond the 2016</w:t>
      </w:r>
      <w:r w:rsidRPr="0013345F">
        <w:noBreakHyphen/>
        <w:t>17 Budget forward estimates period as funding for the proposal would terminate on 30 June 2020.</w:t>
      </w:r>
    </w:p>
    <w:p w:rsidR="000B5C96" w:rsidRPr="0013345F" w:rsidRDefault="000B5C96" w:rsidP="003F606A">
      <w:pPr>
        <w:pStyle w:val="BodyText"/>
      </w:pPr>
      <w:r w:rsidRPr="0013345F">
        <w:t>This costing is considered to be of medium reliability.</w:t>
      </w:r>
      <w:r w:rsidRPr="0013345F" w:rsidDel="00FF0291">
        <w:t xml:space="preserve"> </w:t>
      </w:r>
      <w:r w:rsidRPr="0013345F">
        <w:t xml:space="preserve"> While the capped expenditure estimates for the R&amp;D grant component, the Centre for Sustainable Agriculture and additional funding to Landcare are as specified in the request, the associated departmental cost estimates (including for the 180 agricultural extension officers) are less certain.</w:t>
      </w:r>
    </w:p>
    <w:p w:rsidR="000B5C96" w:rsidRPr="009A0282" w:rsidRDefault="000B5C96" w:rsidP="003F606A">
      <w:pPr>
        <w:pStyle w:val="Caption"/>
      </w:pPr>
      <w:r w:rsidRPr="009A0282">
        <w:t>Table 1: Financial implications (outturn prices)</w:t>
      </w:r>
      <w:r w:rsidRPr="009A0282">
        <w:rPr>
          <w:vertAlign w:val="superscript"/>
        </w:rPr>
        <w:t>(a)(b)</w:t>
      </w:r>
    </w:p>
    <w:tbl>
      <w:tblPr>
        <w:tblStyle w:val="TableGrid3"/>
        <w:tblW w:w="4993" w:type="pct"/>
        <w:tblLook w:val="04A0" w:firstRow="1" w:lastRow="0" w:firstColumn="1" w:lastColumn="0" w:noHBand="0" w:noVBand="1"/>
      </w:tblPr>
      <w:tblGrid>
        <w:gridCol w:w="2645"/>
        <w:gridCol w:w="1134"/>
        <w:gridCol w:w="1133"/>
        <w:gridCol w:w="1133"/>
        <w:gridCol w:w="1133"/>
        <w:gridCol w:w="1132"/>
      </w:tblGrid>
      <w:tr w:rsidR="000B5C96" w:rsidRPr="009A0282"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9A0282" w:rsidRDefault="000B5C96" w:rsidP="003F606A">
            <w:pPr>
              <w:keepNext/>
              <w:keepLines/>
              <w:spacing w:line="240" w:lineRule="auto"/>
              <w:ind w:left="57" w:right="57"/>
              <w:rPr>
                <w:szCs w:val="20"/>
              </w:rPr>
            </w:pPr>
            <w:r w:rsidRPr="009A0282">
              <w:rPr>
                <w:szCs w:val="20"/>
              </w:rPr>
              <w:t>Impact on ($m)</w:t>
            </w:r>
          </w:p>
        </w:tc>
        <w:tc>
          <w:tcPr>
            <w:tcW w:w="682" w:type="pct"/>
            <w:vAlign w:val="center"/>
          </w:tcPr>
          <w:p w:rsidR="000B5C96" w:rsidRPr="009A028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A0282">
              <w:rPr>
                <w:szCs w:val="20"/>
              </w:rPr>
              <w:t>2016–17</w:t>
            </w:r>
          </w:p>
        </w:tc>
        <w:tc>
          <w:tcPr>
            <w:tcW w:w="682" w:type="pct"/>
            <w:vAlign w:val="center"/>
          </w:tcPr>
          <w:p w:rsidR="000B5C96" w:rsidRPr="009A028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A0282">
              <w:rPr>
                <w:szCs w:val="20"/>
              </w:rPr>
              <w:t>2017–18</w:t>
            </w:r>
          </w:p>
        </w:tc>
        <w:tc>
          <w:tcPr>
            <w:tcW w:w="682" w:type="pct"/>
            <w:vAlign w:val="center"/>
          </w:tcPr>
          <w:p w:rsidR="000B5C96" w:rsidRPr="009A028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A0282">
              <w:rPr>
                <w:szCs w:val="20"/>
              </w:rPr>
              <w:t>2018–19</w:t>
            </w:r>
          </w:p>
        </w:tc>
        <w:tc>
          <w:tcPr>
            <w:tcW w:w="682" w:type="pct"/>
            <w:vAlign w:val="center"/>
          </w:tcPr>
          <w:p w:rsidR="000B5C96" w:rsidRPr="009A028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A0282">
              <w:rPr>
                <w:szCs w:val="20"/>
              </w:rPr>
              <w:t>2019–20</w:t>
            </w:r>
          </w:p>
        </w:tc>
        <w:tc>
          <w:tcPr>
            <w:tcW w:w="681" w:type="pct"/>
            <w:vAlign w:val="center"/>
          </w:tcPr>
          <w:p w:rsidR="000B5C96" w:rsidRPr="009A028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A0282">
              <w:rPr>
                <w:szCs w:val="20"/>
              </w:rPr>
              <w:t>Total</w:t>
            </w:r>
          </w:p>
        </w:tc>
      </w:tr>
      <w:tr w:rsidR="000B5C96" w:rsidRPr="009A028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9A0282" w:rsidRDefault="000B5C96" w:rsidP="003F606A">
            <w:pPr>
              <w:keepNext/>
              <w:keepLines/>
              <w:spacing w:line="240" w:lineRule="auto"/>
              <w:ind w:left="57" w:right="57"/>
              <w:rPr>
                <w:szCs w:val="20"/>
              </w:rPr>
            </w:pPr>
            <w:r w:rsidRPr="009A0282">
              <w:rPr>
                <w:szCs w:val="20"/>
              </w:rPr>
              <w:t>Fiscal balance</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-241.9</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-256.1</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-268.2</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-268.2</w:t>
            </w:r>
          </w:p>
        </w:tc>
        <w:tc>
          <w:tcPr>
            <w:tcW w:w="681"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-1,034.5</w:t>
            </w:r>
          </w:p>
        </w:tc>
      </w:tr>
      <w:tr w:rsidR="000B5C96" w:rsidRPr="009A0282"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9A0282" w:rsidRDefault="000B5C96" w:rsidP="003F606A">
            <w:pPr>
              <w:keepNext/>
              <w:keepLines/>
              <w:spacing w:line="240" w:lineRule="auto"/>
              <w:ind w:left="57" w:right="57"/>
              <w:rPr>
                <w:szCs w:val="20"/>
              </w:rPr>
            </w:pPr>
            <w:r w:rsidRPr="009A0282">
              <w:rPr>
                <w:szCs w:val="20"/>
              </w:rPr>
              <w:t>Underlying cash balance</w:t>
            </w:r>
          </w:p>
        </w:tc>
        <w:tc>
          <w:tcPr>
            <w:tcW w:w="682" w:type="pct"/>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A0282">
              <w:rPr>
                <w:rFonts w:ascii="Calibri" w:hAnsi="Calibri"/>
                <w:szCs w:val="20"/>
              </w:rPr>
              <w:t>-241.9</w:t>
            </w:r>
          </w:p>
        </w:tc>
        <w:tc>
          <w:tcPr>
            <w:tcW w:w="682" w:type="pct"/>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A0282">
              <w:rPr>
                <w:rFonts w:ascii="Calibri" w:hAnsi="Calibri"/>
                <w:szCs w:val="20"/>
              </w:rPr>
              <w:t>-256.1</w:t>
            </w:r>
          </w:p>
        </w:tc>
        <w:tc>
          <w:tcPr>
            <w:tcW w:w="682" w:type="pct"/>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A0282">
              <w:rPr>
                <w:rFonts w:ascii="Calibri" w:hAnsi="Calibri"/>
                <w:szCs w:val="20"/>
              </w:rPr>
              <w:t>-268.2</w:t>
            </w:r>
          </w:p>
        </w:tc>
        <w:tc>
          <w:tcPr>
            <w:tcW w:w="682" w:type="pct"/>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A0282">
              <w:rPr>
                <w:rFonts w:ascii="Calibri" w:hAnsi="Calibri"/>
                <w:szCs w:val="20"/>
              </w:rPr>
              <w:t>-268.2</w:t>
            </w:r>
          </w:p>
        </w:tc>
        <w:tc>
          <w:tcPr>
            <w:tcW w:w="681" w:type="pct"/>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A0282">
              <w:rPr>
                <w:rFonts w:ascii="Calibri" w:hAnsi="Calibri"/>
                <w:b/>
                <w:szCs w:val="20"/>
              </w:rPr>
              <w:t>-1,034.5</w:t>
            </w:r>
          </w:p>
        </w:tc>
      </w:tr>
    </w:tbl>
    <w:p w:rsidR="000B5C96" w:rsidRPr="009A0282" w:rsidRDefault="000B5C96" w:rsidP="000B5C96">
      <w:pPr>
        <w:pStyle w:val="Footnotes"/>
        <w:numPr>
          <w:ilvl w:val="0"/>
          <w:numId w:val="141"/>
        </w:numPr>
        <w:ind w:left="284" w:hanging="284"/>
      </w:pPr>
      <w:r w:rsidRPr="009A0282">
        <w:t>A positive number indicates an increase in the relevant budget balance, a negative number a decrease.</w:t>
      </w:r>
    </w:p>
    <w:p w:rsidR="000B5C96" w:rsidRPr="009A0282" w:rsidRDefault="000B5C96" w:rsidP="000B5C96">
      <w:pPr>
        <w:pStyle w:val="Footnotes"/>
        <w:rPr>
          <w:rFonts w:ascii="Times New Roman" w:eastAsia="Times New Roman" w:hAnsi="Times New Roman"/>
          <w:lang w:eastAsia="en-AU"/>
        </w:rPr>
      </w:pPr>
      <w:r w:rsidRPr="009A0282">
        <w:t>Figures may not sum to totals due to rounding.</w:t>
      </w:r>
    </w:p>
    <w:p w:rsidR="000B5C96" w:rsidRPr="00D7096D" w:rsidRDefault="000B5C96" w:rsidP="003F606A">
      <w:pPr>
        <w:pStyle w:val="CostingsH7"/>
      </w:pPr>
      <w:r w:rsidRPr="00D7096D">
        <w:t>Key assumptions</w:t>
      </w:r>
    </w:p>
    <w:p w:rsidR="000B5C96" w:rsidRPr="0013345F" w:rsidRDefault="000B5C96" w:rsidP="003F606A">
      <w:pPr>
        <w:pStyle w:val="BodyText"/>
      </w:pPr>
      <w:r w:rsidRPr="0013345F">
        <w:t>The Parliamentary Budget Office (PBO) has made the following assumptions:</w:t>
      </w:r>
    </w:p>
    <w:p w:rsidR="000B5C96" w:rsidRPr="005276C2" w:rsidRDefault="000B5C96" w:rsidP="000B5C96">
      <w:pPr>
        <w:pStyle w:val="ListBullet"/>
        <w:keepLines w:val="0"/>
        <w:numPr>
          <w:ilvl w:val="0"/>
          <w:numId w:val="2"/>
        </w:numPr>
        <w:spacing w:before="113"/>
        <w:ind w:left="454" w:hanging="454"/>
      </w:pPr>
      <w:r w:rsidRPr="005276C2">
        <w:t>For the R&amp;D grant component, the administration costs would be equivalent to other like</w:t>
      </w:r>
      <w:r w:rsidRPr="005276C2">
        <w:noBreakHyphen/>
        <w:t>sized programs.</w:t>
      </w:r>
    </w:p>
    <w:p w:rsidR="000B5C96" w:rsidRPr="005276C2" w:rsidRDefault="000B5C96" w:rsidP="000B5C96">
      <w:pPr>
        <w:pStyle w:val="ListBullet"/>
        <w:keepLines w:val="0"/>
        <w:numPr>
          <w:ilvl w:val="0"/>
          <w:numId w:val="2"/>
        </w:numPr>
        <w:spacing w:before="113"/>
        <w:ind w:left="454" w:hanging="454"/>
      </w:pPr>
      <w:r w:rsidRPr="005276C2">
        <w:t>For the national network of agricultural extension officers, the officers would be progressively engaged across the 2016</w:t>
      </w:r>
      <w:r w:rsidRPr="005276C2">
        <w:noBreakHyphen/>
        <w:t xml:space="preserve">17 financial year. </w:t>
      </w:r>
    </w:p>
    <w:p w:rsidR="000B5C96" w:rsidRPr="005276C2" w:rsidRDefault="000B5C96" w:rsidP="000B5C96">
      <w:pPr>
        <w:pStyle w:val="ListBullet"/>
        <w:keepLines w:val="0"/>
        <w:numPr>
          <w:ilvl w:val="0"/>
          <w:numId w:val="2"/>
        </w:numPr>
        <w:spacing w:before="113"/>
        <w:ind w:left="454" w:hanging="454"/>
      </w:pPr>
      <w:r w:rsidRPr="005276C2">
        <w:t>For the additional funding to Landcare, the administration costs would be based on the proportion of administration costs of similar programs over the forward estimates.</w:t>
      </w:r>
    </w:p>
    <w:p w:rsidR="000B5C96" w:rsidRPr="00D7096D" w:rsidRDefault="000B5C96" w:rsidP="003F606A">
      <w:pPr>
        <w:pStyle w:val="CostingsH7"/>
      </w:pPr>
      <w:r w:rsidRPr="00D7096D">
        <w:t>Methodology</w:t>
      </w:r>
    </w:p>
    <w:p w:rsidR="000B5C96" w:rsidRPr="0013345F" w:rsidRDefault="000B5C96" w:rsidP="003F606A">
      <w:pPr>
        <w:pStyle w:val="BodyText"/>
      </w:pPr>
      <w:r w:rsidRPr="0013345F">
        <w:t>For the additional funding for agricultural R&amp;D, departmental expenditure estimates are accommodated within the capped funding amount as specified in the request. These estimates are based on other like programs and the estimates account for the net effect of indexation parameters and the efficiency dividend, in accordance with the Department of</w:t>
      </w:r>
      <w:r w:rsidRPr="009A0282">
        <w:t xml:space="preserve"> </w:t>
      </w:r>
      <w:r w:rsidRPr="0013345F">
        <w:t>Finance’s costing practices.  Administered expenditure estimates are the remainder of the capped funding amounts after allowing for the estimated departmental expenditure.</w:t>
      </w:r>
    </w:p>
    <w:p w:rsidR="000B5C96" w:rsidRPr="0013345F" w:rsidRDefault="000B5C96" w:rsidP="003F606A">
      <w:pPr>
        <w:pStyle w:val="BodyText"/>
      </w:pPr>
      <w:r w:rsidRPr="0013345F">
        <w:t>The capped funding to establish a new Centre for Sustainable Agriculture would consist entirely of departmental expenditure, with the amount specified in the request.</w:t>
      </w:r>
    </w:p>
    <w:p w:rsidR="000B5C96" w:rsidRPr="0013345F" w:rsidRDefault="000B5C96" w:rsidP="003F606A">
      <w:pPr>
        <w:pStyle w:val="BodyText"/>
      </w:pPr>
      <w:r w:rsidRPr="0013345F">
        <w:t>Departmental expenditure estimates for establishing 180 agricultural extension officers are estimated by applying the average cost of an APS 6 level officer  to the number of positions over 2017-18 to 2019-20, accounting for an engagement profile in 2017-18, along with a further allocation of $2.0 million per annum to administer the program.</w:t>
      </w:r>
    </w:p>
    <w:p w:rsidR="000B5C96" w:rsidRPr="0013345F" w:rsidRDefault="000B5C96" w:rsidP="003F606A">
      <w:pPr>
        <w:pStyle w:val="BodyText"/>
      </w:pPr>
      <w:r w:rsidRPr="0013345F">
        <w:t xml:space="preserve">Departmental expenditure estimates for the additional funding to Landcare are based on the departmental expenditure of Landcare and other environmental conservation programs administered by the Department of the Environment. </w:t>
      </w:r>
    </w:p>
    <w:p w:rsidR="000B5C96" w:rsidRPr="00D7096D" w:rsidRDefault="000B5C96" w:rsidP="003F606A">
      <w:pPr>
        <w:pStyle w:val="CostingsH7"/>
      </w:pPr>
      <w:r w:rsidRPr="00D7096D">
        <w:t>Data sources</w:t>
      </w:r>
    </w:p>
    <w:p w:rsidR="000B5C96" w:rsidRDefault="000B5C96" w:rsidP="000B5C96">
      <w:pPr>
        <w:pStyle w:val="ListBullet"/>
        <w:keepLines w:val="0"/>
        <w:numPr>
          <w:ilvl w:val="0"/>
          <w:numId w:val="2"/>
        </w:numPr>
        <w:spacing w:before="113"/>
        <w:ind w:left="454" w:hanging="454"/>
        <w:rPr>
          <w:lang w:eastAsia="en-AU"/>
        </w:rPr>
      </w:pPr>
      <w:r w:rsidRPr="009A0282">
        <w:rPr>
          <w:lang w:eastAsia="en-AU"/>
        </w:rPr>
        <w:t>Department of Finance provided indexation and efficiency dividend parameters.</w:t>
      </w:r>
    </w:p>
    <w:p w:rsidR="000B5C96" w:rsidRPr="00EF357C" w:rsidRDefault="000B5C96" w:rsidP="003F606A">
      <w:pPr>
        <w:keepLines/>
        <w:spacing w:after="113"/>
        <w:rPr>
          <w:rFonts w:ascii="Calibri" w:eastAsia="Times New Roman" w:hAnsi="Calibri" w:cs="Times New Roman"/>
          <w:lang w:eastAsia="en-AU"/>
        </w:rPr>
      </w:pPr>
    </w:p>
    <w:p w:rsidR="000B5C96" w:rsidRPr="009A0282" w:rsidRDefault="000B5C96" w:rsidP="003F606A">
      <w:pPr>
        <w:spacing w:after="200" w:line="276" w:lineRule="auto"/>
        <w:rPr>
          <w:rFonts w:ascii="Calibri" w:eastAsia="Calibri" w:hAnsi="Calibri" w:cs="Times New Roman"/>
        </w:rPr>
        <w:sectPr w:rsidR="000B5C96" w:rsidRPr="009A0282" w:rsidSect="003F606A">
          <w:headerReference w:type="even" r:id="rId271"/>
          <w:headerReference w:type="default" r:id="rId272"/>
          <w:footerReference w:type="even" r:id="rId273"/>
          <w:footerReference w:type="default" r:id="rId274"/>
          <w:headerReference w:type="first" r:id="rId275"/>
          <w:footerReference w:type="first" r:id="rId276"/>
          <w:footnotePr>
            <w:numRestart w:val="eachSect"/>
          </w:footnotePr>
          <w:pgSz w:w="11906" w:h="16838"/>
          <w:pgMar w:top="1361" w:right="1797" w:bottom="1474" w:left="1797" w:header="283" w:footer="454" w:gutter="0"/>
          <w:cols w:space="708"/>
          <w:docGrid w:linePitch="360"/>
        </w:sectPr>
      </w:pPr>
    </w:p>
    <w:p w:rsidR="000B5C96" w:rsidRPr="009A0282" w:rsidRDefault="000B5C96" w:rsidP="000B5C96">
      <w:pPr>
        <w:pStyle w:val="Heading6"/>
        <w:numPr>
          <w:ilvl w:val="0"/>
          <w:numId w:val="5"/>
        </w:numPr>
        <w:tabs>
          <w:tab w:val="clear" w:pos="0"/>
          <w:tab w:val="num" w:pos="360"/>
          <w:tab w:val="right" w:pos="1418"/>
          <w:tab w:val="right" w:pos="1701"/>
          <w:tab w:val="right" w:pos="1985"/>
        </w:tabs>
      </w:pPr>
      <w:r w:rsidRPr="009A0282">
        <w:t>Attachment A:  Innovation in Agriculture — financial implications</w:t>
      </w:r>
    </w:p>
    <w:p w:rsidR="000B5C96" w:rsidRPr="009A0282" w:rsidRDefault="000B5C96" w:rsidP="003F606A">
      <w:pPr>
        <w:pStyle w:val="Caption"/>
        <w:rPr>
          <w:vertAlign w:val="superscript"/>
        </w:rPr>
      </w:pPr>
      <w:r w:rsidRPr="009A0282">
        <w:t>Table A1: Innovation in Agriculture—Financial implications (outturn prices)</w:t>
      </w:r>
      <w:r w:rsidRPr="009A0282">
        <w:rPr>
          <w:vertAlign w:val="superscript"/>
        </w:rPr>
        <w:t>(a)(b)</w:t>
      </w:r>
    </w:p>
    <w:tbl>
      <w:tblPr>
        <w:tblStyle w:val="TableGrid3"/>
        <w:tblW w:w="4995" w:type="pct"/>
        <w:tblLook w:val="04A0" w:firstRow="1" w:lastRow="0" w:firstColumn="1" w:lastColumn="0" w:noHBand="0" w:noVBand="1"/>
      </w:tblPr>
      <w:tblGrid>
        <w:gridCol w:w="2645"/>
        <w:gridCol w:w="1134"/>
        <w:gridCol w:w="1134"/>
        <w:gridCol w:w="1134"/>
        <w:gridCol w:w="1134"/>
        <w:gridCol w:w="1134"/>
      </w:tblGrid>
      <w:tr w:rsidR="000B5C96" w:rsidRPr="009A0282"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vAlign w:val="center"/>
          </w:tcPr>
          <w:p w:rsidR="000B5C96" w:rsidRPr="009A0282" w:rsidRDefault="000B5C96" w:rsidP="003F606A">
            <w:pPr>
              <w:keepNext/>
              <w:keepLines/>
              <w:spacing w:line="240" w:lineRule="auto"/>
              <w:ind w:left="57" w:right="57"/>
              <w:rPr>
                <w:szCs w:val="20"/>
              </w:rPr>
            </w:pPr>
            <w:r w:rsidRPr="009A0282">
              <w:rPr>
                <w:szCs w:val="20"/>
              </w:rPr>
              <w:t>($m)</w:t>
            </w:r>
          </w:p>
        </w:tc>
        <w:tc>
          <w:tcPr>
            <w:tcW w:w="682" w:type="pct"/>
            <w:vAlign w:val="center"/>
          </w:tcPr>
          <w:p w:rsidR="000B5C96" w:rsidRPr="009A028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A0282">
              <w:t>2016–17</w:t>
            </w:r>
          </w:p>
        </w:tc>
        <w:tc>
          <w:tcPr>
            <w:tcW w:w="682" w:type="pct"/>
            <w:vAlign w:val="center"/>
          </w:tcPr>
          <w:p w:rsidR="000B5C96" w:rsidRPr="009A028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A0282">
              <w:t>2017–18</w:t>
            </w:r>
          </w:p>
        </w:tc>
        <w:tc>
          <w:tcPr>
            <w:tcW w:w="682" w:type="pct"/>
            <w:vAlign w:val="center"/>
          </w:tcPr>
          <w:p w:rsidR="000B5C96" w:rsidRPr="009A028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A0282">
              <w:t>2018–19</w:t>
            </w:r>
          </w:p>
        </w:tc>
        <w:tc>
          <w:tcPr>
            <w:tcW w:w="682" w:type="pct"/>
            <w:vAlign w:val="center"/>
          </w:tcPr>
          <w:p w:rsidR="000B5C96" w:rsidRPr="009A028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A0282">
              <w:t>2019–20</w:t>
            </w:r>
          </w:p>
        </w:tc>
        <w:tc>
          <w:tcPr>
            <w:tcW w:w="682" w:type="pct"/>
            <w:vAlign w:val="center"/>
          </w:tcPr>
          <w:p w:rsidR="000B5C96" w:rsidRPr="009A028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9A0282">
              <w:t>Total</w:t>
            </w:r>
            <w:r w:rsidRPr="009A0282">
              <w:rPr>
                <w:szCs w:val="20"/>
              </w:rPr>
              <w:t xml:space="preserve"> to 2019–20</w:t>
            </w:r>
          </w:p>
        </w:tc>
      </w:tr>
      <w:tr w:rsidR="000B5C96" w:rsidRPr="009A028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788184"/>
            </w:tcBorders>
            <w:shd w:val="clear" w:color="auto" w:fill="E9ECF3"/>
          </w:tcPr>
          <w:p w:rsidR="000B5C96" w:rsidRPr="009A0282" w:rsidRDefault="000B5C96" w:rsidP="003F606A">
            <w:pPr>
              <w:keepNext/>
              <w:keepLines/>
              <w:spacing w:line="240" w:lineRule="auto"/>
              <w:ind w:left="57" w:right="57"/>
              <w:rPr>
                <w:b/>
              </w:rPr>
            </w:pPr>
            <w:r w:rsidRPr="009A0282">
              <w:rPr>
                <w:b/>
              </w:rPr>
              <w:t>Impact on fiscal and underlying cash balances</w:t>
            </w:r>
          </w:p>
        </w:tc>
      </w:tr>
      <w:tr w:rsidR="000B5C96" w:rsidRPr="009A028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9A0282" w:rsidRDefault="000B5C96" w:rsidP="003F606A">
            <w:pPr>
              <w:spacing w:line="240" w:lineRule="auto"/>
              <w:ind w:left="57" w:right="57"/>
              <w:rPr>
                <w:b/>
              </w:rPr>
            </w:pPr>
            <w:r w:rsidRPr="009A0282">
              <w:rPr>
                <w:b/>
              </w:rPr>
              <w:t>Agricultural R&amp;D grants</w:t>
            </w:r>
          </w:p>
        </w:tc>
      </w:tr>
      <w:tr w:rsidR="000B5C96" w:rsidRPr="009A028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Pr>
          <w:p w:rsidR="000B5C96" w:rsidRPr="009A0282" w:rsidRDefault="000B5C96" w:rsidP="003F606A">
            <w:pPr>
              <w:keepNext/>
              <w:keepLines/>
              <w:spacing w:line="240" w:lineRule="auto"/>
              <w:ind w:left="57" w:right="57"/>
              <w:rPr>
                <w:szCs w:val="20"/>
              </w:rPr>
            </w:pPr>
            <w:r w:rsidRPr="009A0282">
              <w:rPr>
                <w:szCs w:val="20"/>
              </w:rPr>
              <w:t>Administered</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9A0282">
              <w:rPr>
                <w:rFonts w:ascii="Calibri" w:hAnsi="Calibri"/>
                <w:i/>
                <w:szCs w:val="20"/>
              </w:rPr>
              <w:t xml:space="preserve">-17.8 </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9A0282">
              <w:rPr>
                <w:rFonts w:ascii="Calibri" w:hAnsi="Calibri"/>
                <w:i/>
                <w:szCs w:val="20"/>
              </w:rPr>
              <w:t xml:space="preserve">-17.8 </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9A0282">
              <w:rPr>
                <w:rFonts w:ascii="Calibri" w:hAnsi="Calibri"/>
                <w:i/>
                <w:szCs w:val="20"/>
              </w:rPr>
              <w:t xml:space="preserve">-17.8 </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9A0282">
              <w:rPr>
                <w:rFonts w:ascii="Calibri" w:hAnsi="Calibri"/>
                <w:i/>
                <w:szCs w:val="20"/>
              </w:rPr>
              <w:t xml:space="preserve">-17.8 </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9A0282">
              <w:rPr>
                <w:rFonts w:ascii="Calibri" w:hAnsi="Calibri"/>
                <w:b/>
                <w:i/>
                <w:szCs w:val="20"/>
              </w:rPr>
              <w:t xml:space="preserve">-71.1 </w:t>
            </w:r>
          </w:p>
        </w:tc>
      </w:tr>
      <w:tr w:rsidR="000B5C96" w:rsidRPr="009A0282"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bottom w:val="single" w:sz="4" w:space="0" w:color="788184"/>
            </w:tcBorders>
          </w:tcPr>
          <w:p w:rsidR="000B5C96" w:rsidRPr="009A0282" w:rsidRDefault="000B5C96" w:rsidP="003F606A">
            <w:pPr>
              <w:keepNext/>
              <w:keepLines/>
              <w:spacing w:line="240" w:lineRule="auto"/>
              <w:ind w:left="57" w:right="57"/>
              <w:rPr>
                <w:szCs w:val="20"/>
              </w:rPr>
            </w:pPr>
            <w:r w:rsidRPr="009A0282">
              <w:rPr>
                <w:szCs w:val="20"/>
              </w:rPr>
              <w:t>Departmental</w:t>
            </w:r>
          </w:p>
        </w:tc>
        <w:tc>
          <w:tcPr>
            <w:tcW w:w="682" w:type="pct"/>
            <w:tcBorders>
              <w:bottom w:val="single" w:sz="4" w:space="0" w:color="788184"/>
            </w:tcBorders>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9A0282">
              <w:rPr>
                <w:rFonts w:ascii="Calibri" w:hAnsi="Calibri"/>
                <w:i/>
                <w:szCs w:val="20"/>
              </w:rPr>
              <w:t xml:space="preserve">-1.0 </w:t>
            </w:r>
          </w:p>
        </w:tc>
        <w:tc>
          <w:tcPr>
            <w:tcW w:w="682" w:type="pct"/>
            <w:tcBorders>
              <w:bottom w:val="single" w:sz="4" w:space="0" w:color="788184"/>
            </w:tcBorders>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9A0282">
              <w:rPr>
                <w:rFonts w:ascii="Calibri" w:hAnsi="Calibri"/>
                <w:i/>
                <w:szCs w:val="20"/>
              </w:rPr>
              <w:t xml:space="preserve">-1.0 </w:t>
            </w:r>
          </w:p>
        </w:tc>
        <w:tc>
          <w:tcPr>
            <w:tcW w:w="682" w:type="pct"/>
            <w:tcBorders>
              <w:bottom w:val="single" w:sz="4" w:space="0" w:color="788184"/>
            </w:tcBorders>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9A0282">
              <w:rPr>
                <w:rFonts w:ascii="Calibri" w:hAnsi="Calibri"/>
                <w:i/>
                <w:szCs w:val="20"/>
              </w:rPr>
              <w:t xml:space="preserve">-1.0 </w:t>
            </w:r>
          </w:p>
        </w:tc>
        <w:tc>
          <w:tcPr>
            <w:tcW w:w="682" w:type="pct"/>
            <w:tcBorders>
              <w:bottom w:val="single" w:sz="4" w:space="0" w:color="788184"/>
            </w:tcBorders>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9A0282">
              <w:rPr>
                <w:rFonts w:ascii="Calibri" w:hAnsi="Calibri"/>
                <w:i/>
                <w:szCs w:val="20"/>
              </w:rPr>
              <w:t xml:space="preserve">-1.0 </w:t>
            </w:r>
          </w:p>
        </w:tc>
        <w:tc>
          <w:tcPr>
            <w:tcW w:w="682" w:type="pct"/>
            <w:tcBorders>
              <w:bottom w:val="single" w:sz="4" w:space="0" w:color="788184"/>
            </w:tcBorders>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9A0282">
              <w:rPr>
                <w:rFonts w:ascii="Calibri" w:hAnsi="Calibri"/>
                <w:b/>
                <w:i/>
                <w:szCs w:val="20"/>
              </w:rPr>
              <w:t xml:space="preserve">-3.9 </w:t>
            </w:r>
          </w:p>
        </w:tc>
      </w:tr>
      <w:tr w:rsidR="000B5C96" w:rsidRPr="009A028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bottom w:val="single" w:sz="4" w:space="0" w:color="788184"/>
            </w:tcBorders>
            <w:shd w:val="clear" w:color="auto" w:fill="auto"/>
          </w:tcPr>
          <w:p w:rsidR="000B5C96" w:rsidRPr="009A0282" w:rsidRDefault="000B5C96" w:rsidP="003F606A">
            <w:pPr>
              <w:keepNext/>
              <w:keepLines/>
              <w:spacing w:line="240" w:lineRule="auto"/>
              <w:ind w:left="57" w:right="57"/>
              <w:rPr>
                <w:b/>
                <w:szCs w:val="20"/>
              </w:rPr>
            </w:pPr>
            <w:r w:rsidRPr="009A0282">
              <w:rPr>
                <w:b/>
                <w:szCs w:val="20"/>
              </w:rPr>
              <w:t>Total - Agriculture R&amp;D grants</w:t>
            </w:r>
          </w:p>
        </w:tc>
        <w:tc>
          <w:tcPr>
            <w:tcW w:w="682" w:type="pct"/>
            <w:tcBorders>
              <w:bottom w:val="single" w:sz="4" w:space="0" w:color="788184"/>
            </w:tcBorders>
            <w:shd w:val="clear" w:color="auto" w:fill="auto"/>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 xml:space="preserve">-18.8 </w:t>
            </w:r>
          </w:p>
        </w:tc>
        <w:tc>
          <w:tcPr>
            <w:tcW w:w="682" w:type="pct"/>
            <w:tcBorders>
              <w:bottom w:val="single" w:sz="4" w:space="0" w:color="788184"/>
            </w:tcBorders>
            <w:shd w:val="clear" w:color="auto" w:fill="auto"/>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 xml:space="preserve">-18.8 </w:t>
            </w:r>
          </w:p>
        </w:tc>
        <w:tc>
          <w:tcPr>
            <w:tcW w:w="682" w:type="pct"/>
            <w:tcBorders>
              <w:bottom w:val="single" w:sz="4" w:space="0" w:color="788184"/>
            </w:tcBorders>
            <w:shd w:val="clear" w:color="auto" w:fill="auto"/>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 xml:space="preserve">-18.8 </w:t>
            </w:r>
          </w:p>
        </w:tc>
        <w:tc>
          <w:tcPr>
            <w:tcW w:w="682" w:type="pct"/>
            <w:tcBorders>
              <w:bottom w:val="single" w:sz="4" w:space="0" w:color="788184"/>
            </w:tcBorders>
            <w:shd w:val="clear" w:color="auto" w:fill="auto"/>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 xml:space="preserve">-18.8 </w:t>
            </w:r>
          </w:p>
        </w:tc>
        <w:tc>
          <w:tcPr>
            <w:tcW w:w="682" w:type="pct"/>
            <w:tcBorders>
              <w:bottom w:val="single" w:sz="4" w:space="0" w:color="788184"/>
            </w:tcBorders>
            <w:shd w:val="clear" w:color="auto" w:fill="auto"/>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 xml:space="preserve">-75.0 </w:t>
            </w:r>
          </w:p>
        </w:tc>
      </w:tr>
      <w:tr w:rsidR="000B5C96" w:rsidRPr="009A028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9A0282" w:rsidRDefault="000B5C96" w:rsidP="003F606A">
            <w:pPr>
              <w:spacing w:line="240" w:lineRule="auto"/>
              <w:ind w:left="57" w:right="57"/>
              <w:rPr>
                <w:b/>
              </w:rPr>
            </w:pPr>
            <w:r w:rsidRPr="009A0282">
              <w:rPr>
                <w:b/>
              </w:rPr>
              <w:t>Centre for Sustainable Agriculture</w:t>
            </w:r>
          </w:p>
        </w:tc>
      </w:tr>
      <w:tr w:rsidR="000B5C96" w:rsidRPr="009A028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bottom w:val="single" w:sz="4" w:space="0" w:color="788184"/>
            </w:tcBorders>
          </w:tcPr>
          <w:p w:rsidR="000B5C96" w:rsidRPr="009A0282" w:rsidRDefault="000B5C96" w:rsidP="003F606A">
            <w:pPr>
              <w:keepNext/>
              <w:keepLines/>
              <w:spacing w:line="240" w:lineRule="auto"/>
              <w:ind w:left="57" w:right="57"/>
              <w:rPr>
                <w:szCs w:val="20"/>
              </w:rPr>
            </w:pPr>
            <w:r w:rsidRPr="009A0282">
              <w:rPr>
                <w:szCs w:val="20"/>
              </w:rPr>
              <w:t>Departmental</w:t>
            </w:r>
          </w:p>
        </w:tc>
        <w:tc>
          <w:tcPr>
            <w:tcW w:w="682" w:type="pct"/>
            <w:tcBorders>
              <w:bottom w:val="single" w:sz="4" w:space="0" w:color="788184"/>
            </w:tcBorders>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 xml:space="preserve">-25.0 </w:t>
            </w:r>
          </w:p>
        </w:tc>
        <w:tc>
          <w:tcPr>
            <w:tcW w:w="682" w:type="pct"/>
            <w:tcBorders>
              <w:bottom w:val="single" w:sz="4" w:space="0" w:color="788184"/>
            </w:tcBorders>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-25.0</w:t>
            </w:r>
          </w:p>
        </w:tc>
        <w:tc>
          <w:tcPr>
            <w:tcW w:w="682" w:type="pct"/>
            <w:tcBorders>
              <w:bottom w:val="single" w:sz="4" w:space="0" w:color="788184"/>
            </w:tcBorders>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-25.0</w:t>
            </w:r>
          </w:p>
        </w:tc>
        <w:tc>
          <w:tcPr>
            <w:tcW w:w="682" w:type="pct"/>
            <w:tcBorders>
              <w:bottom w:val="single" w:sz="4" w:space="0" w:color="788184"/>
            </w:tcBorders>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-25.0</w:t>
            </w:r>
          </w:p>
        </w:tc>
        <w:tc>
          <w:tcPr>
            <w:tcW w:w="682" w:type="pct"/>
            <w:tcBorders>
              <w:bottom w:val="single" w:sz="4" w:space="0" w:color="788184"/>
            </w:tcBorders>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-100.0</w:t>
            </w:r>
          </w:p>
        </w:tc>
      </w:tr>
      <w:tr w:rsidR="000B5C96" w:rsidRPr="009A028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9A0282" w:rsidRDefault="000B5C96" w:rsidP="003F606A">
            <w:pPr>
              <w:spacing w:line="240" w:lineRule="auto"/>
              <w:ind w:left="57" w:right="57"/>
              <w:rPr>
                <w:b/>
              </w:rPr>
            </w:pPr>
            <w:r w:rsidRPr="009A0282">
              <w:rPr>
                <w:b/>
                <w:szCs w:val="20"/>
              </w:rPr>
              <w:t>National network of 180 agricultural extension officers</w:t>
            </w:r>
          </w:p>
        </w:tc>
      </w:tr>
      <w:tr w:rsidR="000B5C96" w:rsidRPr="009A028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bottom w:val="single" w:sz="4" w:space="0" w:color="788184"/>
            </w:tcBorders>
          </w:tcPr>
          <w:p w:rsidR="000B5C96" w:rsidRPr="009A0282" w:rsidRDefault="000B5C96" w:rsidP="003F606A">
            <w:pPr>
              <w:keepNext/>
              <w:keepLines/>
              <w:spacing w:line="240" w:lineRule="auto"/>
              <w:ind w:left="57" w:right="57"/>
              <w:rPr>
                <w:szCs w:val="20"/>
              </w:rPr>
            </w:pPr>
            <w:r w:rsidRPr="009A0282">
              <w:rPr>
                <w:szCs w:val="20"/>
              </w:rPr>
              <w:t>Departmental</w:t>
            </w:r>
          </w:p>
        </w:tc>
        <w:tc>
          <w:tcPr>
            <w:tcW w:w="682" w:type="pct"/>
            <w:tcBorders>
              <w:bottom w:val="single" w:sz="4" w:space="0" w:color="788184"/>
            </w:tcBorders>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 xml:space="preserve"> -   </w:t>
            </w:r>
          </w:p>
        </w:tc>
        <w:tc>
          <w:tcPr>
            <w:tcW w:w="682" w:type="pct"/>
            <w:tcBorders>
              <w:bottom w:val="single" w:sz="4" w:space="0" w:color="788184"/>
            </w:tcBorders>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 xml:space="preserve">-14.2 </w:t>
            </w:r>
          </w:p>
        </w:tc>
        <w:tc>
          <w:tcPr>
            <w:tcW w:w="682" w:type="pct"/>
            <w:tcBorders>
              <w:bottom w:val="single" w:sz="4" w:space="0" w:color="788184"/>
            </w:tcBorders>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 xml:space="preserve">-26.3 </w:t>
            </w:r>
          </w:p>
        </w:tc>
        <w:tc>
          <w:tcPr>
            <w:tcW w:w="682" w:type="pct"/>
            <w:tcBorders>
              <w:bottom w:val="single" w:sz="4" w:space="0" w:color="788184"/>
            </w:tcBorders>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 xml:space="preserve">-26.3 </w:t>
            </w:r>
          </w:p>
        </w:tc>
        <w:tc>
          <w:tcPr>
            <w:tcW w:w="682" w:type="pct"/>
            <w:tcBorders>
              <w:bottom w:val="single" w:sz="4" w:space="0" w:color="788184"/>
            </w:tcBorders>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 xml:space="preserve">-66.8 </w:t>
            </w:r>
          </w:p>
        </w:tc>
      </w:tr>
      <w:tr w:rsidR="000B5C96" w:rsidRPr="009A028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788184"/>
            </w:tcBorders>
            <w:shd w:val="clear" w:color="auto" w:fill="E9ECF3"/>
          </w:tcPr>
          <w:p w:rsidR="000B5C96" w:rsidRPr="009A0282" w:rsidRDefault="000B5C96" w:rsidP="003F606A">
            <w:pPr>
              <w:spacing w:line="240" w:lineRule="auto"/>
              <w:ind w:left="57" w:right="57"/>
              <w:rPr>
                <w:b/>
              </w:rPr>
            </w:pPr>
            <w:r w:rsidRPr="009A0282">
              <w:rPr>
                <w:b/>
              </w:rPr>
              <w:t>Additional funding to Landcare</w:t>
            </w:r>
          </w:p>
        </w:tc>
      </w:tr>
      <w:tr w:rsidR="000B5C96" w:rsidRPr="009A028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shd w:val="clear" w:color="auto" w:fill="auto"/>
          </w:tcPr>
          <w:p w:rsidR="000B5C96" w:rsidRPr="009A0282" w:rsidRDefault="000B5C96" w:rsidP="003F606A">
            <w:pPr>
              <w:keepNext/>
              <w:keepLines/>
              <w:spacing w:line="240" w:lineRule="auto"/>
              <w:ind w:left="57" w:right="57"/>
              <w:rPr>
                <w:szCs w:val="20"/>
              </w:rPr>
            </w:pPr>
            <w:r w:rsidRPr="009A0282">
              <w:rPr>
                <w:szCs w:val="20"/>
              </w:rPr>
              <w:t>Administered</w:t>
            </w:r>
          </w:p>
        </w:tc>
        <w:tc>
          <w:tcPr>
            <w:tcW w:w="682" w:type="pct"/>
            <w:shd w:val="clear" w:color="auto" w:fill="auto"/>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-180.5</w:t>
            </w:r>
          </w:p>
        </w:tc>
        <w:tc>
          <w:tcPr>
            <w:tcW w:w="682" w:type="pct"/>
            <w:shd w:val="clear" w:color="auto" w:fill="auto"/>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-180.5</w:t>
            </w:r>
          </w:p>
        </w:tc>
        <w:tc>
          <w:tcPr>
            <w:tcW w:w="682" w:type="pct"/>
            <w:shd w:val="clear" w:color="auto" w:fill="auto"/>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-180.5</w:t>
            </w:r>
          </w:p>
        </w:tc>
        <w:tc>
          <w:tcPr>
            <w:tcW w:w="682" w:type="pct"/>
            <w:shd w:val="clear" w:color="auto" w:fill="auto"/>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9A0282">
              <w:rPr>
                <w:rFonts w:ascii="Calibri" w:hAnsi="Calibri"/>
                <w:szCs w:val="20"/>
              </w:rPr>
              <w:t>-180.5</w:t>
            </w:r>
          </w:p>
        </w:tc>
        <w:tc>
          <w:tcPr>
            <w:tcW w:w="682" w:type="pct"/>
            <w:shd w:val="clear" w:color="auto" w:fill="auto"/>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-722.0</w:t>
            </w:r>
          </w:p>
        </w:tc>
      </w:tr>
      <w:tr w:rsidR="000B5C96" w:rsidRPr="009A0282" w:rsidTr="003F606A">
        <w:trPr>
          <w:cantSplit/>
        </w:trPr>
        <w:tc>
          <w:tcPr>
            <w:cnfStyle w:val="001000000000" w:firstRow="0" w:lastRow="0" w:firstColumn="1" w:lastColumn="0" w:oddVBand="0" w:evenVBand="0" w:oddHBand="0" w:evenHBand="0" w:firstRowFirstColumn="0" w:firstRowLastColumn="0" w:lastRowFirstColumn="0" w:lastRowLastColumn="0"/>
            <w:tcW w:w="1590" w:type="pct"/>
          </w:tcPr>
          <w:p w:rsidR="000B5C96" w:rsidRPr="009A0282" w:rsidRDefault="000B5C96" w:rsidP="003F606A">
            <w:pPr>
              <w:keepNext/>
              <w:keepLines/>
              <w:spacing w:line="240" w:lineRule="auto"/>
              <w:ind w:left="57" w:right="57"/>
              <w:rPr>
                <w:szCs w:val="20"/>
              </w:rPr>
            </w:pPr>
            <w:r w:rsidRPr="009A0282">
              <w:rPr>
                <w:szCs w:val="20"/>
              </w:rPr>
              <w:t>Departmental</w:t>
            </w:r>
          </w:p>
        </w:tc>
        <w:tc>
          <w:tcPr>
            <w:tcW w:w="682" w:type="pct"/>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A0282">
              <w:rPr>
                <w:rFonts w:ascii="Calibri" w:hAnsi="Calibri"/>
                <w:szCs w:val="20"/>
              </w:rPr>
              <w:t>-17.7</w:t>
            </w:r>
          </w:p>
        </w:tc>
        <w:tc>
          <w:tcPr>
            <w:tcW w:w="682" w:type="pct"/>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A0282">
              <w:rPr>
                <w:rFonts w:ascii="Calibri" w:hAnsi="Calibri"/>
                <w:szCs w:val="20"/>
              </w:rPr>
              <w:t>-17.7</w:t>
            </w:r>
          </w:p>
        </w:tc>
        <w:tc>
          <w:tcPr>
            <w:tcW w:w="682" w:type="pct"/>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A0282">
              <w:rPr>
                <w:rFonts w:ascii="Calibri" w:hAnsi="Calibri"/>
                <w:szCs w:val="20"/>
              </w:rPr>
              <w:t>-17.7</w:t>
            </w:r>
          </w:p>
        </w:tc>
        <w:tc>
          <w:tcPr>
            <w:tcW w:w="682" w:type="pct"/>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A0282">
              <w:rPr>
                <w:rFonts w:ascii="Calibri" w:hAnsi="Calibri"/>
                <w:szCs w:val="20"/>
              </w:rPr>
              <w:t>-17.7</w:t>
            </w:r>
          </w:p>
        </w:tc>
        <w:tc>
          <w:tcPr>
            <w:tcW w:w="682" w:type="pct"/>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A0282">
              <w:rPr>
                <w:rFonts w:ascii="Calibri" w:hAnsi="Calibri"/>
                <w:b/>
                <w:szCs w:val="20"/>
              </w:rPr>
              <w:t>-70.7</w:t>
            </w:r>
          </w:p>
        </w:tc>
      </w:tr>
      <w:tr w:rsidR="000B5C96" w:rsidRPr="009A028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Pr>
          <w:p w:rsidR="000B5C96" w:rsidRPr="009A0282" w:rsidRDefault="000B5C96" w:rsidP="003F606A">
            <w:pPr>
              <w:keepNext/>
              <w:keepLines/>
              <w:spacing w:line="240" w:lineRule="auto"/>
              <w:ind w:left="57" w:right="57"/>
              <w:rPr>
                <w:b/>
                <w:szCs w:val="20"/>
              </w:rPr>
            </w:pPr>
            <w:r w:rsidRPr="009A0282">
              <w:rPr>
                <w:b/>
                <w:szCs w:val="20"/>
              </w:rPr>
              <w:t>Total – Additional funding to Landcare</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-198.2</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-198.2</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-198.2</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-198.2</w:t>
            </w:r>
          </w:p>
        </w:tc>
        <w:tc>
          <w:tcPr>
            <w:tcW w:w="682" w:type="pct"/>
          </w:tcPr>
          <w:p w:rsidR="000B5C96" w:rsidRPr="009A0282"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9A0282">
              <w:rPr>
                <w:rFonts w:ascii="Calibri" w:hAnsi="Calibri"/>
                <w:b/>
                <w:szCs w:val="20"/>
              </w:rPr>
              <w:t>-792.7</w:t>
            </w:r>
          </w:p>
        </w:tc>
      </w:tr>
      <w:tr w:rsidR="000B5C96" w:rsidRPr="009A0282" w:rsidTr="003F606A">
        <w:trPr>
          <w:cantSplit/>
        </w:trPr>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0B5C96" w:rsidRPr="009A0282" w:rsidRDefault="000B5C96" w:rsidP="003F606A">
            <w:pPr>
              <w:keepNext/>
              <w:keepLines/>
              <w:spacing w:line="240" w:lineRule="auto"/>
              <w:ind w:left="57" w:right="57"/>
              <w:rPr>
                <w:b/>
                <w:szCs w:val="20"/>
              </w:rPr>
            </w:pPr>
            <w:r w:rsidRPr="009A0282">
              <w:rPr>
                <w:b/>
                <w:szCs w:val="20"/>
              </w:rPr>
              <w:t>Total</w:t>
            </w:r>
          </w:p>
        </w:tc>
        <w:tc>
          <w:tcPr>
            <w:tcW w:w="682" w:type="pct"/>
            <w:shd w:val="clear" w:color="auto" w:fill="D7DDE9"/>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A0282">
              <w:rPr>
                <w:rFonts w:ascii="Calibri" w:hAnsi="Calibri"/>
                <w:b/>
                <w:szCs w:val="20"/>
              </w:rPr>
              <w:t>-241.9</w:t>
            </w:r>
          </w:p>
        </w:tc>
        <w:tc>
          <w:tcPr>
            <w:tcW w:w="682" w:type="pct"/>
            <w:shd w:val="clear" w:color="auto" w:fill="D7DDE9"/>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A0282">
              <w:rPr>
                <w:rFonts w:ascii="Calibri" w:hAnsi="Calibri"/>
                <w:b/>
                <w:szCs w:val="20"/>
              </w:rPr>
              <w:t>-256.1</w:t>
            </w:r>
          </w:p>
        </w:tc>
        <w:tc>
          <w:tcPr>
            <w:tcW w:w="682" w:type="pct"/>
            <w:shd w:val="clear" w:color="auto" w:fill="D7DDE9"/>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A0282">
              <w:rPr>
                <w:rFonts w:ascii="Calibri" w:hAnsi="Calibri"/>
                <w:b/>
                <w:szCs w:val="20"/>
              </w:rPr>
              <w:t>-268.2</w:t>
            </w:r>
          </w:p>
        </w:tc>
        <w:tc>
          <w:tcPr>
            <w:tcW w:w="682" w:type="pct"/>
            <w:shd w:val="clear" w:color="auto" w:fill="D7DDE9"/>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A0282">
              <w:rPr>
                <w:rFonts w:ascii="Calibri" w:hAnsi="Calibri"/>
                <w:b/>
                <w:szCs w:val="20"/>
              </w:rPr>
              <w:t>-268.2</w:t>
            </w:r>
          </w:p>
        </w:tc>
        <w:tc>
          <w:tcPr>
            <w:tcW w:w="682" w:type="pct"/>
            <w:shd w:val="clear" w:color="auto" w:fill="D7DDE9"/>
          </w:tcPr>
          <w:p w:rsidR="000B5C96" w:rsidRPr="009A0282"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A0282">
              <w:rPr>
                <w:rFonts w:ascii="Calibri" w:hAnsi="Calibri"/>
                <w:b/>
                <w:szCs w:val="20"/>
              </w:rPr>
              <w:t>-1,034.5</w:t>
            </w:r>
          </w:p>
        </w:tc>
      </w:tr>
    </w:tbl>
    <w:p w:rsidR="000B5C96" w:rsidRPr="000B5C96" w:rsidRDefault="000B5C96" w:rsidP="000B5C96">
      <w:pPr>
        <w:pStyle w:val="Footnotes"/>
        <w:numPr>
          <w:ilvl w:val="0"/>
          <w:numId w:val="143"/>
        </w:numPr>
        <w:ind w:left="284" w:hanging="284"/>
      </w:pPr>
      <w:r w:rsidRPr="000B5C96">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0B5C96" w:rsidRDefault="000B5C96" w:rsidP="000B5C96">
      <w:pPr>
        <w:pStyle w:val="Footnotes"/>
        <w:numPr>
          <w:ilvl w:val="0"/>
          <w:numId w:val="143"/>
        </w:numPr>
        <w:ind w:left="284" w:hanging="284"/>
      </w:pPr>
      <w:r w:rsidRPr="000B5C96">
        <w:t>Figures may not sum to totals due to rounding.</w:t>
      </w:r>
    </w:p>
    <w:p w:rsidR="000B5C96" w:rsidRPr="009A0282" w:rsidRDefault="000B5C96" w:rsidP="000B5C96">
      <w:pPr>
        <w:pStyle w:val="Footnotes"/>
        <w:numPr>
          <w:ilvl w:val="0"/>
          <w:numId w:val="114"/>
        </w:numPr>
        <w:ind w:left="284" w:hanging="284"/>
      </w:pPr>
      <w:r w:rsidRPr="009A0282">
        <w:t>Indicates nil.</w:t>
      </w:r>
    </w:p>
    <w:p w:rsidR="000B5C96" w:rsidRDefault="000B5C96" w:rsidP="003F606A">
      <w:pPr>
        <w:pStyle w:val="BodyText"/>
      </w:pP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15" w:name="_Toc457979346"/>
      <w:bookmarkStart w:id="116" w:name="_Toc458069204"/>
      <w:r>
        <w:t>GRN029: Restoring Turnbull’s R&amp;D Tax Credit Cuts</w:t>
      </w:r>
      <w:bookmarkEnd w:id="115"/>
      <w:bookmarkEnd w:id="116"/>
    </w:p>
    <w:p w:rsidR="000B5C96" w:rsidRPr="009C09D3" w:rsidRDefault="000B5C96" w:rsidP="003F606A">
      <w:pPr>
        <w:pStyle w:val="BodyText"/>
      </w:pPr>
      <w:r w:rsidRPr="009C09D3">
        <w:rPr>
          <w:noProof/>
          <w:lang w:eastAsia="en-AU"/>
        </w:rPr>
        <w:drawing>
          <wp:inline distT="0" distB="0" distL="0" distR="0" wp14:anchorId="07DFEA05" wp14:editId="34216509">
            <wp:extent cx="2696845" cy="572135"/>
            <wp:effectExtent l="0" t="0" r="8255" b="0"/>
            <wp:docPr id="14" name="Picture 1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87024C" w:rsidRDefault="000B5C96" w:rsidP="000B5C96">
      <w:pPr>
        <w:pStyle w:val="Heading6"/>
        <w:numPr>
          <w:ilvl w:val="0"/>
          <w:numId w:val="5"/>
        </w:numPr>
        <w:tabs>
          <w:tab w:val="clear" w:pos="0"/>
          <w:tab w:val="num" w:pos="360"/>
          <w:tab w:val="right" w:pos="1418"/>
          <w:tab w:val="right" w:pos="1701"/>
          <w:tab w:val="right" w:pos="1985"/>
        </w:tabs>
      </w:pPr>
      <w:r w:rsidRPr="0087024C">
        <w:t>Policy costing—during the caretaker period for the 2016 general election</w:t>
      </w:r>
    </w:p>
    <w:tbl>
      <w:tblPr>
        <w:tblStyle w:val="Style1"/>
        <w:tblW w:w="8528" w:type="dxa"/>
        <w:tblLayout w:type="fixed"/>
        <w:tblLook w:val="04A0" w:firstRow="1" w:lastRow="0" w:firstColumn="1" w:lastColumn="0" w:noHBand="0" w:noVBand="1"/>
      </w:tblPr>
      <w:tblGrid>
        <w:gridCol w:w="3085"/>
        <w:gridCol w:w="5443"/>
      </w:tblGrid>
      <w:tr w:rsidR="000B5C96" w:rsidRPr="005F19AE" w:rsidTr="003F606A">
        <w:trPr>
          <w:cnfStyle w:val="100000000000" w:firstRow="1" w:lastRow="0" w:firstColumn="0" w:lastColumn="0" w:oddVBand="0" w:evenVBand="0" w:oddHBand="0" w:evenHBand="0" w:firstRowFirstColumn="0" w:firstRowLastColumn="0" w:lastRowFirstColumn="0" w:lastRowLastColumn="0"/>
        </w:trPr>
        <w:tc>
          <w:tcPr>
            <w:tcW w:w="3085" w:type="dxa"/>
          </w:tcPr>
          <w:p w:rsidR="000B5C96" w:rsidRPr="005F19AE" w:rsidRDefault="000B5C96" w:rsidP="003F606A">
            <w:pPr>
              <w:pStyle w:val="PullOutBoxHeading"/>
              <w:rPr>
                <w:b/>
                <w:sz w:val="22"/>
              </w:rPr>
            </w:pPr>
            <w:r w:rsidRPr="005F19AE">
              <w:rPr>
                <w:b/>
                <w:sz w:val="22"/>
              </w:rPr>
              <w:t>Name of proposal:</w:t>
            </w:r>
          </w:p>
        </w:tc>
        <w:tc>
          <w:tcPr>
            <w:tcW w:w="5443" w:type="dxa"/>
          </w:tcPr>
          <w:p w:rsidR="000B5C96" w:rsidRPr="005F19AE" w:rsidRDefault="000B5C96" w:rsidP="003F606A">
            <w:pPr>
              <w:pStyle w:val="PullOutBoxHeading"/>
              <w:rPr>
                <w:b/>
                <w:sz w:val="22"/>
              </w:rPr>
            </w:pPr>
            <w:r w:rsidRPr="005F19AE">
              <w:rPr>
                <w:b/>
                <w:sz w:val="22"/>
              </w:rPr>
              <w:t>Restoring Turnbull's cuts to R&amp;D tax credits</w:t>
            </w:r>
          </w:p>
        </w:tc>
      </w:tr>
      <w:tr w:rsidR="000B5C96" w:rsidRPr="0087024C" w:rsidTr="003F606A">
        <w:tc>
          <w:tcPr>
            <w:tcW w:w="3085" w:type="dxa"/>
          </w:tcPr>
          <w:p w:rsidR="000B5C96" w:rsidRPr="0087024C" w:rsidRDefault="000B5C96" w:rsidP="003F606A">
            <w:pPr>
              <w:pStyle w:val="PullOutBoxBodyText"/>
            </w:pPr>
            <w:r w:rsidRPr="0087024C">
              <w:t>Summary of proposal:</w:t>
            </w:r>
          </w:p>
        </w:tc>
        <w:tc>
          <w:tcPr>
            <w:tcW w:w="5443" w:type="dxa"/>
          </w:tcPr>
          <w:p w:rsidR="000B5C96" w:rsidRPr="0087024C" w:rsidRDefault="000B5C96" w:rsidP="003F606A">
            <w:pPr>
              <w:pStyle w:val="PullOutBoxBodyText"/>
            </w:pPr>
            <w:r w:rsidRPr="0087024C">
              <w:t xml:space="preserve">The proposal would reverse the Government’s intended (but not legislated) policy to reduce the research and development (R&amp;D) tax offsets by 1.5 per cent in </w:t>
            </w:r>
            <w:r w:rsidRPr="0087024C">
              <w:rPr>
                <w:i/>
              </w:rPr>
              <w:t>the Tax and Superannuation Laws Amendment (2015 Measures No. 3) Bill 2015</w:t>
            </w:r>
            <w:r w:rsidRPr="0087024C">
              <w:t>.</w:t>
            </w:r>
          </w:p>
          <w:p w:rsidR="000B5C96" w:rsidRPr="0087024C" w:rsidRDefault="000B5C96" w:rsidP="003F606A">
            <w:pPr>
              <w:pStyle w:val="PullOutBoxBodyText"/>
            </w:pPr>
            <w:r w:rsidRPr="0087024C">
              <w:t>The refundable tax offset would be increased from 43.5 per cent to 45 per cent and the non-refundable tax offset would be increased from 38.5 per cent to 40 per cent.</w:t>
            </w:r>
          </w:p>
          <w:p w:rsidR="000B5C96" w:rsidRPr="0087024C" w:rsidRDefault="000B5C96" w:rsidP="003F606A">
            <w:pPr>
              <w:pStyle w:val="PullOutBoxBodyText"/>
            </w:pPr>
            <w:r w:rsidRPr="0087024C">
              <w:t>The proposal would have effect from 1 July 2016.</w:t>
            </w:r>
          </w:p>
        </w:tc>
      </w:tr>
      <w:tr w:rsidR="000B5C96" w:rsidRPr="0087024C" w:rsidTr="003F606A">
        <w:tc>
          <w:tcPr>
            <w:tcW w:w="3085" w:type="dxa"/>
          </w:tcPr>
          <w:p w:rsidR="000B5C96" w:rsidRPr="0087024C" w:rsidRDefault="000B5C96" w:rsidP="003F606A">
            <w:pPr>
              <w:pStyle w:val="PullOutBoxBodyText"/>
            </w:pPr>
            <w:r w:rsidRPr="0087024C">
              <w:t>Person/party requesting costing:</w:t>
            </w:r>
          </w:p>
        </w:tc>
        <w:tc>
          <w:tcPr>
            <w:tcW w:w="5443" w:type="dxa"/>
          </w:tcPr>
          <w:p w:rsidR="000B5C96" w:rsidRPr="0087024C" w:rsidRDefault="000B5C96" w:rsidP="003F606A">
            <w:pPr>
              <w:pStyle w:val="PullOutBoxBodyText"/>
            </w:pPr>
            <w:r w:rsidRPr="0087024C">
              <w:t>Senator Di Natale, Australian Greens</w:t>
            </w:r>
          </w:p>
        </w:tc>
      </w:tr>
      <w:tr w:rsidR="000B5C96" w:rsidRPr="0087024C" w:rsidTr="003F606A">
        <w:tc>
          <w:tcPr>
            <w:tcW w:w="3085" w:type="dxa"/>
          </w:tcPr>
          <w:p w:rsidR="000B5C96" w:rsidRPr="0087024C" w:rsidRDefault="000B5C96" w:rsidP="003F606A">
            <w:pPr>
              <w:pStyle w:val="PullOutBoxBodyText"/>
            </w:pPr>
            <w:r w:rsidRPr="0087024C">
              <w:t>Date of public release of policy:</w:t>
            </w:r>
          </w:p>
        </w:tc>
        <w:tc>
          <w:tcPr>
            <w:tcW w:w="5443" w:type="dxa"/>
          </w:tcPr>
          <w:p w:rsidR="000B5C96" w:rsidRPr="0087024C" w:rsidRDefault="000B5C96" w:rsidP="003F606A">
            <w:pPr>
              <w:pStyle w:val="PullOutBoxBodyText"/>
            </w:pPr>
            <w:r w:rsidRPr="0087024C">
              <w:t>19 May 2016</w:t>
            </w:r>
          </w:p>
          <w:p w:rsidR="000B5C96" w:rsidRPr="0087024C" w:rsidRDefault="00E46526" w:rsidP="003F606A">
            <w:pPr>
              <w:pStyle w:val="PullOutBoxBodyText"/>
              <w:rPr>
                <w:rFonts w:eastAsia="Times New Roman"/>
                <w:lang w:eastAsia="en-AU"/>
              </w:rPr>
            </w:pPr>
            <w:hyperlink r:id="rId277" w:history="1">
              <w:r w:rsidR="000B5C96" w:rsidRPr="0087024C">
                <w:rPr>
                  <w:rFonts w:eastAsia="Times New Roman"/>
                  <w:color w:val="0000FF"/>
                  <w:u w:val="single"/>
                  <w:lang w:eastAsia="en-AU"/>
                </w:rPr>
                <w:t>http://greens.org.au/sites/greens.org.au/files/20160519_Science%20and%20Research%20Initiative.pdf</w:t>
              </w:r>
            </w:hyperlink>
          </w:p>
        </w:tc>
      </w:tr>
      <w:tr w:rsidR="000B5C96" w:rsidRPr="0087024C" w:rsidTr="003F606A">
        <w:tc>
          <w:tcPr>
            <w:tcW w:w="3085" w:type="dxa"/>
          </w:tcPr>
          <w:p w:rsidR="000B5C96" w:rsidRPr="0087024C" w:rsidRDefault="000B5C96" w:rsidP="003F606A">
            <w:pPr>
              <w:pStyle w:val="PullOutBoxBodyText"/>
            </w:pPr>
            <w:r w:rsidRPr="0087024C">
              <w:t>Date costing request received:</w:t>
            </w:r>
          </w:p>
        </w:tc>
        <w:tc>
          <w:tcPr>
            <w:tcW w:w="5443" w:type="dxa"/>
          </w:tcPr>
          <w:p w:rsidR="000B5C96" w:rsidRPr="0087024C" w:rsidRDefault="000B5C96" w:rsidP="003F606A">
            <w:pPr>
              <w:pStyle w:val="PullOutBoxBodyText"/>
            </w:pPr>
            <w:r w:rsidRPr="0087024C">
              <w:t>27 June 2016</w:t>
            </w:r>
          </w:p>
        </w:tc>
      </w:tr>
      <w:tr w:rsidR="000B5C96" w:rsidRPr="0087024C" w:rsidTr="003F606A">
        <w:tc>
          <w:tcPr>
            <w:tcW w:w="3085" w:type="dxa"/>
          </w:tcPr>
          <w:p w:rsidR="000B5C96" w:rsidRPr="0087024C" w:rsidRDefault="000B5C96" w:rsidP="003F606A">
            <w:pPr>
              <w:pStyle w:val="PullOutBoxBodyText"/>
            </w:pPr>
            <w:r w:rsidRPr="0087024C">
              <w:t>Date costing completed:</w:t>
            </w:r>
          </w:p>
        </w:tc>
        <w:tc>
          <w:tcPr>
            <w:tcW w:w="5443" w:type="dxa"/>
          </w:tcPr>
          <w:p w:rsidR="000B5C96" w:rsidRPr="0087024C" w:rsidRDefault="000B5C96" w:rsidP="003F606A">
            <w:pPr>
              <w:pStyle w:val="PullOutBoxBodyText"/>
            </w:pPr>
            <w:r w:rsidRPr="0087024C">
              <w:t>28 June 2016</w:t>
            </w:r>
          </w:p>
        </w:tc>
      </w:tr>
      <w:tr w:rsidR="000B5C96" w:rsidRPr="0087024C" w:rsidTr="003F606A">
        <w:tc>
          <w:tcPr>
            <w:tcW w:w="3085" w:type="dxa"/>
          </w:tcPr>
          <w:p w:rsidR="000B5C96" w:rsidRPr="0087024C" w:rsidRDefault="000B5C96" w:rsidP="003F606A">
            <w:pPr>
              <w:pStyle w:val="PullOutBoxBodyText"/>
            </w:pPr>
            <w:r w:rsidRPr="0087024C">
              <w:t>Additional information received (including date):</w:t>
            </w:r>
          </w:p>
        </w:tc>
        <w:tc>
          <w:tcPr>
            <w:tcW w:w="5443" w:type="dxa"/>
          </w:tcPr>
          <w:p w:rsidR="000B5C96" w:rsidRPr="0087024C" w:rsidRDefault="000B5C96" w:rsidP="003F606A">
            <w:pPr>
              <w:pStyle w:val="PullOutBoxBodyText"/>
            </w:pPr>
            <w:r w:rsidRPr="0087024C">
              <w:t xml:space="preserve">On 28 June 2016, the office of Senator Di Natale advised that the start date of the policy would be 1 July 2016. </w:t>
            </w:r>
          </w:p>
        </w:tc>
      </w:tr>
      <w:tr w:rsidR="000B5C96" w:rsidRPr="0087024C" w:rsidTr="003F606A">
        <w:tc>
          <w:tcPr>
            <w:tcW w:w="3085" w:type="dxa"/>
          </w:tcPr>
          <w:p w:rsidR="000B5C96" w:rsidRPr="0087024C" w:rsidRDefault="000B5C96" w:rsidP="003F606A">
            <w:pPr>
              <w:pStyle w:val="PullOutBoxBodyText"/>
            </w:pPr>
            <w:r w:rsidRPr="0087024C">
              <w:t>Expiry date for the costing:</w:t>
            </w:r>
          </w:p>
        </w:tc>
        <w:tc>
          <w:tcPr>
            <w:tcW w:w="5443" w:type="dxa"/>
          </w:tcPr>
          <w:p w:rsidR="000B5C96" w:rsidRPr="0087024C" w:rsidRDefault="000B5C96" w:rsidP="003F606A">
            <w:pPr>
              <w:pStyle w:val="PullOutBoxBodyText"/>
            </w:pPr>
            <w:r w:rsidRPr="0087024C">
              <w:t>Release of the next economic and fiscal outlook report</w:t>
            </w:r>
          </w:p>
        </w:tc>
      </w:tr>
    </w:tbl>
    <w:p w:rsidR="000B5C96" w:rsidRPr="00D7096D" w:rsidRDefault="000B5C96" w:rsidP="003F606A">
      <w:pPr>
        <w:pStyle w:val="CostingsH7"/>
      </w:pPr>
      <w:r w:rsidRPr="00D7096D">
        <w:t>Costing overview</w:t>
      </w:r>
    </w:p>
    <w:p w:rsidR="000B5C96" w:rsidRPr="0087024C" w:rsidRDefault="000B5C96" w:rsidP="003F606A">
      <w:pPr>
        <w:pStyle w:val="BodyText"/>
      </w:pPr>
      <w:r w:rsidRPr="0087024C">
        <w:t>This proposal would be expected to decrease the fiscal balance by $690 million and decrease the underlying cash balance by $590 million over the 2016</w:t>
      </w:r>
      <w:r w:rsidRPr="0087024C">
        <w:noBreakHyphen/>
        <w:t>17 Budget forward estimates period.  The fiscal balance impact represents an increase in expenses of $380 million and a decrease in revenue of $310 million over this period.</w:t>
      </w:r>
    </w:p>
    <w:p w:rsidR="000B5C96" w:rsidRPr="0087024C" w:rsidRDefault="000B5C96" w:rsidP="003F606A">
      <w:pPr>
        <w:pStyle w:val="BodyText"/>
      </w:pPr>
      <w:r w:rsidRPr="0087024C">
        <w:rPr>
          <w:color w:val="323232"/>
        </w:rPr>
        <w:t xml:space="preserve">A breakdown of the financial implications of this proposal is presented at </w:t>
      </w:r>
      <w:r w:rsidRPr="0087024C">
        <w:rPr>
          <w:color w:val="323232"/>
          <w:u w:val="single"/>
        </w:rPr>
        <w:t>Attachment A</w:t>
      </w:r>
      <w:r w:rsidRPr="0087024C">
        <w:rPr>
          <w:color w:val="323232"/>
        </w:rPr>
        <w:t>.</w:t>
      </w:r>
    </w:p>
    <w:p w:rsidR="000B5C96" w:rsidRPr="0087024C" w:rsidRDefault="000B5C96" w:rsidP="003F606A">
      <w:pPr>
        <w:pStyle w:val="BodyText"/>
      </w:pPr>
      <w:r w:rsidRPr="0087024C">
        <w:t>This proposal would have ongoing financial impacts that extend beyond the 2016-17 Budget forward estimates period.</w:t>
      </w:r>
    </w:p>
    <w:p w:rsidR="000B5C96" w:rsidRPr="0087024C" w:rsidRDefault="000B5C96" w:rsidP="003F606A">
      <w:pPr>
        <w:pStyle w:val="BodyText"/>
      </w:pPr>
      <w:r w:rsidRPr="0087024C">
        <w:t xml:space="preserve">The proposal would not be expected to have any significant impact on departmental expenses, consistent with the 2014-15 Budget measure, </w:t>
      </w:r>
      <w:r w:rsidRPr="0087024C">
        <w:rPr>
          <w:i/>
        </w:rPr>
        <w:t>Research and Development tax incentive – reducing the rates of the refundable and non-refundable tax offsets</w:t>
      </w:r>
      <w:r w:rsidRPr="0087024C">
        <w:t>.</w:t>
      </w:r>
    </w:p>
    <w:p w:rsidR="000B5C96" w:rsidRPr="0087024C" w:rsidRDefault="000B5C96" w:rsidP="003F606A">
      <w:pPr>
        <w:pStyle w:val="BodyText"/>
      </w:pPr>
      <w:r w:rsidRPr="0087024C">
        <w:t>The underlying cash balance impact of this proposal differs from the fiscal balance impact because the refundable tax offset is treated as a budget expense, with the result that the fiscal balance impact accrues in the year that the eligible R&amp;D occurs whereas the underlying cash balance impact occurs when the refundable offset amount is paid in subsequent years.  The non-refundable tax offset is treated as a change in tax revenue and, under the tax liabilities method of accounting used for income tax, there is no material difference between the fiscal balance impact and the underlying cash balance impact.</w:t>
      </w:r>
    </w:p>
    <w:p w:rsidR="000B5C96" w:rsidRPr="0087024C" w:rsidRDefault="000B5C96" w:rsidP="003F606A">
      <w:pPr>
        <w:pStyle w:val="BodyText"/>
      </w:pPr>
      <w:r w:rsidRPr="0087024C">
        <w:t xml:space="preserve">This costing is considered to be of medium reliability as it is based on detailed data on R&amp;D offsets claimed in 2013-14, adjusted to reflect the </w:t>
      </w:r>
      <w:r w:rsidRPr="0087024C">
        <w:rPr>
          <w:i/>
        </w:rPr>
        <w:t>2016 Pre-election Economic and Fiscal Outlook</w:t>
      </w:r>
      <w:r w:rsidRPr="0087024C">
        <w:t xml:space="preserve"> parameters.</w:t>
      </w:r>
    </w:p>
    <w:p w:rsidR="000B5C96" w:rsidRPr="0087024C" w:rsidRDefault="000B5C96" w:rsidP="003F606A">
      <w:pPr>
        <w:pStyle w:val="Caption"/>
      </w:pPr>
      <w:r w:rsidRPr="0087024C">
        <w:t>Table 1: Financial implications (outturn prices)</w:t>
      </w:r>
      <w:r w:rsidRPr="0087024C">
        <w:rPr>
          <w:vertAlign w:val="superscript"/>
        </w:rPr>
        <w:t>(a)(b)</w:t>
      </w:r>
    </w:p>
    <w:tbl>
      <w:tblPr>
        <w:tblStyle w:val="TableGrid4"/>
        <w:tblW w:w="4993" w:type="pct"/>
        <w:tblLook w:val="04A0" w:firstRow="1" w:lastRow="0" w:firstColumn="1" w:lastColumn="0" w:noHBand="0" w:noVBand="1"/>
      </w:tblPr>
      <w:tblGrid>
        <w:gridCol w:w="2645"/>
        <w:gridCol w:w="1134"/>
        <w:gridCol w:w="1133"/>
        <w:gridCol w:w="1133"/>
        <w:gridCol w:w="1133"/>
        <w:gridCol w:w="1132"/>
      </w:tblGrid>
      <w:tr w:rsidR="000B5C96" w:rsidRPr="0087024C"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87024C" w:rsidRDefault="000B5C96" w:rsidP="003F606A">
            <w:pPr>
              <w:keepNext/>
              <w:keepLines/>
              <w:spacing w:line="240" w:lineRule="auto"/>
              <w:ind w:left="57" w:right="57"/>
              <w:rPr>
                <w:szCs w:val="20"/>
              </w:rPr>
            </w:pPr>
            <w:r w:rsidRPr="0087024C">
              <w:rPr>
                <w:szCs w:val="20"/>
              </w:rPr>
              <w:t>Impact on ($m)</w:t>
            </w:r>
          </w:p>
        </w:tc>
        <w:tc>
          <w:tcPr>
            <w:tcW w:w="682" w:type="pct"/>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87024C">
              <w:rPr>
                <w:szCs w:val="20"/>
              </w:rPr>
              <w:t>2016–17</w:t>
            </w:r>
          </w:p>
        </w:tc>
        <w:tc>
          <w:tcPr>
            <w:tcW w:w="682" w:type="pct"/>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87024C">
              <w:rPr>
                <w:szCs w:val="20"/>
              </w:rPr>
              <w:t>2017–18</w:t>
            </w:r>
          </w:p>
        </w:tc>
        <w:tc>
          <w:tcPr>
            <w:tcW w:w="682" w:type="pct"/>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87024C">
              <w:rPr>
                <w:szCs w:val="20"/>
              </w:rPr>
              <w:t>2018–19</w:t>
            </w:r>
          </w:p>
        </w:tc>
        <w:tc>
          <w:tcPr>
            <w:tcW w:w="682" w:type="pct"/>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87024C">
              <w:rPr>
                <w:szCs w:val="20"/>
              </w:rPr>
              <w:t>2019–20</w:t>
            </w:r>
          </w:p>
        </w:tc>
        <w:tc>
          <w:tcPr>
            <w:tcW w:w="681" w:type="pct"/>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87024C">
              <w:rPr>
                <w:szCs w:val="20"/>
              </w:rPr>
              <w:t>Total</w:t>
            </w:r>
          </w:p>
        </w:tc>
      </w:tr>
      <w:tr w:rsidR="000B5C96" w:rsidRPr="0087024C"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87024C" w:rsidRDefault="000B5C96" w:rsidP="003F606A">
            <w:pPr>
              <w:keepNext/>
              <w:keepLines/>
              <w:ind w:left="57" w:right="57"/>
              <w:rPr>
                <w:szCs w:val="20"/>
              </w:rPr>
            </w:pPr>
            <w:r w:rsidRPr="0087024C">
              <w:rPr>
                <w:szCs w:val="20"/>
              </w:rPr>
              <w:t>Fiscal balance</w:t>
            </w:r>
          </w:p>
        </w:tc>
        <w:tc>
          <w:tcPr>
            <w:tcW w:w="682" w:type="pct"/>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87024C">
              <w:rPr>
                <w:rFonts w:ascii="Calibri" w:hAnsi="Calibri"/>
              </w:rPr>
              <w:t>-90.0</w:t>
            </w:r>
          </w:p>
        </w:tc>
        <w:tc>
          <w:tcPr>
            <w:tcW w:w="682" w:type="pct"/>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87024C">
              <w:rPr>
                <w:rFonts w:ascii="Calibri" w:hAnsi="Calibri"/>
              </w:rPr>
              <w:t>-170.0</w:t>
            </w:r>
          </w:p>
        </w:tc>
        <w:tc>
          <w:tcPr>
            <w:tcW w:w="682" w:type="pct"/>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87024C">
              <w:rPr>
                <w:rFonts w:ascii="Calibri" w:hAnsi="Calibri"/>
              </w:rPr>
              <w:t>-190.0</w:t>
            </w:r>
          </w:p>
        </w:tc>
        <w:tc>
          <w:tcPr>
            <w:tcW w:w="682" w:type="pct"/>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87024C">
              <w:rPr>
                <w:rFonts w:ascii="Calibri" w:hAnsi="Calibri"/>
              </w:rPr>
              <w:t>-240.0</w:t>
            </w:r>
          </w:p>
        </w:tc>
        <w:tc>
          <w:tcPr>
            <w:tcW w:w="681" w:type="pct"/>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87024C">
              <w:rPr>
                <w:rFonts w:ascii="Calibri" w:hAnsi="Calibri"/>
              </w:rPr>
              <w:t>-690.0</w:t>
            </w:r>
          </w:p>
        </w:tc>
      </w:tr>
      <w:tr w:rsidR="000B5C96" w:rsidRPr="0087024C"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87024C" w:rsidRDefault="000B5C96" w:rsidP="003F606A">
            <w:pPr>
              <w:keepNext/>
              <w:keepLines/>
              <w:ind w:left="57" w:right="57"/>
              <w:rPr>
                <w:szCs w:val="20"/>
              </w:rPr>
            </w:pPr>
            <w:r w:rsidRPr="0087024C">
              <w:rPr>
                <w:szCs w:val="20"/>
              </w:rPr>
              <w:t>Underlying cash balance</w:t>
            </w:r>
          </w:p>
        </w:tc>
        <w:tc>
          <w:tcPr>
            <w:tcW w:w="682" w:type="pct"/>
          </w:tcPr>
          <w:p w:rsidR="000B5C96" w:rsidRPr="0087024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87024C">
              <w:rPr>
                <w:rFonts w:ascii="Calibri" w:hAnsi="Calibri"/>
                <w:szCs w:val="20"/>
              </w:rPr>
              <w:t>-</w:t>
            </w:r>
          </w:p>
        </w:tc>
        <w:tc>
          <w:tcPr>
            <w:tcW w:w="682" w:type="pct"/>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87024C">
              <w:rPr>
                <w:rFonts w:ascii="Calibri" w:hAnsi="Calibri"/>
              </w:rPr>
              <w:t>-170.0</w:t>
            </w:r>
          </w:p>
        </w:tc>
        <w:tc>
          <w:tcPr>
            <w:tcW w:w="682" w:type="pct"/>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87024C">
              <w:rPr>
                <w:rFonts w:ascii="Calibri" w:hAnsi="Calibri"/>
              </w:rPr>
              <w:t>-180.0</w:t>
            </w:r>
          </w:p>
        </w:tc>
        <w:tc>
          <w:tcPr>
            <w:tcW w:w="682" w:type="pct"/>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87024C">
              <w:rPr>
                <w:rFonts w:ascii="Calibri" w:hAnsi="Calibri"/>
              </w:rPr>
              <w:t>-240.0</w:t>
            </w:r>
          </w:p>
        </w:tc>
        <w:tc>
          <w:tcPr>
            <w:tcW w:w="681" w:type="pct"/>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87024C">
              <w:rPr>
                <w:rFonts w:ascii="Calibri" w:hAnsi="Calibri"/>
              </w:rPr>
              <w:t>-590.0</w:t>
            </w:r>
          </w:p>
        </w:tc>
      </w:tr>
    </w:tbl>
    <w:p w:rsidR="000B5C96" w:rsidRPr="0087024C" w:rsidRDefault="000B5C96" w:rsidP="000B5C96">
      <w:pPr>
        <w:pStyle w:val="Footnotes"/>
        <w:numPr>
          <w:ilvl w:val="0"/>
          <w:numId w:val="142"/>
        </w:numPr>
        <w:ind w:left="284" w:hanging="284"/>
      </w:pPr>
      <w:r w:rsidRPr="0087024C">
        <w:t>A positive number indicates an increase in the relevant budget balance, a negative number a decrease.</w:t>
      </w:r>
    </w:p>
    <w:p w:rsidR="000B5C96" w:rsidRDefault="000B5C96" w:rsidP="000B5C96">
      <w:pPr>
        <w:pStyle w:val="Footnotes"/>
        <w:numPr>
          <w:ilvl w:val="0"/>
          <w:numId w:val="142"/>
        </w:numPr>
        <w:ind w:left="284" w:hanging="284"/>
      </w:pPr>
      <w:r w:rsidRPr="0087024C">
        <w:t>Figures may not sum to totals due to rounding.</w:t>
      </w:r>
    </w:p>
    <w:p w:rsidR="000B5C96" w:rsidRPr="0087024C" w:rsidRDefault="000B5C96" w:rsidP="000B5C96">
      <w:pPr>
        <w:pStyle w:val="Footnotes"/>
        <w:numPr>
          <w:ilvl w:val="0"/>
          <w:numId w:val="114"/>
        </w:numPr>
        <w:ind w:left="284" w:hanging="284"/>
      </w:pPr>
      <w:r>
        <w:t>Indicates nil.</w:t>
      </w:r>
    </w:p>
    <w:p w:rsidR="000B5C96" w:rsidRPr="00D7096D" w:rsidRDefault="000B5C96" w:rsidP="003F606A">
      <w:pPr>
        <w:pStyle w:val="CostingsH7"/>
      </w:pPr>
      <w:r w:rsidRPr="00D7096D">
        <w:t>Key assumptions</w:t>
      </w:r>
    </w:p>
    <w:p w:rsidR="000B5C96" w:rsidRPr="0087024C" w:rsidRDefault="000B5C96" w:rsidP="000B5C96">
      <w:pPr>
        <w:pStyle w:val="ListBullet"/>
        <w:keepLines w:val="0"/>
        <w:numPr>
          <w:ilvl w:val="0"/>
          <w:numId w:val="2"/>
        </w:numPr>
        <w:spacing w:before="113"/>
        <w:ind w:left="454" w:hanging="454"/>
        <w:rPr>
          <w:lang w:eastAsia="en-AU"/>
        </w:rPr>
      </w:pPr>
      <w:r w:rsidRPr="0087024C">
        <w:rPr>
          <w:lang w:eastAsia="en-AU"/>
        </w:rPr>
        <w:t>No behavioural responses have been included in this costing because the 1.5 percentage point reductions in R&amp;D tax offset rates represent relatively small changes to the offsets.</w:t>
      </w:r>
    </w:p>
    <w:p w:rsidR="000B5C96" w:rsidRPr="0087024C" w:rsidRDefault="000B5C96" w:rsidP="000B5C96">
      <w:pPr>
        <w:pStyle w:val="ListBullet"/>
        <w:keepLines w:val="0"/>
        <w:numPr>
          <w:ilvl w:val="0"/>
          <w:numId w:val="2"/>
        </w:numPr>
        <w:spacing w:before="113"/>
        <w:ind w:left="454" w:hanging="454"/>
        <w:rPr>
          <w:lang w:eastAsia="en-AU"/>
        </w:rPr>
      </w:pPr>
      <w:r w:rsidRPr="0087024C">
        <w:rPr>
          <w:lang w:eastAsia="en-AU"/>
        </w:rPr>
        <w:t>R&amp;D tax offset claims are assumed to grow in line with nominal gross domestic product.</w:t>
      </w:r>
    </w:p>
    <w:p w:rsidR="000B5C96" w:rsidRPr="00D7096D" w:rsidRDefault="000B5C96" w:rsidP="003F606A">
      <w:pPr>
        <w:pStyle w:val="CostingsH7"/>
      </w:pPr>
      <w:r w:rsidRPr="00D7096D">
        <w:t>Methodology</w:t>
      </w:r>
    </w:p>
    <w:p w:rsidR="000B5C96" w:rsidRPr="0087024C" w:rsidRDefault="000B5C96" w:rsidP="003F606A">
      <w:pPr>
        <w:pStyle w:val="BodyText"/>
      </w:pPr>
      <w:r w:rsidRPr="0087024C">
        <w:t xml:space="preserve">The financial implications of the proposal were estimated by subtracting the amounts claimed by taxpayers using micro-simulated data at the proposed R&amp;D tax offset rates from the amounts that can be claimed by taxpayers under the R&amp;D tax offset rates that underpin the </w:t>
      </w:r>
      <w:r w:rsidRPr="0087024C">
        <w:rPr>
          <w:i/>
        </w:rPr>
        <w:t>2016 Pre-election Economic and Fiscal Outlook</w:t>
      </w:r>
      <w:r w:rsidRPr="0087024C">
        <w:t>.</w:t>
      </w:r>
    </w:p>
    <w:p w:rsidR="000B5C96" w:rsidRPr="0087024C" w:rsidRDefault="000B5C96" w:rsidP="003F606A">
      <w:pPr>
        <w:pStyle w:val="BodyText"/>
      </w:pPr>
      <w:r w:rsidRPr="0087024C">
        <w:t>Estimates have been rounded to the nearest $10 million.</w:t>
      </w:r>
    </w:p>
    <w:p w:rsidR="000B5C96" w:rsidRPr="0087024C" w:rsidRDefault="000B5C96" w:rsidP="003F606A">
      <w:pPr>
        <w:pStyle w:val="CostingsH7"/>
        <w:rPr>
          <w:rFonts w:eastAsia="Calibri"/>
        </w:rPr>
      </w:pPr>
      <w:r w:rsidRPr="0087024C">
        <w:rPr>
          <w:rFonts w:eastAsia="Calibri"/>
        </w:rPr>
        <w:t>Data sources</w:t>
      </w:r>
    </w:p>
    <w:p w:rsidR="000B5C96" w:rsidRPr="0087024C" w:rsidRDefault="000B5C96" w:rsidP="000B5C96">
      <w:pPr>
        <w:pStyle w:val="ListBullet"/>
        <w:keepNext/>
        <w:numPr>
          <w:ilvl w:val="0"/>
          <w:numId w:val="2"/>
        </w:numPr>
        <w:spacing w:before="113"/>
        <w:ind w:left="454" w:hanging="454"/>
        <w:rPr>
          <w:lang w:eastAsia="en-AU"/>
        </w:rPr>
      </w:pPr>
      <w:r w:rsidRPr="0087024C">
        <w:rPr>
          <w:lang w:eastAsia="en-AU"/>
        </w:rPr>
        <w:t>The Treasury provided the costing model for the Budget 2014</w:t>
      </w:r>
      <w:r w:rsidRPr="0087024C">
        <w:rPr>
          <w:lang w:eastAsia="en-AU"/>
        </w:rPr>
        <w:noBreakHyphen/>
        <w:t>15 measure Research and Development tax incentive – reducing the rates of the refundable and non</w:t>
      </w:r>
      <w:r w:rsidRPr="0087024C">
        <w:rPr>
          <w:lang w:eastAsia="en-AU"/>
        </w:rPr>
        <w:noBreakHyphen/>
        <w:t>refundable tax offsets.</w:t>
      </w:r>
    </w:p>
    <w:p w:rsidR="000B5C96" w:rsidRPr="0087024C" w:rsidRDefault="000B5C96" w:rsidP="000B5C96">
      <w:pPr>
        <w:pStyle w:val="ListBullet"/>
        <w:keepLines w:val="0"/>
        <w:numPr>
          <w:ilvl w:val="0"/>
          <w:numId w:val="2"/>
        </w:numPr>
        <w:spacing w:before="113"/>
        <w:ind w:left="454" w:hanging="454"/>
        <w:rPr>
          <w:lang w:eastAsia="en-AU"/>
        </w:rPr>
      </w:pPr>
      <w:r w:rsidRPr="0087024C">
        <w:rPr>
          <w:lang w:eastAsia="en-AU"/>
        </w:rPr>
        <w:t>Company R&amp;D expenditure data for 2013-14 was provided by the Australian Taxation Office.</w:t>
      </w:r>
    </w:p>
    <w:p w:rsidR="000B5C96" w:rsidRDefault="000B5C96" w:rsidP="000B5C96">
      <w:pPr>
        <w:pStyle w:val="ListBullet"/>
        <w:keepLines w:val="0"/>
        <w:numPr>
          <w:ilvl w:val="0"/>
          <w:numId w:val="2"/>
        </w:numPr>
        <w:spacing w:before="113"/>
        <w:ind w:left="454" w:hanging="454"/>
        <w:rPr>
          <w:lang w:eastAsia="en-AU"/>
        </w:rPr>
      </w:pPr>
      <w:r w:rsidRPr="0087024C">
        <w:rPr>
          <w:lang w:eastAsia="en-AU"/>
        </w:rPr>
        <w:t>2016 Pre-election Economic and Fiscal Outlook parameters.</w:t>
      </w:r>
    </w:p>
    <w:p w:rsidR="000B5C96" w:rsidRPr="00EF357C" w:rsidRDefault="000B5C96" w:rsidP="003F606A">
      <w:pPr>
        <w:keepLines/>
        <w:tabs>
          <w:tab w:val="num" w:pos="454"/>
        </w:tabs>
        <w:spacing w:after="113"/>
        <w:rPr>
          <w:rFonts w:ascii="Calibri" w:eastAsia="Times New Roman" w:hAnsi="Calibri" w:cs="Times New Roman"/>
          <w:lang w:eastAsia="en-AU"/>
        </w:rPr>
      </w:pPr>
    </w:p>
    <w:p w:rsidR="000B5C96" w:rsidRPr="0087024C" w:rsidRDefault="000B5C96" w:rsidP="003F606A">
      <w:pPr>
        <w:keepLines/>
        <w:tabs>
          <w:tab w:val="num" w:pos="454"/>
        </w:tabs>
        <w:spacing w:after="113"/>
        <w:ind w:left="454" w:hanging="454"/>
        <w:rPr>
          <w:rFonts w:ascii="Calibri" w:eastAsia="Times New Roman" w:hAnsi="Calibri" w:cs="Times New Roman"/>
          <w:highlight w:val="yellow"/>
          <w:lang w:eastAsia="en-AU"/>
        </w:rPr>
        <w:sectPr w:rsidR="000B5C96" w:rsidRPr="0087024C" w:rsidSect="003F606A">
          <w:headerReference w:type="even" r:id="rId278"/>
          <w:headerReference w:type="default" r:id="rId279"/>
          <w:footerReference w:type="even" r:id="rId280"/>
          <w:footerReference w:type="default" r:id="rId281"/>
          <w:headerReference w:type="first" r:id="rId282"/>
          <w:footerReference w:type="first" r:id="rId283"/>
          <w:footnotePr>
            <w:numRestart w:val="eachSect"/>
          </w:footnotePr>
          <w:pgSz w:w="11906" w:h="16838"/>
          <w:pgMar w:top="1361" w:right="1797" w:bottom="1474" w:left="1797" w:header="283" w:footer="454" w:gutter="0"/>
          <w:cols w:space="708"/>
          <w:docGrid w:linePitch="360"/>
        </w:sectPr>
      </w:pPr>
    </w:p>
    <w:p w:rsidR="000B5C96" w:rsidRPr="0087024C" w:rsidRDefault="000B5C96" w:rsidP="000B5C96">
      <w:pPr>
        <w:pStyle w:val="Heading6"/>
        <w:numPr>
          <w:ilvl w:val="0"/>
          <w:numId w:val="5"/>
        </w:numPr>
        <w:tabs>
          <w:tab w:val="clear" w:pos="0"/>
          <w:tab w:val="num" w:pos="360"/>
          <w:tab w:val="right" w:pos="1418"/>
          <w:tab w:val="right" w:pos="1701"/>
          <w:tab w:val="right" w:pos="1985"/>
        </w:tabs>
      </w:pPr>
      <w:r w:rsidRPr="0087024C">
        <w:t>Attachment A: Restoring Turnbull's cuts to R&amp;D tax credits—financial implications</w:t>
      </w:r>
    </w:p>
    <w:p w:rsidR="000B5C96" w:rsidRPr="003D3473" w:rsidRDefault="000B5C96" w:rsidP="003F606A">
      <w:pPr>
        <w:pStyle w:val="BodyText"/>
      </w:pPr>
      <w:r w:rsidRPr="003D3473">
        <w:t xml:space="preserve">The following tables provide a breakdown of the estimated financial impacts of the proposed changes to the R&amp;D tax offsets over the forward estimates period on a fiscal balance and underlying cash </w:t>
      </w:r>
      <w:r>
        <w:t xml:space="preserve">balance </w:t>
      </w:r>
      <w:r w:rsidRPr="003D3473">
        <w:t>basis.</w:t>
      </w:r>
    </w:p>
    <w:p w:rsidR="000B5C96" w:rsidRPr="0087024C" w:rsidRDefault="000B5C96" w:rsidP="003F606A">
      <w:pPr>
        <w:pStyle w:val="Caption"/>
        <w:rPr>
          <w:vertAlign w:val="superscript"/>
        </w:rPr>
      </w:pPr>
      <w:r w:rsidRPr="0087024C">
        <w:t>Table A1: Restoring Turnbull's cuts to R&amp;D tax credits —Fiscal balance</w:t>
      </w:r>
      <w:r w:rsidRPr="0087024C">
        <w:rPr>
          <w:vertAlign w:val="superscript"/>
        </w:rPr>
        <w:t>(a)(b)</w:t>
      </w:r>
    </w:p>
    <w:tbl>
      <w:tblPr>
        <w:tblStyle w:val="TableGrid4"/>
        <w:tblW w:w="4995" w:type="pct"/>
        <w:tblLook w:val="04A0" w:firstRow="1" w:lastRow="0" w:firstColumn="1" w:lastColumn="0" w:noHBand="0" w:noVBand="1"/>
      </w:tblPr>
      <w:tblGrid>
        <w:gridCol w:w="2645"/>
        <w:gridCol w:w="1134"/>
        <w:gridCol w:w="1134"/>
        <w:gridCol w:w="1134"/>
        <w:gridCol w:w="1134"/>
        <w:gridCol w:w="1134"/>
      </w:tblGrid>
      <w:tr w:rsidR="000B5C96" w:rsidRPr="0087024C"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0" w:type="pct"/>
            <w:vAlign w:val="center"/>
          </w:tcPr>
          <w:p w:rsidR="000B5C96" w:rsidRPr="0087024C" w:rsidRDefault="000B5C96" w:rsidP="003F606A">
            <w:pPr>
              <w:keepNext/>
              <w:keepLines/>
              <w:spacing w:line="240" w:lineRule="auto"/>
              <w:ind w:left="57" w:right="57"/>
              <w:rPr>
                <w:b/>
                <w:szCs w:val="20"/>
              </w:rPr>
            </w:pPr>
            <w:r w:rsidRPr="0087024C">
              <w:rPr>
                <w:szCs w:val="20"/>
              </w:rPr>
              <w:t>($m)</w:t>
            </w:r>
          </w:p>
        </w:tc>
        <w:tc>
          <w:tcPr>
            <w:tcW w:w="682" w:type="pct"/>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87024C">
              <w:t>2016–17</w:t>
            </w:r>
          </w:p>
        </w:tc>
        <w:tc>
          <w:tcPr>
            <w:tcW w:w="682" w:type="pct"/>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87024C">
              <w:t>2017–18</w:t>
            </w:r>
          </w:p>
        </w:tc>
        <w:tc>
          <w:tcPr>
            <w:tcW w:w="682" w:type="pct"/>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87024C">
              <w:t>2018–19</w:t>
            </w:r>
          </w:p>
        </w:tc>
        <w:tc>
          <w:tcPr>
            <w:tcW w:w="682" w:type="pct"/>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87024C">
              <w:t>2019–20</w:t>
            </w:r>
          </w:p>
        </w:tc>
        <w:tc>
          <w:tcPr>
            <w:tcW w:w="682" w:type="pct"/>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87024C">
              <w:rPr>
                <w:b/>
              </w:rPr>
              <w:t>Total to 2019–20</w:t>
            </w:r>
          </w:p>
        </w:tc>
      </w:tr>
      <w:tr w:rsidR="000B5C96" w:rsidRPr="0087024C"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0B5C96" w:rsidRPr="0087024C" w:rsidRDefault="000B5C96" w:rsidP="003F606A">
            <w:pPr>
              <w:keepNext/>
              <w:keepLines/>
              <w:ind w:left="57" w:right="57"/>
              <w:rPr>
                <w:szCs w:val="20"/>
              </w:rPr>
            </w:pPr>
            <w:r w:rsidRPr="0087024C">
              <w:t>Revenue – non-refundable tax offset</w:t>
            </w:r>
          </w:p>
        </w:tc>
        <w:tc>
          <w:tcPr>
            <w:tcW w:w="682" w:type="pct"/>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87024C">
              <w:rPr>
                <w:rFonts w:ascii="Calibri" w:hAnsi="Calibri"/>
                <w:i/>
              </w:rPr>
              <w:t>-</w:t>
            </w:r>
          </w:p>
        </w:tc>
        <w:tc>
          <w:tcPr>
            <w:tcW w:w="682" w:type="pct"/>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87024C">
              <w:rPr>
                <w:rFonts w:ascii="Calibri" w:hAnsi="Calibri"/>
                <w:i/>
              </w:rPr>
              <w:t>-80.0</w:t>
            </w:r>
          </w:p>
        </w:tc>
        <w:tc>
          <w:tcPr>
            <w:tcW w:w="682" w:type="pct"/>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87024C">
              <w:rPr>
                <w:rFonts w:ascii="Calibri" w:hAnsi="Calibri"/>
                <w:i/>
              </w:rPr>
              <w:t>-90.0</w:t>
            </w:r>
          </w:p>
        </w:tc>
        <w:tc>
          <w:tcPr>
            <w:tcW w:w="682" w:type="pct"/>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87024C">
              <w:rPr>
                <w:rFonts w:ascii="Calibri" w:hAnsi="Calibri"/>
                <w:i/>
              </w:rPr>
              <w:t>-140.0</w:t>
            </w:r>
          </w:p>
        </w:tc>
        <w:tc>
          <w:tcPr>
            <w:tcW w:w="682" w:type="pct"/>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87024C">
              <w:rPr>
                <w:rFonts w:ascii="Calibri" w:hAnsi="Calibri"/>
                <w:b/>
                <w:i/>
              </w:rPr>
              <w:t>-310.0</w:t>
            </w:r>
          </w:p>
        </w:tc>
      </w:tr>
      <w:tr w:rsidR="000B5C96" w:rsidRPr="0087024C" w:rsidTr="003F606A">
        <w:tc>
          <w:tcPr>
            <w:cnfStyle w:val="001000000000" w:firstRow="0" w:lastRow="0" w:firstColumn="1" w:lastColumn="0" w:oddVBand="0" w:evenVBand="0" w:oddHBand="0" w:evenHBand="0" w:firstRowFirstColumn="0" w:firstRowLastColumn="0" w:lastRowFirstColumn="0" w:lastRowLastColumn="0"/>
            <w:tcW w:w="1590" w:type="pct"/>
          </w:tcPr>
          <w:p w:rsidR="000B5C96" w:rsidRPr="0087024C" w:rsidRDefault="000B5C96" w:rsidP="003F606A">
            <w:pPr>
              <w:keepNext/>
              <w:keepLines/>
              <w:ind w:left="57" w:right="57"/>
              <w:rPr>
                <w:szCs w:val="20"/>
              </w:rPr>
            </w:pPr>
            <w:r w:rsidRPr="0087024C">
              <w:t>Expense – refundable tax offset</w:t>
            </w:r>
          </w:p>
        </w:tc>
        <w:tc>
          <w:tcPr>
            <w:tcW w:w="682" w:type="pct"/>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87024C">
              <w:rPr>
                <w:rFonts w:ascii="Calibri" w:hAnsi="Calibri"/>
                <w:i/>
              </w:rPr>
              <w:t>-90.0</w:t>
            </w:r>
          </w:p>
        </w:tc>
        <w:tc>
          <w:tcPr>
            <w:tcW w:w="682" w:type="pct"/>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87024C">
              <w:rPr>
                <w:rFonts w:ascii="Calibri" w:hAnsi="Calibri"/>
                <w:i/>
              </w:rPr>
              <w:t>-90.0</w:t>
            </w:r>
          </w:p>
        </w:tc>
        <w:tc>
          <w:tcPr>
            <w:tcW w:w="682" w:type="pct"/>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87024C">
              <w:rPr>
                <w:rFonts w:ascii="Calibri" w:hAnsi="Calibri"/>
                <w:i/>
              </w:rPr>
              <w:t>-100.0</w:t>
            </w:r>
          </w:p>
        </w:tc>
        <w:tc>
          <w:tcPr>
            <w:tcW w:w="682" w:type="pct"/>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87024C">
              <w:rPr>
                <w:rFonts w:ascii="Calibri" w:hAnsi="Calibri"/>
                <w:i/>
              </w:rPr>
              <w:t>-100.0</w:t>
            </w:r>
          </w:p>
        </w:tc>
        <w:tc>
          <w:tcPr>
            <w:tcW w:w="682" w:type="pct"/>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87024C">
              <w:rPr>
                <w:rFonts w:ascii="Calibri" w:hAnsi="Calibri"/>
                <w:b/>
                <w:i/>
              </w:rPr>
              <w:t>-380.0</w:t>
            </w:r>
          </w:p>
        </w:tc>
      </w:tr>
      <w:tr w:rsidR="000B5C96" w:rsidRPr="0087024C"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0B5C96" w:rsidRPr="0087024C" w:rsidRDefault="000B5C96" w:rsidP="003F606A">
            <w:pPr>
              <w:keepNext/>
              <w:keepLines/>
              <w:ind w:left="57" w:right="57"/>
              <w:rPr>
                <w:b/>
                <w:szCs w:val="20"/>
              </w:rPr>
            </w:pPr>
            <w:r w:rsidRPr="0087024C">
              <w:rPr>
                <w:b/>
                <w:szCs w:val="20"/>
              </w:rPr>
              <w:t>Total</w:t>
            </w:r>
          </w:p>
        </w:tc>
        <w:tc>
          <w:tcPr>
            <w:tcW w:w="682" w:type="pct"/>
            <w:shd w:val="clear" w:color="auto" w:fill="D7DDE9"/>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87024C">
              <w:rPr>
                <w:rFonts w:ascii="Calibri" w:hAnsi="Calibri"/>
                <w:b/>
              </w:rPr>
              <w:t>-90.0</w:t>
            </w:r>
          </w:p>
        </w:tc>
        <w:tc>
          <w:tcPr>
            <w:tcW w:w="682" w:type="pct"/>
            <w:shd w:val="clear" w:color="auto" w:fill="D7DDE9"/>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87024C">
              <w:rPr>
                <w:rFonts w:ascii="Calibri" w:hAnsi="Calibri"/>
                <w:b/>
              </w:rPr>
              <w:t>-170.0</w:t>
            </w:r>
          </w:p>
        </w:tc>
        <w:tc>
          <w:tcPr>
            <w:tcW w:w="682" w:type="pct"/>
            <w:shd w:val="clear" w:color="auto" w:fill="D7DDE9"/>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87024C">
              <w:rPr>
                <w:rFonts w:ascii="Calibri" w:hAnsi="Calibri"/>
                <w:b/>
              </w:rPr>
              <w:t>-190.0</w:t>
            </w:r>
          </w:p>
        </w:tc>
        <w:tc>
          <w:tcPr>
            <w:tcW w:w="682" w:type="pct"/>
            <w:shd w:val="clear" w:color="auto" w:fill="D7DDE9"/>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87024C">
              <w:rPr>
                <w:rFonts w:ascii="Calibri" w:hAnsi="Calibri"/>
                <w:b/>
              </w:rPr>
              <w:t>-240.0</w:t>
            </w:r>
          </w:p>
        </w:tc>
        <w:tc>
          <w:tcPr>
            <w:tcW w:w="682" w:type="pct"/>
            <w:shd w:val="clear" w:color="auto" w:fill="D7DDE9"/>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87024C">
              <w:rPr>
                <w:rFonts w:ascii="Calibri" w:hAnsi="Calibri"/>
                <w:b/>
              </w:rPr>
              <w:t>-690.0</w:t>
            </w:r>
          </w:p>
        </w:tc>
      </w:tr>
    </w:tbl>
    <w:p w:rsidR="000B5C96" w:rsidRPr="0087024C" w:rsidRDefault="000B5C96" w:rsidP="000B5C96">
      <w:pPr>
        <w:pStyle w:val="Footnotes"/>
        <w:numPr>
          <w:ilvl w:val="0"/>
          <w:numId w:val="144"/>
        </w:numPr>
        <w:ind w:left="284" w:hanging="284"/>
      </w:pPr>
      <w:r w:rsidRPr="0087024C">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EF357C" w:rsidRDefault="000B5C96" w:rsidP="000B5C96">
      <w:pPr>
        <w:pStyle w:val="Footnotes"/>
        <w:numPr>
          <w:ilvl w:val="0"/>
          <w:numId w:val="144"/>
        </w:numPr>
        <w:ind w:left="284" w:hanging="284"/>
      </w:pPr>
      <w:r w:rsidRPr="00EF357C">
        <w:t>Figures may not sum to totals due to rounding.</w:t>
      </w:r>
    </w:p>
    <w:p w:rsidR="000B5C96" w:rsidRPr="0087024C" w:rsidRDefault="000B5C96" w:rsidP="003F606A">
      <w:pPr>
        <w:pStyle w:val="Footnotes"/>
        <w:numPr>
          <w:ilvl w:val="0"/>
          <w:numId w:val="0"/>
        </w:numPr>
        <w:ind w:left="284" w:hanging="284"/>
      </w:pPr>
      <w:r w:rsidRPr="0087024C">
        <w:t>-</w:t>
      </w:r>
      <w:r w:rsidRPr="0087024C">
        <w:tab/>
        <w:t>Indicates nil.</w:t>
      </w:r>
    </w:p>
    <w:p w:rsidR="000B5C96" w:rsidRPr="0087024C" w:rsidRDefault="000B5C96" w:rsidP="003F606A">
      <w:pPr>
        <w:pStyle w:val="Caption"/>
        <w:rPr>
          <w:vertAlign w:val="superscript"/>
        </w:rPr>
      </w:pPr>
      <w:r w:rsidRPr="0087024C">
        <w:t>Table A2: Restoring Turnbull's cuts to R&amp;D tax credits —Underlying cash balance</w:t>
      </w:r>
      <w:r w:rsidRPr="0087024C">
        <w:rPr>
          <w:vertAlign w:val="superscript"/>
        </w:rPr>
        <w:t>(a)(b)</w:t>
      </w:r>
    </w:p>
    <w:tbl>
      <w:tblPr>
        <w:tblStyle w:val="TableGrid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87024C"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87024C" w:rsidRDefault="000B5C96" w:rsidP="003F606A">
            <w:pPr>
              <w:keepNext/>
              <w:keepLines/>
              <w:spacing w:line="240" w:lineRule="auto"/>
              <w:ind w:left="57" w:right="57"/>
              <w:rPr>
                <w:b/>
                <w:szCs w:val="20"/>
              </w:rPr>
            </w:pPr>
            <w:r w:rsidRPr="0087024C">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87024C">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87024C">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87024C">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87024C">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87024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87024C">
              <w:rPr>
                <w:b/>
              </w:rPr>
              <w:t>Total</w:t>
            </w:r>
            <w:r w:rsidRPr="0087024C">
              <w:rPr>
                <w:b/>
                <w:szCs w:val="20"/>
              </w:rPr>
              <w:t xml:space="preserve"> to 2019–20</w:t>
            </w:r>
          </w:p>
        </w:tc>
      </w:tr>
      <w:tr w:rsidR="000B5C96" w:rsidRPr="0087024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87024C" w:rsidRDefault="000B5C96" w:rsidP="003F606A">
            <w:pPr>
              <w:keepNext/>
              <w:keepLines/>
              <w:ind w:left="57" w:right="57"/>
              <w:rPr>
                <w:szCs w:val="20"/>
              </w:rPr>
            </w:pPr>
            <w:r w:rsidRPr="0087024C">
              <w:t>Receipts – non-refundable tax offset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87024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87024C">
              <w:rPr>
                <w:rFonts w:ascii="Calibri" w:hAnsi="Calibri"/>
                <w:i/>
              </w:rPr>
              <w:t>-80.0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87024C">
              <w:rPr>
                <w:rFonts w:ascii="Calibri" w:hAnsi="Calibri"/>
                <w:i/>
              </w:rPr>
              <w:t>-90.0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87024C">
              <w:rPr>
                <w:rFonts w:ascii="Calibri" w:hAnsi="Calibri"/>
                <w:i/>
              </w:rPr>
              <w:t>-140.0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87024C">
              <w:rPr>
                <w:rFonts w:ascii="Calibri" w:hAnsi="Calibri"/>
                <w:b/>
                <w:i/>
              </w:rPr>
              <w:t>-310.0</w:t>
            </w:r>
          </w:p>
        </w:tc>
      </w:tr>
      <w:tr w:rsidR="000B5C96" w:rsidRPr="0087024C"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87024C" w:rsidRDefault="000B5C96" w:rsidP="003F606A">
            <w:pPr>
              <w:keepNext/>
              <w:keepLines/>
              <w:ind w:left="57" w:right="57"/>
              <w:rPr>
                <w:szCs w:val="20"/>
              </w:rPr>
            </w:pPr>
            <w:r w:rsidRPr="0087024C">
              <w:t>Payments – refundable tax offset</w:t>
            </w:r>
          </w:p>
        </w:tc>
        <w:tc>
          <w:tcPr>
            <w:tcW w:w="682" w:type="pct"/>
            <w:tcBorders>
              <w:top w:val="single" w:sz="4" w:space="0" w:color="788184"/>
              <w:left w:val="single" w:sz="4" w:space="0" w:color="788184"/>
              <w:bottom w:val="single" w:sz="4" w:space="0" w:color="788184"/>
              <w:right w:val="single" w:sz="4" w:space="0" w:color="788184"/>
            </w:tcBorders>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87024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87024C">
              <w:rPr>
                <w:rFonts w:ascii="Calibri" w:hAnsi="Calibri"/>
                <w:i/>
              </w:rPr>
              <w:t>-90.0</w:t>
            </w:r>
          </w:p>
        </w:tc>
        <w:tc>
          <w:tcPr>
            <w:tcW w:w="682" w:type="pct"/>
            <w:tcBorders>
              <w:top w:val="single" w:sz="4" w:space="0" w:color="788184"/>
              <w:left w:val="single" w:sz="4" w:space="0" w:color="788184"/>
              <w:bottom w:val="single" w:sz="4" w:space="0" w:color="788184"/>
              <w:right w:val="single" w:sz="4" w:space="0" w:color="788184"/>
            </w:tcBorders>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87024C">
              <w:rPr>
                <w:rFonts w:ascii="Calibri" w:hAnsi="Calibri"/>
                <w:i/>
              </w:rPr>
              <w:t>-90.0</w:t>
            </w:r>
          </w:p>
        </w:tc>
        <w:tc>
          <w:tcPr>
            <w:tcW w:w="682" w:type="pct"/>
            <w:tcBorders>
              <w:top w:val="single" w:sz="4" w:space="0" w:color="788184"/>
              <w:left w:val="single" w:sz="4" w:space="0" w:color="788184"/>
              <w:bottom w:val="single" w:sz="4" w:space="0" w:color="788184"/>
              <w:right w:val="single" w:sz="4" w:space="0" w:color="788184"/>
            </w:tcBorders>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87024C">
              <w:rPr>
                <w:rFonts w:ascii="Calibri" w:hAnsi="Calibri"/>
                <w:i/>
              </w:rPr>
              <w:t>-100.0</w:t>
            </w:r>
          </w:p>
        </w:tc>
        <w:tc>
          <w:tcPr>
            <w:tcW w:w="682" w:type="pct"/>
            <w:tcBorders>
              <w:top w:val="single" w:sz="4" w:space="0" w:color="788184"/>
              <w:left w:val="single" w:sz="4" w:space="0" w:color="788184"/>
              <w:bottom w:val="single" w:sz="4" w:space="0" w:color="788184"/>
              <w:right w:val="single" w:sz="4" w:space="0" w:color="788184"/>
            </w:tcBorders>
          </w:tcPr>
          <w:p w:rsidR="000B5C96" w:rsidRPr="0087024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87024C">
              <w:rPr>
                <w:rFonts w:ascii="Calibri" w:hAnsi="Calibri"/>
                <w:b/>
                <w:i/>
              </w:rPr>
              <w:t>-280.0</w:t>
            </w:r>
          </w:p>
        </w:tc>
      </w:tr>
      <w:tr w:rsidR="000B5C96" w:rsidRPr="0087024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87024C" w:rsidRDefault="000B5C96" w:rsidP="003F606A">
            <w:pPr>
              <w:keepNext/>
              <w:keepLines/>
              <w:ind w:left="57" w:right="57"/>
              <w:rPr>
                <w:b/>
                <w:szCs w:val="20"/>
              </w:rPr>
            </w:pPr>
            <w:r w:rsidRPr="0087024C">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87024C">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87024C">
              <w:rPr>
                <w:rFonts w:ascii="Calibri" w:hAnsi="Calibri"/>
                <w:b/>
              </w:rPr>
              <w:t>-170.0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87024C">
              <w:rPr>
                <w:rFonts w:ascii="Calibri" w:hAnsi="Calibri"/>
                <w:b/>
              </w:rPr>
              <w:t>-180.0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87024C">
              <w:rPr>
                <w:rFonts w:ascii="Calibri" w:hAnsi="Calibri"/>
                <w:b/>
              </w:rPr>
              <w:t>-240.0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87024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87024C">
              <w:rPr>
                <w:rFonts w:ascii="Calibri" w:hAnsi="Calibri"/>
                <w:b/>
              </w:rPr>
              <w:t>-590.0</w:t>
            </w:r>
          </w:p>
        </w:tc>
      </w:tr>
    </w:tbl>
    <w:p w:rsidR="000B5C96" w:rsidRPr="0087024C" w:rsidRDefault="000B5C96" w:rsidP="000B5C96">
      <w:pPr>
        <w:pStyle w:val="Footnotes"/>
        <w:numPr>
          <w:ilvl w:val="0"/>
          <w:numId w:val="145"/>
        </w:numPr>
        <w:ind w:left="284" w:hanging="284"/>
      </w:pPr>
      <w:r w:rsidRPr="0087024C">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87024C" w:rsidRDefault="000B5C96" w:rsidP="000B5C96">
      <w:pPr>
        <w:pStyle w:val="Footnotes"/>
        <w:numPr>
          <w:ilvl w:val="0"/>
          <w:numId w:val="145"/>
        </w:numPr>
        <w:ind w:left="284" w:hanging="284"/>
      </w:pPr>
      <w:r w:rsidRPr="0087024C">
        <w:t>Figures may not sum to totals due to rounding.</w:t>
      </w:r>
    </w:p>
    <w:p w:rsidR="000B5C96" w:rsidRPr="0087024C" w:rsidRDefault="000B5C96" w:rsidP="003F606A">
      <w:pPr>
        <w:pStyle w:val="Footnotes"/>
        <w:numPr>
          <w:ilvl w:val="0"/>
          <w:numId w:val="0"/>
        </w:numPr>
        <w:ind w:left="284" w:hanging="284"/>
      </w:pPr>
      <w:r w:rsidRPr="0087024C">
        <w:t>-</w:t>
      </w:r>
      <w:r w:rsidRPr="0087024C">
        <w:tab/>
        <w:t>Indicates nil.</w:t>
      </w:r>
    </w:p>
    <w:p w:rsidR="000B5C96" w:rsidRDefault="000B5C96" w:rsidP="003F606A">
      <w:pPr>
        <w:pStyle w:val="BodyText"/>
      </w:pP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17" w:name="_Toc457979347"/>
      <w:bookmarkStart w:id="118" w:name="_Toc458069205"/>
      <w:r>
        <w:t>GRN030: A New Assistance Payment for Childcare</w:t>
      </w:r>
      <w:bookmarkEnd w:id="117"/>
      <w:bookmarkEnd w:id="118"/>
    </w:p>
    <w:p w:rsidR="000B5C96" w:rsidRPr="009C09D3" w:rsidRDefault="000B5C96" w:rsidP="003F606A">
      <w:pPr>
        <w:pStyle w:val="BodyText"/>
      </w:pPr>
      <w:r w:rsidRPr="009C09D3">
        <w:rPr>
          <w:noProof/>
          <w:lang w:eastAsia="en-AU"/>
        </w:rPr>
        <w:drawing>
          <wp:inline distT="0" distB="0" distL="0" distR="0" wp14:anchorId="002DCBFC" wp14:editId="77F7417C">
            <wp:extent cx="2696845" cy="572135"/>
            <wp:effectExtent l="0" t="0" r="8255" b="0"/>
            <wp:docPr id="16" name="Picture 1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7B738B" w:rsidRDefault="000B5C96" w:rsidP="000B5C96">
      <w:pPr>
        <w:pStyle w:val="Heading6"/>
        <w:numPr>
          <w:ilvl w:val="0"/>
          <w:numId w:val="5"/>
        </w:numPr>
        <w:tabs>
          <w:tab w:val="clear" w:pos="0"/>
          <w:tab w:val="num" w:pos="360"/>
          <w:tab w:val="right" w:pos="1418"/>
          <w:tab w:val="right" w:pos="1701"/>
          <w:tab w:val="right" w:pos="1985"/>
        </w:tabs>
      </w:pPr>
      <w:r w:rsidRPr="007B738B">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427620"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427620" w:rsidRDefault="000B5C96" w:rsidP="003F606A">
            <w:pPr>
              <w:pStyle w:val="PullOutBoxHeading"/>
              <w:rPr>
                <w:b/>
                <w:sz w:val="22"/>
              </w:rPr>
            </w:pPr>
            <w:r w:rsidRPr="00427620">
              <w:rPr>
                <w:b/>
                <w:sz w:val="22"/>
              </w:rPr>
              <w:t>Name of proposal:</w:t>
            </w:r>
          </w:p>
        </w:tc>
        <w:tc>
          <w:tcPr>
            <w:tcW w:w="5335" w:type="dxa"/>
          </w:tcPr>
          <w:p w:rsidR="000B5C96" w:rsidRPr="00427620" w:rsidRDefault="000B5C96" w:rsidP="003F606A">
            <w:pPr>
              <w:pStyle w:val="PullOutBoxHeading"/>
              <w:rPr>
                <w:b/>
                <w:sz w:val="22"/>
              </w:rPr>
            </w:pPr>
            <w:r w:rsidRPr="00427620">
              <w:rPr>
                <w:b/>
                <w:sz w:val="22"/>
              </w:rPr>
              <w:t>A new assistance payment for Childcare</w:t>
            </w:r>
          </w:p>
        </w:tc>
      </w:tr>
      <w:tr w:rsidR="000B5C96" w:rsidRPr="007B738B" w:rsidTr="003F606A">
        <w:tc>
          <w:tcPr>
            <w:tcW w:w="3005" w:type="dxa"/>
          </w:tcPr>
          <w:p w:rsidR="000B5C96" w:rsidRPr="007B738B" w:rsidRDefault="000B5C96" w:rsidP="003F606A">
            <w:pPr>
              <w:pStyle w:val="PullOutBoxBodyText"/>
            </w:pPr>
            <w:r w:rsidRPr="007B738B">
              <w:t>Summary of proposal:</w:t>
            </w:r>
          </w:p>
        </w:tc>
        <w:tc>
          <w:tcPr>
            <w:tcW w:w="5335" w:type="dxa"/>
          </w:tcPr>
          <w:p w:rsidR="000B5C96" w:rsidRPr="007B738B" w:rsidRDefault="000B5C96" w:rsidP="003F606A">
            <w:pPr>
              <w:pStyle w:val="PullOutBoxBodyText"/>
            </w:pPr>
            <w:r w:rsidRPr="007B738B">
              <w:t>The proposal has three components which would make changes to the early childhood education and care system.</w:t>
            </w:r>
          </w:p>
          <w:p w:rsidR="000B5C96" w:rsidRPr="007B738B" w:rsidRDefault="000B5C96" w:rsidP="003F606A">
            <w:pPr>
              <w:pStyle w:val="PullOutBoxBodyText"/>
              <w:rPr>
                <w:u w:val="single"/>
              </w:rPr>
            </w:pPr>
            <w:r w:rsidRPr="007B738B">
              <w:rPr>
                <w:u w:val="single"/>
              </w:rPr>
              <w:t>Component 1: Bringing forward the Child Care Subsidy (CCS) system</w:t>
            </w:r>
          </w:p>
          <w:p w:rsidR="000B5C96" w:rsidRPr="007B738B" w:rsidRDefault="000B5C96" w:rsidP="000B5C96">
            <w:pPr>
              <w:pStyle w:val="PullOutBoxBullet"/>
              <w:numPr>
                <w:ilvl w:val="0"/>
                <w:numId w:val="2"/>
              </w:numPr>
              <w:ind w:left="397"/>
              <w:rPr>
                <w:lang w:eastAsia="en-AU"/>
              </w:rPr>
            </w:pPr>
            <w:r w:rsidRPr="007B738B">
              <w:rPr>
                <w:lang w:eastAsia="en-AU"/>
              </w:rPr>
              <w:t>Bring forward the implementation of the CCS system from 1 July 2018 to 1 July 2017.</w:t>
            </w:r>
          </w:p>
          <w:p w:rsidR="000B5C96" w:rsidRPr="007B738B" w:rsidRDefault="000B5C96" w:rsidP="003F606A">
            <w:pPr>
              <w:pStyle w:val="PullOutBoxBodyText"/>
              <w:rPr>
                <w:u w:val="single"/>
              </w:rPr>
            </w:pPr>
            <w:r w:rsidRPr="007B738B">
              <w:rPr>
                <w:u w:val="single"/>
              </w:rPr>
              <w:t>Component 2: Changing the CCS activity test</w:t>
            </w:r>
          </w:p>
          <w:p w:rsidR="000B5C96" w:rsidRPr="007B738B" w:rsidRDefault="000B5C96" w:rsidP="000B5C96">
            <w:pPr>
              <w:pStyle w:val="PullOutBoxBullet"/>
              <w:numPr>
                <w:ilvl w:val="0"/>
                <w:numId w:val="2"/>
              </w:numPr>
              <w:ind w:left="397"/>
              <w:rPr>
                <w:lang w:eastAsia="en-AU"/>
              </w:rPr>
            </w:pPr>
            <w:r w:rsidRPr="007B738B">
              <w:rPr>
                <w:lang w:eastAsia="en-AU"/>
              </w:rPr>
              <w:t>Change the current activity test so that families with a parent who undertakes 0-16 hours per fortnight of approved activity would receive up to 48 hours of subsidised childcare per fortnight.</w:t>
            </w:r>
          </w:p>
          <w:p w:rsidR="000B5C96" w:rsidRPr="007B738B" w:rsidRDefault="000B5C96" w:rsidP="003F606A">
            <w:pPr>
              <w:pStyle w:val="PullOutBoxBodyText"/>
              <w:rPr>
                <w:u w:val="single"/>
              </w:rPr>
            </w:pPr>
            <w:r w:rsidRPr="007B738B">
              <w:rPr>
                <w:u w:val="single"/>
              </w:rPr>
              <w:t>Component 3: ‘Reducing Waiting Lists’ grants</w:t>
            </w:r>
          </w:p>
          <w:p w:rsidR="000B5C96" w:rsidRPr="007B738B" w:rsidRDefault="000B5C96" w:rsidP="000B5C96">
            <w:pPr>
              <w:pStyle w:val="PullOutBoxBullet"/>
              <w:numPr>
                <w:ilvl w:val="0"/>
                <w:numId w:val="2"/>
              </w:numPr>
              <w:ind w:left="397"/>
              <w:rPr>
                <w:lang w:eastAsia="en-AU"/>
              </w:rPr>
            </w:pPr>
            <w:r w:rsidRPr="007B738B">
              <w:rPr>
                <w:lang w:eastAsia="en-AU"/>
              </w:rPr>
              <w:t>Provide a capped ‘Reducing Waiting Lists’ grant of $200 million to childcare centres to expand services and upgrade facilities.</w:t>
            </w:r>
          </w:p>
          <w:p w:rsidR="000B5C96" w:rsidRPr="007B738B" w:rsidRDefault="000B5C96" w:rsidP="003F606A">
            <w:pPr>
              <w:pStyle w:val="PullOutBoxBodyText"/>
            </w:pPr>
            <w:r w:rsidRPr="007B738B">
              <w:t>The proposal would have effect from 1 July 2017.</w:t>
            </w:r>
          </w:p>
        </w:tc>
      </w:tr>
      <w:tr w:rsidR="000B5C96" w:rsidRPr="007B738B" w:rsidTr="003F606A">
        <w:tc>
          <w:tcPr>
            <w:tcW w:w="3005" w:type="dxa"/>
          </w:tcPr>
          <w:p w:rsidR="000B5C96" w:rsidRPr="007B738B" w:rsidRDefault="000B5C96" w:rsidP="003F606A">
            <w:pPr>
              <w:pStyle w:val="PullOutBoxBodyText"/>
            </w:pPr>
            <w:r w:rsidRPr="007B738B">
              <w:t>Person/party requesting costing:</w:t>
            </w:r>
          </w:p>
        </w:tc>
        <w:tc>
          <w:tcPr>
            <w:tcW w:w="5335" w:type="dxa"/>
          </w:tcPr>
          <w:p w:rsidR="000B5C96" w:rsidRPr="007B738B" w:rsidRDefault="000B5C96" w:rsidP="003F606A">
            <w:pPr>
              <w:pStyle w:val="PullOutBoxBodyText"/>
            </w:pPr>
            <w:r w:rsidRPr="007B738B">
              <w:t>Senator Richard Di Natale, Australian Greens</w:t>
            </w:r>
          </w:p>
        </w:tc>
      </w:tr>
      <w:tr w:rsidR="000B5C96" w:rsidRPr="007B738B" w:rsidTr="003F606A">
        <w:tc>
          <w:tcPr>
            <w:tcW w:w="3005" w:type="dxa"/>
          </w:tcPr>
          <w:p w:rsidR="000B5C96" w:rsidRPr="007B738B" w:rsidRDefault="000B5C96" w:rsidP="003F606A">
            <w:pPr>
              <w:pStyle w:val="PullOutBoxBodyText"/>
            </w:pPr>
            <w:r w:rsidRPr="007B738B">
              <w:t>Date of public release of policy:</w:t>
            </w:r>
          </w:p>
        </w:tc>
        <w:tc>
          <w:tcPr>
            <w:tcW w:w="5335" w:type="dxa"/>
          </w:tcPr>
          <w:p w:rsidR="000B5C96" w:rsidRPr="007B738B" w:rsidRDefault="000B5C96" w:rsidP="003F606A">
            <w:pPr>
              <w:pStyle w:val="PullOutBoxBodyText"/>
            </w:pPr>
            <w:r w:rsidRPr="007B738B">
              <w:t>9 June 2016</w:t>
            </w:r>
          </w:p>
        </w:tc>
      </w:tr>
      <w:tr w:rsidR="000B5C96" w:rsidRPr="007B738B" w:rsidTr="003F606A">
        <w:tc>
          <w:tcPr>
            <w:tcW w:w="3005" w:type="dxa"/>
          </w:tcPr>
          <w:p w:rsidR="000B5C96" w:rsidRPr="007B738B" w:rsidRDefault="000B5C96" w:rsidP="003F606A">
            <w:pPr>
              <w:pStyle w:val="PullOutBoxBodyText"/>
            </w:pPr>
            <w:r w:rsidRPr="007B738B">
              <w:t>Date costing request received:</w:t>
            </w:r>
          </w:p>
        </w:tc>
        <w:tc>
          <w:tcPr>
            <w:tcW w:w="5335" w:type="dxa"/>
          </w:tcPr>
          <w:p w:rsidR="000B5C96" w:rsidRPr="007B738B" w:rsidRDefault="000B5C96" w:rsidP="003F606A">
            <w:pPr>
              <w:pStyle w:val="PullOutBoxBodyText"/>
            </w:pPr>
            <w:r w:rsidRPr="007B738B">
              <w:t>28 June 2016</w:t>
            </w:r>
          </w:p>
        </w:tc>
      </w:tr>
      <w:tr w:rsidR="000B5C96" w:rsidRPr="007B738B" w:rsidTr="003F606A">
        <w:tc>
          <w:tcPr>
            <w:tcW w:w="3005" w:type="dxa"/>
          </w:tcPr>
          <w:p w:rsidR="000B5C96" w:rsidRPr="007B738B" w:rsidRDefault="000B5C96" w:rsidP="003F606A">
            <w:pPr>
              <w:pStyle w:val="PullOutBoxBodyText"/>
            </w:pPr>
            <w:r w:rsidRPr="007B738B">
              <w:t>Date costing completed:</w:t>
            </w:r>
          </w:p>
        </w:tc>
        <w:tc>
          <w:tcPr>
            <w:tcW w:w="5335" w:type="dxa"/>
          </w:tcPr>
          <w:p w:rsidR="000B5C96" w:rsidRPr="007B738B" w:rsidRDefault="000B5C96" w:rsidP="003F606A">
            <w:pPr>
              <w:pStyle w:val="PullOutBoxBodyText"/>
            </w:pPr>
            <w:r w:rsidRPr="007B738B">
              <w:t>29 June 2016</w:t>
            </w:r>
          </w:p>
        </w:tc>
      </w:tr>
      <w:tr w:rsidR="000B5C96" w:rsidRPr="007B738B" w:rsidTr="003F606A">
        <w:tc>
          <w:tcPr>
            <w:tcW w:w="3005" w:type="dxa"/>
          </w:tcPr>
          <w:p w:rsidR="000B5C96" w:rsidRPr="007B738B" w:rsidRDefault="000B5C96" w:rsidP="003F606A">
            <w:pPr>
              <w:pStyle w:val="PullOutBoxBodyText"/>
            </w:pPr>
            <w:r w:rsidRPr="007B738B">
              <w:t>Expiry date for the costing:</w:t>
            </w:r>
          </w:p>
        </w:tc>
        <w:tc>
          <w:tcPr>
            <w:tcW w:w="5335" w:type="dxa"/>
          </w:tcPr>
          <w:p w:rsidR="000B5C96" w:rsidRPr="007B738B" w:rsidRDefault="000B5C96" w:rsidP="003F606A">
            <w:pPr>
              <w:pStyle w:val="PullOutBoxBodyText"/>
            </w:pPr>
            <w:r w:rsidRPr="007B738B">
              <w:t>Release of the next economic and fiscal outlook report</w:t>
            </w:r>
          </w:p>
        </w:tc>
      </w:tr>
    </w:tbl>
    <w:p w:rsidR="000B5C96" w:rsidRPr="00D7096D" w:rsidRDefault="000B5C96" w:rsidP="003F606A">
      <w:pPr>
        <w:pStyle w:val="CostingsH7"/>
      </w:pPr>
      <w:r w:rsidRPr="00D7096D">
        <w:t>Costing overview</w:t>
      </w:r>
    </w:p>
    <w:p w:rsidR="000B5C96" w:rsidRPr="005276C2" w:rsidRDefault="000B5C96" w:rsidP="003F606A">
      <w:pPr>
        <w:pStyle w:val="BodyText"/>
        <w:keepNext/>
        <w:keepLines/>
      </w:pPr>
      <w:r w:rsidRPr="005276C2">
        <w:t>This proposal would be expected to decrease the fiscal balance by $2,776 million and decrease the underlying cash balance by $2,713 million over the 2016-17 Budget forward estimates period.  In fiscal balance terms, this reflects an increase in administered expenses of $2,769 million and an increase in departmental expenses of $7 million.</w:t>
      </w:r>
    </w:p>
    <w:p w:rsidR="000B5C96" w:rsidRPr="005276C2" w:rsidRDefault="000B5C96" w:rsidP="003F606A">
      <w:pPr>
        <w:pStyle w:val="BodyText"/>
      </w:pPr>
      <w:r w:rsidRPr="005276C2">
        <w:t>The fiscal balance implications are different to the underlying cash balance implications because some subsidies are withheld and paid to families after the end of the financial year when their tax liabilities and payment amounts are reconciled.</w:t>
      </w:r>
    </w:p>
    <w:p w:rsidR="000B5C96" w:rsidRPr="005276C2" w:rsidRDefault="000B5C96" w:rsidP="003F606A">
      <w:pPr>
        <w:pStyle w:val="BodyText"/>
      </w:pPr>
      <w:r w:rsidRPr="005276C2">
        <w:t>This proposal would have financial implications beyond the 2016-17 Budget forward estimates period.</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In 2020-21, the estimated decrease to the fiscal balance would be around $815 million.</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In 2021-22, the estimated decrease to the fiscal balance would be around $820 million.</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Beyond 2021-22, the annual financial implications would be consistent with the amounts in 2021</w:t>
      </w:r>
      <w:r w:rsidRPr="007B738B">
        <w:rPr>
          <w:lang w:eastAsia="en-AU"/>
        </w:rPr>
        <w:noBreakHyphen/>
        <w:t>22 allowing for growth in underlying parameters.</w:t>
      </w:r>
    </w:p>
    <w:p w:rsidR="000B5C96" w:rsidRPr="005276C2" w:rsidRDefault="000B5C96" w:rsidP="000B5C96">
      <w:pPr>
        <w:pStyle w:val="ListBullet"/>
        <w:keepLines w:val="0"/>
        <w:numPr>
          <w:ilvl w:val="0"/>
          <w:numId w:val="2"/>
        </w:numPr>
        <w:spacing w:before="113"/>
        <w:ind w:left="454" w:hanging="454"/>
      </w:pPr>
      <w:r w:rsidRPr="005276C2">
        <w:t>A breakdown of the financial implications over the 2016-17 Budget forward estimates period for the entire proposal (Table A1) and by component (Tables A2-A4) is at Attachment A.</w:t>
      </w:r>
    </w:p>
    <w:p w:rsidR="000B5C96" w:rsidRPr="005276C2" w:rsidRDefault="000B5C96" w:rsidP="003F606A">
      <w:pPr>
        <w:pStyle w:val="BodyText"/>
      </w:pPr>
      <w:r w:rsidRPr="005276C2">
        <w:t>The financial implications include departmental funding for the Department of Human Services (DHS) for processing payments for new CCS recipients.  A separate amount of departmental funding was estimated for the Department of Education and Training (DET) to manage the proposed grants program over the 2016-17 Budget forward estimates period.</w:t>
      </w:r>
    </w:p>
    <w:p w:rsidR="000B5C96" w:rsidRPr="005276C2" w:rsidRDefault="000B5C96" w:rsidP="003F606A">
      <w:pPr>
        <w:pStyle w:val="BodyText"/>
        <w:rPr>
          <w:highlight w:val="yellow"/>
        </w:rPr>
      </w:pPr>
      <w:r w:rsidRPr="005276C2">
        <w:t>This costing is considered to be of medium to low reliability.  While the costing is based on detailed administrative data on children in approved child care under the existing system, the Parliamentary Budget Office (PBO) has made assumptions about take-up of child care, and there is uncertainty regarding the flow</w:t>
      </w:r>
      <w:r w:rsidRPr="005276C2">
        <w:noBreakHyphen/>
        <w:t>on costs to CCS payments due to the expansion of child care places.</w:t>
      </w:r>
    </w:p>
    <w:p w:rsidR="000B5C96" w:rsidRPr="007B738B" w:rsidRDefault="000B5C96" w:rsidP="003F606A">
      <w:pPr>
        <w:pStyle w:val="Caption"/>
      </w:pPr>
      <w:r w:rsidRPr="007B738B">
        <w:t>Table 1: Financial implications (outturn prices)</w:t>
      </w:r>
      <w:r w:rsidRPr="007B738B">
        <w:rPr>
          <w:vertAlign w:val="superscript"/>
        </w:rPr>
        <w:t>(a)(b)</w:t>
      </w:r>
    </w:p>
    <w:tbl>
      <w:tblPr>
        <w:tblStyle w:val="TableGrid5"/>
        <w:tblW w:w="4993" w:type="pct"/>
        <w:tblLook w:val="04A0" w:firstRow="1" w:lastRow="0" w:firstColumn="1" w:lastColumn="0" w:noHBand="0" w:noVBand="1"/>
      </w:tblPr>
      <w:tblGrid>
        <w:gridCol w:w="2645"/>
        <w:gridCol w:w="1134"/>
        <w:gridCol w:w="1133"/>
        <w:gridCol w:w="1133"/>
        <w:gridCol w:w="1133"/>
        <w:gridCol w:w="1132"/>
      </w:tblGrid>
      <w:tr w:rsidR="000B5C96" w:rsidRPr="007B738B"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7B738B" w:rsidRDefault="000B5C96" w:rsidP="003F606A">
            <w:pPr>
              <w:keepNext/>
              <w:keepLines/>
              <w:spacing w:line="240" w:lineRule="auto"/>
              <w:ind w:left="57" w:right="57"/>
              <w:rPr>
                <w:szCs w:val="20"/>
              </w:rPr>
            </w:pPr>
            <w:r w:rsidRPr="007B738B">
              <w:rPr>
                <w:szCs w:val="20"/>
              </w:rPr>
              <w:t>Impact on ($m)</w:t>
            </w:r>
          </w:p>
        </w:tc>
        <w:tc>
          <w:tcPr>
            <w:tcW w:w="682" w:type="pct"/>
            <w:vAlign w:val="center"/>
          </w:tcPr>
          <w:p w:rsidR="000B5C96" w:rsidRPr="007B738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B738B">
              <w:rPr>
                <w:szCs w:val="20"/>
              </w:rPr>
              <w:t>2016–17</w:t>
            </w:r>
          </w:p>
        </w:tc>
        <w:tc>
          <w:tcPr>
            <w:tcW w:w="682" w:type="pct"/>
            <w:vAlign w:val="center"/>
          </w:tcPr>
          <w:p w:rsidR="000B5C96" w:rsidRPr="007B738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B738B">
              <w:rPr>
                <w:szCs w:val="20"/>
              </w:rPr>
              <w:t>2017–18</w:t>
            </w:r>
          </w:p>
        </w:tc>
        <w:tc>
          <w:tcPr>
            <w:tcW w:w="682" w:type="pct"/>
            <w:vAlign w:val="center"/>
          </w:tcPr>
          <w:p w:rsidR="000B5C96" w:rsidRPr="007B738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B738B">
              <w:rPr>
                <w:szCs w:val="20"/>
              </w:rPr>
              <w:t>2018–19</w:t>
            </w:r>
          </w:p>
        </w:tc>
        <w:tc>
          <w:tcPr>
            <w:tcW w:w="682" w:type="pct"/>
            <w:vAlign w:val="center"/>
          </w:tcPr>
          <w:p w:rsidR="000B5C96" w:rsidRPr="007B738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B738B">
              <w:rPr>
                <w:szCs w:val="20"/>
              </w:rPr>
              <w:t>2019–20</w:t>
            </w:r>
          </w:p>
        </w:tc>
        <w:tc>
          <w:tcPr>
            <w:tcW w:w="681" w:type="pct"/>
            <w:vAlign w:val="center"/>
          </w:tcPr>
          <w:p w:rsidR="000B5C96" w:rsidRPr="007B738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B738B">
              <w:rPr>
                <w:b/>
                <w:szCs w:val="20"/>
              </w:rPr>
              <w:t>Total</w:t>
            </w:r>
          </w:p>
        </w:tc>
      </w:tr>
      <w:tr w:rsidR="000B5C96" w:rsidRPr="007B738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7B738B" w:rsidRDefault="000B5C96" w:rsidP="003F606A">
            <w:pPr>
              <w:keepNext/>
              <w:keepLines/>
              <w:ind w:left="57" w:right="57"/>
              <w:rPr>
                <w:szCs w:val="20"/>
              </w:rPr>
            </w:pPr>
            <w:r w:rsidRPr="007B738B">
              <w:rPr>
                <w:szCs w:val="20"/>
              </w:rPr>
              <w:t>Fiscal balance</w:t>
            </w:r>
          </w:p>
        </w:tc>
        <w:tc>
          <w:tcPr>
            <w:tcW w:w="682" w:type="pct"/>
          </w:tcPr>
          <w:p w:rsidR="000B5C96" w:rsidRPr="007B738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7B738B">
              <w:rPr>
                <w:rFonts w:ascii="Calibri" w:hAnsi="Calibri"/>
                <w:noProof/>
                <w:szCs w:val="20"/>
              </w:rPr>
              <w:t>-</w:t>
            </w:r>
          </w:p>
        </w:tc>
        <w:tc>
          <w:tcPr>
            <w:tcW w:w="682" w:type="pct"/>
          </w:tcPr>
          <w:p w:rsidR="000B5C96" w:rsidRPr="007B738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7B738B">
              <w:rPr>
                <w:rFonts w:ascii="Calibri" w:hAnsi="Calibri"/>
                <w:noProof/>
                <w:szCs w:val="20"/>
              </w:rPr>
              <w:t>-1,646.0</w:t>
            </w:r>
          </w:p>
        </w:tc>
        <w:tc>
          <w:tcPr>
            <w:tcW w:w="682" w:type="pct"/>
          </w:tcPr>
          <w:p w:rsidR="000B5C96" w:rsidRPr="007B738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7B738B">
              <w:rPr>
                <w:rFonts w:ascii="Calibri" w:hAnsi="Calibri"/>
                <w:noProof/>
                <w:szCs w:val="20"/>
              </w:rPr>
              <w:t>-536.0</w:t>
            </w:r>
          </w:p>
        </w:tc>
        <w:tc>
          <w:tcPr>
            <w:tcW w:w="682" w:type="pct"/>
          </w:tcPr>
          <w:p w:rsidR="000B5C96" w:rsidRPr="007B738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7B738B">
              <w:rPr>
                <w:rFonts w:ascii="Calibri" w:hAnsi="Calibri"/>
                <w:noProof/>
                <w:szCs w:val="20"/>
              </w:rPr>
              <w:t>-592.0</w:t>
            </w:r>
          </w:p>
        </w:tc>
        <w:tc>
          <w:tcPr>
            <w:tcW w:w="681" w:type="pct"/>
          </w:tcPr>
          <w:p w:rsidR="000B5C96" w:rsidRPr="007B738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noProof/>
                <w:szCs w:val="20"/>
              </w:rPr>
            </w:pPr>
            <w:r w:rsidRPr="007B738B">
              <w:rPr>
                <w:rFonts w:ascii="Calibri" w:hAnsi="Calibri"/>
                <w:b/>
                <w:noProof/>
                <w:szCs w:val="20"/>
              </w:rPr>
              <w:t>-2,776.0</w:t>
            </w:r>
          </w:p>
        </w:tc>
      </w:tr>
      <w:tr w:rsidR="000B5C96" w:rsidRPr="007B738B"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7B738B" w:rsidRDefault="000B5C96" w:rsidP="003F606A">
            <w:pPr>
              <w:keepNext/>
              <w:keepLines/>
              <w:ind w:left="57" w:right="57"/>
              <w:rPr>
                <w:szCs w:val="20"/>
              </w:rPr>
            </w:pPr>
            <w:r w:rsidRPr="007B738B">
              <w:rPr>
                <w:szCs w:val="20"/>
              </w:rPr>
              <w:t>Underlying cash balance</w:t>
            </w:r>
          </w:p>
        </w:tc>
        <w:tc>
          <w:tcPr>
            <w:tcW w:w="682" w:type="pct"/>
          </w:tcPr>
          <w:p w:rsidR="000B5C96" w:rsidRPr="007B738B"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w:t>
            </w:r>
          </w:p>
        </w:tc>
        <w:tc>
          <w:tcPr>
            <w:tcW w:w="682" w:type="pct"/>
          </w:tcPr>
          <w:p w:rsidR="000B5C96" w:rsidRPr="007B738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sidRPr="007B738B">
              <w:rPr>
                <w:rFonts w:ascii="Calibri" w:hAnsi="Calibri"/>
                <w:noProof/>
                <w:szCs w:val="20"/>
              </w:rPr>
              <w:t>-1,527.0</w:t>
            </w:r>
          </w:p>
        </w:tc>
        <w:tc>
          <w:tcPr>
            <w:tcW w:w="682" w:type="pct"/>
          </w:tcPr>
          <w:p w:rsidR="000B5C96" w:rsidRPr="007B738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sidRPr="007B738B">
              <w:rPr>
                <w:rFonts w:ascii="Calibri" w:hAnsi="Calibri"/>
                <w:noProof/>
                <w:szCs w:val="20"/>
              </w:rPr>
              <w:t>-600.0</w:t>
            </w:r>
          </w:p>
        </w:tc>
        <w:tc>
          <w:tcPr>
            <w:tcW w:w="682" w:type="pct"/>
          </w:tcPr>
          <w:p w:rsidR="000B5C96" w:rsidRPr="007B738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noProof/>
                <w:szCs w:val="20"/>
              </w:rPr>
            </w:pPr>
            <w:r w:rsidRPr="007B738B">
              <w:rPr>
                <w:rFonts w:ascii="Calibri" w:hAnsi="Calibri"/>
                <w:noProof/>
                <w:szCs w:val="20"/>
              </w:rPr>
              <w:t>-585.0</w:t>
            </w:r>
          </w:p>
        </w:tc>
        <w:tc>
          <w:tcPr>
            <w:tcW w:w="681" w:type="pct"/>
          </w:tcPr>
          <w:p w:rsidR="000B5C96" w:rsidRPr="007B738B"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noProof/>
                <w:szCs w:val="20"/>
              </w:rPr>
            </w:pPr>
            <w:r w:rsidRPr="007B738B">
              <w:rPr>
                <w:rFonts w:ascii="Calibri" w:hAnsi="Calibri"/>
                <w:b/>
                <w:noProof/>
                <w:szCs w:val="20"/>
              </w:rPr>
              <w:t>-2,713.0</w:t>
            </w:r>
          </w:p>
        </w:tc>
      </w:tr>
    </w:tbl>
    <w:p w:rsidR="000B5C96" w:rsidRDefault="000B5C96" w:rsidP="000B5C96">
      <w:pPr>
        <w:pStyle w:val="Footnotes"/>
        <w:numPr>
          <w:ilvl w:val="0"/>
          <w:numId w:val="146"/>
        </w:numPr>
        <w:ind w:left="284" w:hanging="284"/>
      </w:pPr>
      <w:r w:rsidRPr="007B738B">
        <w:t>A positive number represents an increase in the relevant budget balance and a negative number represents a decrease.</w:t>
      </w:r>
      <w:r>
        <w:t xml:space="preserve"> </w:t>
      </w:r>
    </w:p>
    <w:p w:rsidR="000B5C96" w:rsidRPr="007B738B" w:rsidRDefault="000B5C96" w:rsidP="000B5C96">
      <w:pPr>
        <w:pStyle w:val="Footnotes"/>
        <w:numPr>
          <w:ilvl w:val="0"/>
          <w:numId w:val="146"/>
        </w:numPr>
        <w:ind w:left="284" w:hanging="284"/>
      </w:pPr>
      <w:r w:rsidRPr="007B738B">
        <w:t>Figures may not sum to totals due to rounding.</w:t>
      </w:r>
    </w:p>
    <w:p w:rsidR="000B5C96" w:rsidRPr="007B738B" w:rsidRDefault="000B5C96" w:rsidP="000B5C96">
      <w:pPr>
        <w:pStyle w:val="Footnotes"/>
        <w:numPr>
          <w:ilvl w:val="0"/>
          <w:numId w:val="114"/>
        </w:numPr>
        <w:ind w:left="284" w:hanging="284"/>
      </w:pPr>
      <w:r w:rsidRPr="007B738B">
        <w:t>Indicates nil.</w:t>
      </w:r>
    </w:p>
    <w:p w:rsidR="000B5C96" w:rsidRPr="00D7096D" w:rsidRDefault="000B5C96" w:rsidP="003F606A">
      <w:pPr>
        <w:pStyle w:val="CostingsH7"/>
      </w:pPr>
      <w:r w:rsidRPr="00D7096D">
        <w:t>Key assumptions</w:t>
      </w:r>
    </w:p>
    <w:p w:rsidR="000B5C96" w:rsidRPr="007B738B" w:rsidRDefault="000B5C96" w:rsidP="003F606A">
      <w:pPr>
        <w:pStyle w:val="BodyText"/>
      </w:pPr>
      <w:r w:rsidRPr="007B738B">
        <w:t>The PBO has assumed that departmental costs for processing CCS payments for new recipients would be comparable to the unit costs for processing Child Care Benefit payments.</w:t>
      </w:r>
    </w:p>
    <w:p w:rsidR="000B5C96" w:rsidRPr="00D7096D" w:rsidRDefault="000B5C96" w:rsidP="003F606A">
      <w:pPr>
        <w:pStyle w:val="CostingsH7"/>
      </w:pPr>
      <w:r w:rsidRPr="00D7096D">
        <w:t>Methodology</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Estimates for bringing forward the implementation of the CCS to 1 July 2017 were based on information</w:t>
      </w:r>
      <w:r w:rsidRPr="007B738B">
        <w:rPr>
          <w:i/>
          <w:lang w:eastAsia="en-AU"/>
        </w:rPr>
        <w:t xml:space="preserve"> </w:t>
      </w:r>
      <w:r w:rsidRPr="007B738B">
        <w:rPr>
          <w:lang w:eastAsia="en-AU"/>
        </w:rPr>
        <w:t>in the Department of Finance’s Central Budget Management System related to the 2016-17 Budget measure to defer the CCS to 1 July 2018.</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Child care models based on unit record administrative data were used to simulate entitlements under both the current CCS system and the proposal.  The differences in estimated entitlements under the scenarios represent the financial implications of the proposal to change the current activity test.</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The $200 million of grants were evenly distributed over the four years from 2017-18 to 2020-21.</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 xml:space="preserve">The number of additional children expected to access the increased services provided as a result of the proposed grants was estimated using historical information on child care attendance and the number of increased places under the </w:t>
      </w:r>
      <w:r w:rsidRPr="007B738B">
        <w:rPr>
          <w:i/>
          <w:lang w:eastAsia="en-AU"/>
        </w:rPr>
        <w:t>Community Child Care Fund</w:t>
      </w:r>
      <w:r w:rsidRPr="007B738B">
        <w:rPr>
          <w:lang w:eastAsia="en-AU"/>
        </w:rPr>
        <w:t>.</w:t>
      </w:r>
      <w:r w:rsidRPr="007B738B">
        <w:rPr>
          <w:vertAlign w:val="superscript"/>
          <w:lang w:eastAsia="en-AU"/>
        </w:rPr>
        <w:footnoteReference w:id="3"/>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 xml:space="preserve">Total additional CCS payments were calculated by multiplying the estimated additional number of children who would be enrolled in the expanded child care services and the estimated average CCS entitlement per child. </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Administered and departmental funding has been rounded to the nearest $1 million.</w:t>
      </w:r>
    </w:p>
    <w:p w:rsidR="000B5C96" w:rsidRPr="00D7096D" w:rsidRDefault="000B5C96" w:rsidP="003F606A">
      <w:pPr>
        <w:pStyle w:val="CostingsH7"/>
      </w:pPr>
      <w:r w:rsidRPr="00D7096D">
        <w:t>Data sources</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2015-16 Budget Paper No. 2.</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2016-17 Budget Paper No. 2.</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Department of Human Services provided the unit costs for administering Child Care Benefit payments.</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 xml:space="preserve">Productivity Commission 2014, </w:t>
      </w:r>
      <w:r w:rsidRPr="007B738B">
        <w:rPr>
          <w:i/>
          <w:lang w:eastAsia="en-AU"/>
        </w:rPr>
        <w:t>Childcare and Early Childhood Learning</w:t>
      </w:r>
      <w:r w:rsidRPr="007B738B">
        <w:rPr>
          <w:lang w:eastAsia="en-AU"/>
        </w:rPr>
        <w:t>, Inquiry Report No. 73, Canberra.</w:t>
      </w:r>
    </w:p>
    <w:p w:rsidR="000B5C96" w:rsidRPr="007B738B" w:rsidRDefault="000B5C96" w:rsidP="000B5C96">
      <w:pPr>
        <w:pStyle w:val="ListBullet"/>
        <w:keepLines w:val="0"/>
        <w:numPr>
          <w:ilvl w:val="0"/>
          <w:numId w:val="2"/>
        </w:numPr>
        <w:spacing w:before="113"/>
        <w:ind w:left="454" w:hanging="454"/>
        <w:rPr>
          <w:lang w:eastAsia="en-AU"/>
        </w:rPr>
      </w:pPr>
      <w:r w:rsidRPr="007B738B">
        <w:rPr>
          <w:lang w:eastAsia="en-AU"/>
        </w:rPr>
        <w:t xml:space="preserve">Department of Finance provided information from </w:t>
      </w:r>
      <w:r>
        <w:rPr>
          <w:lang w:eastAsia="en-AU"/>
        </w:rPr>
        <w:t xml:space="preserve">the </w:t>
      </w:r>
      <w:r w:rsidRPr="007B738B">
        <w:rPr>
          <w:lang w:eastAsia="en-AU"/>
        </w:rPr>
        <w:t>Central Budget Management System.</w:t>
      </w:r>
    </w:p>
    <w:p w:rsidR="000B5C96" w:rsidRPr="007B738B" w:rsidRDefault="000B5C96" w:rsidP="003F606A">
      <w:pPr>
        <w:pStyle w:val="BodyText"/>
        <w:rPr>
          <w:highlight w:val="yellow"/>
        </w:rPr>
      </w:pPr>
    </w:p>
    <w:p w:rsidR="000B5C96" w:rsidRPr="007B738B" w:rsidRDefault="000B5C96" w:rsidP="003F606A">
      <w:pPr>
        <w:pStyle w:val="BodyText"/>
        <w:rPr>
          <w:highlight w:val="yellow"/>
        </w:rPr>
        <w:sectPr w:rsidR="000B5C96" w:rsidRPr="007B738B" w:rsidSect="003F606A">
          <w:headerReference w:type="even" r:id="rId284"/>
          <w:headerReference w:type="default" r:id="rId285"/>
          <w:footerReference w:type="even" r:id="rId286"/>
          <w:footerReference w:type="default" r:id="rId287"/>
          <w:headerReference w:type="first" r:id="rId288"/>
          <w:footerReference w:type="first" r:id="rId289"/>
          <w:footnotePr>
            <w:numRestart w:val="eachSect"/>
          </w:footnotePr>
          <w:pgSz w:w="11906" w:h="16838"/>
          <w:pgMar w:top="1361" w:right="1797" w:bottom="1474" w:left="1797" w:header="283" w:footer="454" w:gutter="0"/>
          <w:cols w:space="708"/>
          <w:docGrid w:linePitch="360"/>
        </w:sectPr>
      </w:pPr>
    </w:p>
    <w:p w:rsidR="000B5C96" w:rsidRPr="007B738B" w:rsidRDefault="000B5C96" w:rsidP="000B5C96">
      <w:pPr>
        <w:pStyle w:val="Heading6"/>
        <w:numPr>
          <w:ilvl w:val="0"/>
          <w:numId w:val="5"/>
        </w:numPr>
        <w:tabs>
          <w:tab w:val="clear" w:pos="0"/>
          <w:tab w:val="num" w:pos="360"/>
          <w:tab w:val="right" w:pos="1418"/>
          <w:tab w:val="right" w:pos="1701"/>
          <w:tab w:val="right" w:pos="1985"/>
        </w:tabs>
      </w:pPr>
      <w:r w:rsidRPr="007B738B">
        <w:t>Attachment A: A new assistance payment for Childcare—financial implications</w:t>
      </w:r>
    </w:p>
    <w:p w:rsidR="000B5C96" w:rsidRPr="007B738B" w:rsidRDefault="000B5C96" w:rsidP="003F606A">
      <w:pPr>
        <w:pStyle w:val="Caption"/>
      </w:pPr>
      <w:r w:rsidRPr="007B738B">
        <w:t>Table A1: All components: A new assistance payment for Childcare—Financial implications</w:t>
      </w:r>
      <w:r w:rsidRPr="007B738B">
        <w:rPr>
          <w:vertAlign w:val="superscript"/>
        </w:rPr>
        <w:t>(a)(b)</w:t>
      </w:r>
    </w:p>
    <w:tbl>
      <w:tblPr>
        <w:tblStyle w:val="TableGrid5"/>
        <w:tblW w:w="4637" w:type="pct"/>
        <w:tblLook w:val="0680" w:firstRow="0" w:lastRow="0" w:firstColumn="1" w:lastColumn="0" w:noHBand="1" w:noVBand="1"/>
      </w:tblPr>
      <w:tblGrid>
        <w:gridCol w:w="3015"/>
        <w:gridCol w:w="940"/>
        <w:gridCol w:w="942"/>
        <w:gridCol w:w="940"/>
        <w:gridCol w:w="942"/>
        <w:gridCol w:w="940"/>
      </w:tblGrid>
      <w:tr w:rsidR="000B5C96" w:rsidRPr="007B738B" w:rsidTr="003F606A">
        <w:trPr>
          <w:cantSplit/>
          <w:tblHeader/>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061D10">
            <w:pPr>
              <w:ind w:left="57" w:right="57"/>
              <w:rPr>
                <w:szCs w:val="20"/>
              </w:rPr>
            </w:pPr>
            <w:r w:rsidRPr="007B738B">
              <w:rPr>
                <w:szCs w:val="20"/>
              </w:rPr>
              <w:t>($m)</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2016–17</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2017–18</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2018–19</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2019–20</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Total to 2019–20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7B738B" w:rsidRDefault="000B5C96" w:rsidP="00061D10">
            <w:pPr>
              <w:ind w:left="57" w:right="57"/>
              <w:rPr>
                <w:b/>
                <w:szCs w:val="20"/>
              </w:rPr>
            </w:pPr>
            <w:r w:rsidRPr="007B738B">
              <w:rPr>
                <w:b/>
                <w:bCs/>
                <w:color w:val="000000"/>
                <w:szCs w:val="20"/>
              </w:rPr>
              <w:t>Fiscal balance</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Administered</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w:t>
            </w:r>
          </w:p>
        </w:tc>
        <w:tc>
          <w:tcPr>
            <w:tcW w:w="610"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 xml:space="preserve">-1,634.0 </w:t>
            </w:r>
          </w:p>
        </w:tc>
        <w:tc>
          <w:tcPr>
            <w:tcW w:w="609"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-540.0</w:t>
            </w:r>
          </w:p>
        </w:tc>
        <w:tc>
          <w:tcPr>
            <w:tcW w:w="610"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 xml:space="preserve">-594.0 </w:t>
            </w:r>
          </w:p>
        </w:tc>
        <w:tc>
          <w:tcPr>
            <w:tcW w:w="609"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 xml:space="preserve">-2,769.0 </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Departmental</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w:t>
            </w:r>
          </w:p>
        </w:tc>
        <w:tc>
          <w:tcPr>
            <w:tcW w:w="610"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 xml:space="preserve">-12.0 </w:t>
            </w:r>
          </w:p>
        </w:tc>
        <w:tc>
          <w:tcPr>
            <w:tcW w:w="609"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 xml:space="preserve"> 4.0 </w:t>
            </w:r>
          </w:p>
        </w:tc>
        <w:tc>
          <w:tcPr>
            <w:tcW w:w="610"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 xml:space="preserve"> 2.0 </w:t>
            </w:r>
          </w:p>
        </w:tc>
        <w:tc>
          <w:tcPr>
            <w:tcW w:w="609"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 xml:space="preserve">-7.0 </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061D10">
            <w:pPr>
              <w:ind w:left="57" w:right="57"/>
              <w:rPr>
                <w:b/>
                <w:szCs w:val="20"/>
              </w:rPr>
            </w:pPr>
            <w:r w:rsidRPr="007B738B">
              <w:rPr>
                <w:b/>
                <w:szCs w:val="20"/>
              </w:rPr>
              <w:t xml:space="preserve">Total </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shd w:val="clear" w:color="auto" w:fill="D7DDE9"/>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 xml:space="preserve">-1,646.0 </w:t>
            </w:r>
          </w:p>
        </w:tc>
        <w:tc>
          <w:tcPr>
            <w:tcW w:w="609" w:type="pct"/>
            <w:shd w:val="clear" w:color="auto" w:fill="D7DDE9"/>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 xml:space="preserve">-536.0 </w:t>
            </w:r>
          </w:p>
        </w:tc>
        <w:tc>
          <w:tcPr>
            <w:tcW w:w="610" w:type="pct"/>
            <w:shd w:val="clear" w:color="auto" w:fill="D7DDE9"/>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 xml:space="preserve">-592.0 </w:t>
            </w:r>
          </w:p>
        </w:tc>
        <w:tc>
          <w:tcPr>
            <w:tcW w:w="609" w:type="pct"/>
            <w:shd w:val="clear" w:color="auto" w:fill="D7DDE9"/>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 xml:space="preserve">-2,776.0 </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7B738B" w:rsidRDefault="000B5C96" w:rsidP="00061D10">
            <w:pPr>
              <w:ind w:left="57" w:right="57"/>
              <w:rPr>
                <w:b/>
                <w:szCs w:val="20"/>
              </w:rPr>
            </w:pPr>
            <w:r w:rsidRPr="007B738B">
              <w:rPr>
                <w:b/>
                <w:bCs/>
                <w:color w:val="000000"/>
                <w:szCs w:val="20"/>
              </w:rPr>
              <w:t>Underlying cash balance</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Administered</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w:t>
            </w:r>
          </w:p>
        </w:tc>
        <w:tc>
          <w:tcPr>
            <w:tcW w:w="610"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 xml:space="preserve">-1,516.0 </w:t>
            </w:r>
          </w:p>
        </w:tc>
        <w:tc>
          <w:tcPr>
            <w:tcW w:w="609"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 xml:space="preserve">-603.0 </w:t>
            </w:r>
          </w:p>
        </w:tc>
        <w:tc>
          <w:tcPr>
            <w:tcW w:w="610"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 xml:space="preserve">-587.0 </w:t>
            </w:r>
          </w:p>
        </w:tc>
        <w:tc>
          <w:tcPr>
            <w:tcW w:w="609"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 xml:space="preserve">-2,707.0 </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Departmental</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w:t>
            </w:r>
          </w:p>
        </w:tc>
        <w:tc>
          <w:tcPr>
            <w:tcW w:w="610"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 xml:space="preserve">-11.0 </w:t>
            </w:r>
          </w:p>
        </w:tc>
        <w:tc>
          <w:tcPr>
            <w:tcW w:w="609"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 xml:space="preserve"> 3.0 </w:t>
            </w:r>
          </w:p>
        </w:tc>
        <w:tc>
          <w:tcPr>
            <w:tcW w:w="610"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 xml:space="preserve"> 2.0 </w:t>
            </w:r>
          </w:p>
        </w:tc>
        <w:tc>
          <w:tcPr>
            <w:tcW w:w="609" w:type="pct"/>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 xml:space="preserve">-6.0 </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061D10">
            <w:pPr>
              <w:ind w:left="57" w:right="57"/>
              <w:rPr>
                <w:b/>
                <w:szCs w:val="20"/>
              </w:rPr>
            </w:pPr>
            <w:r w:rsidRPr="007B738B">
              <w:rPr>
                <w:b/>
                <w:szCs w:val="20"/>
              </w:rPr>
              <w:t>Total</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shd w:val="clear" w:color="auto" w:fill="D7DDE9"/>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 xml:space="preserve">-1,527.0 </w:t>
            </w:r>
          </w:p>
        </w:tc>
        <w:tc>
          <w:tcPr>
            <w:tcW w:w="609" w:type="pct"/>
            <w:shd w:val="clear" w:color="auto" w:fill="D7DDE9"/>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 xml:space="preserve">-600.0 </w:t>
            </w:r>
          </w:p>
        </w:tc>
        <w:tc>
          <w:tcPr>
            <w:tcW w:w="610" w:type="pct"/>
            <w:shd w:val="clear" w:color="auto" w:fill="D7DDE9"/>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 xml:space="preserve">-585.0 </w:t>
            </w:r>
          </w:p>
        </w:tc>
        <w:tc>
          <w:tcPr>
            <w:tcW w:w="609" w:type="pct"/>
            <w:shd w:val="clear" w:color="auto" w:fill="D7DDE9"/>
            <w:vAlign w:val="bottom"/>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 xml:space="preserve">-2,713.0 </w:t>
            </w:r>
          </w:p>
        </w:tc>
      </w:tr>
    </w:tbl>
    <w:p w:rsidR="000B5C96" w:rsidRDefault="000B5C96" w:rsidP="003F606A">
      <w:pPr>
        <w:pStyle w:val="Footnotes"/>
        <w:numPr>
          <w:ilvl w:val="0"/>
          <w:numId w:val="147"/>
        </w:numPr>
        <w:ind w:left="284" w:hanging="284"/>
      </w:pPr>
      <w:r w:rsidRPr="007B738B">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7B738B" w:rsidRDefault="000B5C96" w:rsidP="003F606A">
      <w:pPr>
        <w:pStyle w:val="Footnotes"/>
        <w:numPr>
          <w:ilvl w:val="0"/>
          <w:numId w:val="141"/>
        </w:numPr>
        <w:ind w:left="284" w:hanging="284"/>
      </w:pPr>
      <w:r w:rsidRPr="007B738B">
        <w:t>Figures may not sum to totals due to rounding.</w:t>
      </w:r>
    </w:p>
    <w:p w:rsidR="000B5C96" w:rsidRPr="007B738B" w:rsidRDefault="000B5C96" w:rsidP="000B5C96">
      <w:pPr>
        <w:pStyle w:val="Footnotes"/>
        <w:numPr>
          <w:ilvl w:val="0"/>
          <w:numId w:val="114"/>
        </w:numPr>
        <w:ind w:left="284" w:hanging="284"/>
      </w:pPr>
      <w:r w:rsidRPr="007B738B">
        <w:t>Indicates nil.</w:t>
      </w:r>
    </w:p>
    <w:p w:rsidR="000B5C96" w:rsidRPr="007B738B" w:rsidRDefault="000B5C96" w:rsidP="003F606A">
      <w:pPr>
        <w:pStyle w:val="Caption"/>
      </w:pPr>
      <w:r w:rsidRPr="007B738B">
        <w:t>Table A2: Component 1: Bringing forward the CCS system—Financial implications</w:t>
      </w:r>
      <w:r w:rsidRPr="007B738B">
        <w:rPr>
          <w:vertAlign w:val="superscript"/>
        </w:rPr>
        <w:t>(a)(b)</w:t>
      </w:r>
    </w:p>
    <w:tbl>
      <w:tblPr>
        <w:tblStyle w:val="TableGrid5"/>
        <w:tblW w:w="4637" w:type="pct"/>
        <w:tblLook w:val="0680" w:firstRow="0" w:lastRow="0" w:firstColumn="1" w:lastColumn="0" w:noHBand="1" w:noVBand="1"/>
      </w:tblPr>
      <w:tblGrid>
        <w:gridCol w:w="3015"/>
        <w:gridCol w:w="940"/>
        <w:gridCol w:w="942"/>
        <w:gridCol w:w="940"/>
        <w:gridCol w:w="942"/>
        <w:gridCol w:w="940"/>
      </w:tblGrid>
      <w:tr w:rsidR="000B5C96" w:rsidRPr="007B738B" w:rsidTr="003F606A">
        <w:trPr>
          <w:cantSplit/>
          <w:tblHeader/>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061D10">
            <w:pPr>
              <w:ind w:left="57" w:right="57"/>
              <w:rPr>
                <w:szCs w:val="20"/>
              </w:rPr>
            </w:pPr>
            <w:r w:rsidRPr="007B738B">
              <w:rPr>
                <w:szCs w:val="20"/>
              </w:rPr>
              <w:t>($m)</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2016–17</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2017–18</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2018–19</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2019–20</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Total to 2019–20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7B738B" w:rsidRDefault="000B5C96" w:rsidP="00061D10">
            <w:pPr>
              <w:ind w:left="57" w:right="57"/>
              <w:rPr>
                <w:b/>
                <w:szCs w:val="20"/>
              </w:rPr>
            </w:pPr>
            <w:r w:rsidRPr="007B738B">
              <w:rPr>
                <w:b/>
                <w:bCs/>
                <w:color w:val="000000"/>
                <w:szCs w:val="20"/>
              </w:rPr>
              <w:t>Fiscal balance</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Administered</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-1,217.0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-3.0</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78.0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-1,142.0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Departmental</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-8.0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9.0</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8.0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9.0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061D10">
            <w:pPr>
              <w:ind w:left="57" w:right="57"/>
              <w:rPr>
                <w:b/>
                <w:szCs w:val="20"/>
              </w:rPr>
            </w:pPr>
            <w:r w:rsidRPr="007B738B">
              <w:rPr>
                <w:b/>
                <w:szCs w:val="20"/>
              </w:rPr>
              <w:t xml:space="preserve">Total </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-1,225.0</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5.0</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86.0</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-1,133.0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7B738B" w:rsidRDefault="000B5C96" w:rsidP="00061D10">
            <w:pPr>
              <w:ind w:left="57" w:right="57"/>
              <w:rPr>
                <w:b/>
                <w:szCs w:val="20"/>
              </w:rPr>
            </w:pPr>
            <w:r w:rsidRPr="007B738B">
              <w:rPr>
                <w:b/>
                <w:bCs/>
                <w:color w:val="000000"/>
                <w:szCs w:val="20"/>
              </w:rPr>
              <w:t>Underlying cash balance</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Administered</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-1,135.0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-78.0</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71.0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-1,142.0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Departmental</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-7.0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9.0</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8.0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9.0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061D10">
            <w:pPr>
              <w:ind w:left="57" w:right="57"/>
              <w:rPr>
                <w:b/>
                <w:szCs w:val="20"/>
              </w:rPr>
            </w:pPr>
            <w:r w:rsidRPr="007B738B">
              <w:rPr>
                <w:b/>
                <w:szCs w:val="20"/>
              </w:rPr>
              <w:t>Total</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-1,142.0</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-70.0</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79.0</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-1,133.0</w:t>
            </w:r>
          </w:p>
        </w:tc>
      </w:tr>
    </w:tbl>
    <w:p w:rsidR="000B5C96" w:rsidRDefault="000B5C96" w:rsidP="003F606A">
      <w:pPr>
        <w:pStyle w:val="Footnotes"/>
        <w:numPr>
          <w:ilvl w:val="0"/>
          <w:numId w:val="148"/>
        </w:numPr>
        <w:ind w:left="284" w:hanging="284"/>
      </w:pPr>
      <w:r w:rsidRPr="007B738B">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7B738B" w:rsidRDefault="000B5C96" w:rsidP="003F606A">
      <w:pPr>
        <w:pStyle w:val="Footnotes"/>
        <w:numPr>
          <w:ilvl w:val="0"/>
          <w:numId w:val="148"/>
        </w:numPr>
        <w:ind w:left="284" w:hanging="284"/>
      </w:pPr>
      <w:r w:rsidRPr="007B738B">
        <w:t>Figures may not sum to totals due to rounding.</w:t>
      </w:r>
    </w:p>
    <w:p w:rsidR="000B5C96" w:rsidRPr="007B738B" w:rsidRDefault="000B5C96" w:rsidP="000B5C96">
      <w:pPr>
        <w:pStyle w:val="Footnotes"/>
        <w:numPr>
          <w:ilvl w:val="0"/>
          <w:numId w:val="114"/>
        </w:numPr>
        <w:ind w:left="284" w:hanging="284"/>
      </w:pPr>
      <w:r w:rsidRPr="007B738B">
        <w:t>Indicates nil.</w:t>
      </w:r>
    </w:p>
    <w:p w:rsidR="000B5C96" w:rsidRPr="007B738B" w:rsidRDefault="000B5C96" w:rsidP="003F606A">
      <w:pPr>
        <w:pStyle w:val="Caption"/>
      </w:pPr>
      <w:r w:rsidRPr="007B738B">
        <w:t>Table A3: Component 2: Changing the CCS activity test—Financial implications</w:t>
      </w:r>
      <w:r w:rsidRPr="007B738B">
        <w:rPr>
          <w:vertAlign w:val="superscript"/>
        </w:rPr>
        <w:t>(a)(b)</w:t>
      </w:r>
    </w:p>
    <w:tbl>
      <w:tblPr>
        <w:tblStyle w:val="TableGrid5"/>
        <w:tblW w:w="4637" w:type="pct"/>
        <w:tblLook w:val="0680" w:firstRow="0" w:lastRow="0" w:firstColumn="1" w:lastColumn="0" w:noHBand="1" w:noVBand="1"/>
      </w:tblPr>
      <w:tblGrid>
        <w:gridCol w:w="3015"/>
        <w:gridCol w:w="940"/>
        <w:gridCol w:w="942"/>
        <w:gridCol w:w="940"/>
        <w:gridCol w:w="942"/>
        <w:gridCol w:w="940"/>
      </w:tblGrid>
      <w:tr w:rsidR="000B5C96" w:rsidRPr="007B738B" w:rsidTr="003F606A">
        <w:trPr>
          <w:cantSplit/>
          <w:tblHeader/>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061D10">
            <w:pPr>
              <w:ind w:left="57" w:right="57"/>
              <w:rPr>
                <w:szCs w:val="20"/>
              </w:rPr>
            </w:pPr>
            <w:r w:rsidRPr="007B738B">
              <w:rPr>
                <w:szCs w:val="20"/>
              </w:rPr>
              <w:t>($m)</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2016–17</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2017–18</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2018–19</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2019–20</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Total to 2019–20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7B738B" w:rsidRDefault="000B5C96" w:rsidP="00061D10">
            <w:pPr>
              <w:ind w:left="57" w:right="57"/>
              <w:rPr>
                <w:b/>
                <w:szCs w:val="20"/>
              </w:rPr>
            </w:pPr>
            <w:r w:rsidRPr="007B738B">
              <w:rPr>
                <w:b/>
                <w:bCs/>
                <w:color w:val="000000"/>
                <w:szCs w:val="20"/>
              </w:rPr>
              <w:t>Fiscal balance</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Administered</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-328.0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-364.0</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-407.0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-1,100.0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Departmental</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-2.0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-2.0</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7B738B">
              <w:rPr>
                <w:rFonts w:ascii="Calibri" w:hAnsi="Calibri"/>
                <w:i/>
                <w:szCs w:val="20"/>
              </w:rPr>
              <w:t>-2.0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-7.0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061D10">
            <w:pPr>
              <w:ind w:left="57" w:right="57"/>
              <w:rPr>
                <w:b/>
                <w:szCs w:val="20"/>
              </w:rPr>
            </w:pPr>
            <w:r w:rsidRPr="007B738B">
              <w:rPr>
                <w:b/>
                <w:szCs w:val="20"/>
              </w:rPr>
              <w:t xml:space="preserve">Total </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-330.0</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-366.0</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-410.0</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7B738B">
              <w:rPr>
                <w:rFonts w:ascii="Calibri" w:hAnsi="Calibri"/>
                <w:b/>
                <w:i/>
                <w:szCs w:val="20"/>
              </w:rPr>
              <w:t>-1,106.0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7B738B" w:rsidRDefault="000B5C96" w:rsidP="00061D10">
            <w:pPr>
              <w:ind w:left="57" w:right="57"/>
              <w:rPr>
                <w:b/>
                <w:szCs w:val="20"/>
              </w:rPr>
            </w:pPr>
            <w:r w:rsidRPr="007B738B">
              <w:rPr>
                <w:b/>
                <w:bCs/>
                <w:color w:val="000000"/>
                <w:szCs w:val="20"/>
              </w:rPr>
              <w:t>Underlying cash balance</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Administered</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-295.0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-361.0</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-403.0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7B738B">
              <w:rPr>
                <w:rFonts w:ascii="Calibri" w:hAnsi="Calibri"/>
                <w:b/>
                <w:i/>
                <w:color w:val="000000"/>
                <w:szCs w:val="20"/>
              </w:rPr>
              <w:t>-1,059.0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061D10">
            <w:pPr>
              <w:ind w:left="57" w:right="57"/>
              <w:rPr>
                <w:szCs w:val="20"/>
              </w:rPr>
            </w:pPr>
            <w:r w:rsidRPr="007B738B">
              <w:rPr>
                <w:szCs w:val="20"/>
              </w:rPr>
              <w:t>Departmental</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w:t>
            </w:r>
          </w:p>
        </w:tc>
        <w:tc>
          <w:tcPr>
            <w:tcW w:w="610"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w:t>
            </w:r>
          </w:p>
        </w:tc>
        <w:tc>
          <w:tcPr>
            <w:tcW w:w="609" w:type="pct"/>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7B738B">
              <w:rPr>
                <w:rFonts w:ascii="Calibri" w:hAnsi="Calibri"/>
                <w:b/>
                <w:i/>
                <w:color w:val="000000"/>
                <w:szCs w:val="20"/>
              </w:rPr>
              <w:t>-7.0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061D10">
            <w:pPr>
              <w:ind w:left="57" w:right="57"/>
              <w:rPr>
                <w:b/>
                <w:szCs w:val="20"/>
              </w:rPr>
            </w:pPr>
            <w:r w:rsidRPr="007B738B">
              <w:rPr>
                <w:b/>
                <w:szCs w:val="20"/>
              </w:rPr>
              <w:t>Total</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-298.0</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-363.0</w:t>
            </w:r>
          </w:p>
        </w:tc>
        <w:tc>
          <w:tcPr>
            <w:tcW w:w="610"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-405.0</w:t>
            </w:r>
          </w:p>
        </w:tc>
        <w:tc>
          <w:tcPr>
            <w:tcW w:w="609" w:type="pct"/>
            <w:shd w:val="clear" w:color="auto" w:fill="D7DDE9"/>
          </w:tcPr>
          <w:p w:rsidR="000B5C96" w:rsidRPr="007B738B" w:rsidRDefault="000B5C96" w:rsidP="00061D10">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-1,066.0</w:t>
            </w:r>
          </w:p>
        </w:tc>
      </w:tr>
    </w:tbl>
    <w:p w:rsidR="000B5C96" w:rsidRDefault="000B5C96" w:rsidP="003F606A">
      <w:pPr>
        <w:pStyle w:val="Footnotes"/>
        <w:numPr>
          <w:ilvl w:val="0"/>
          <w:numId w:val="149"/>
        </w:numPr>
        <w:ind w:left="284" w:hanging="284"/>
      </w:pPr>
      <w:r w:rsidRPr="007B738B">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7B738B" w:rsidRDefault="000B5C96" w:rsidP="003F606A">
      <w:pPr>
        <w:pStyle w:val="Footnotes"/>
        <w:numPr>
          <w:ilvl w:val="0"/>
          <w:numId w:val="149"/>
        </w:numPr>
        <w:ind w:left="284" w:hanging="284"/>
      </w:pPr>
      <w:r w:rsidRPr="007B738B">
        <w:t>Figures may not sum to totals due to rounding.</w:t>
      </w:r>
    </w:p>
    <w:p w:rsidR="000B5C96" w:rsidRPr="007B738B" w:rsidRDefault="000B5C96" w:rsidP="000B5C96">
      <w:pPr>
        <w:pStyle w:val="Footnotes"/>
        <w:numPr>
          <w:ilvl w:val="0"/>
          <w:numId w:val="114"/>
        </w:numPr>
        <w:ind w:left="284" w:hanging="284"/>
      </w:pPr>
      <w:r w:rsidRPr="007B738B">
        <w:t>Indicates nil.</w:t>
      </w:r>
    </w:p>
    <w:p w:rsidR="000B5C96" w:rsidRPr="007B738B" w:rsidRDefault="000B5C96" w:rsidP="003F606A">
      <w:pPr>
        <w:pStyle w:val="Caption"/>
      </w:pPr>
      <w:r w:rsidRPr="007B738B">
        <w:t>Table A4: Component 3: 'Reducing Waitlists Fund'–Financial implications</w:t>
      </w:r>
      <w:r w:rsidRPr="007B738B">
        <w:rPr>
          <w:vertAlign w:val="superscript"/>
        </w:rPr>
        <w:t>(a)(b)</w:t>
      </w:r>
    </w:p>
    <w:tbl>
      <w:tblPr>
        <w:tblStyle w:val="TableGrid5"/>
        <w:tblW w:w="4637" w:type="pct"/>
        <w:tblLook w:val="0680" w:firstRow="0" w:lastRow="0" w:firstColumn="1" w:lastColumn="0" w:noHBand="1" w:noVBand="1"/>
      </w:tblPr>
      <w:tblGrid>
        <w:gridCol w:w="3015"/>
        <w:gridCol w:w="940"/>
        <w:gridCol w:w="942"/>
        <w:gridCol w:w="940"/>
        <w:gridCol w:w="942"/>
        <w:gridCol w:w="940"/>
      </w:tblGrid>
      <w:tr w:rsidR="000B5C96" w:rsidRPr="007B738B" w:rsidTr="003F606A">
        <w:trPr>
          <w:cantSplit/>
          <w:tblHeader/>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3F606A">
            <w:pPr>
              <w:keepNext/>
              <w:keepLines/>
              <w:spacing w:before="0" w:after="0"/>
              <w:ind w:left="57" w:right="57"/>
            </w:pPr>
            <w:r w:rsidRPr="007B738B">
              <w:t>($m)</w:t>
            </w:r>
          </w:p>
        </w:tc>
        <w:tc>
          <w:tcPr>
            <w:tcW w:w="609" w:type="pct"/>
            <w:shd w:val="clear" w:color="auto" w:fill="D7DDE9"/>
          </w:tcPr>
          <w:p w:rsidR="000B5C96" w:rsidRPr="007B738B" w:rsidRDefault="000B5C96" w:rsidP="00061D10">
            <w:pPr>
              <w:keepNext/>
              <w:keepLines/>
              <w:spacing w:before="0" w:after="0"/>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B738B">
              <w:rPr>
                <w:rFonts w:ascii="Calibri" w:hAnsi="Calibri"/>
              </w:rPr>
              <w:t>2016–17</w:t>
            </w:r>
          </w:p>
        </w:tc>
        <w:tc>
          <w:tcPr>
            <w:tcW w:w="610" w:type="pct"/>
            <w:shd w:val="clear" w:color="auto" w:fill="D7DDE9"/>
          </w:tcPr>
          <w:p w:rsidR="000B5C96" w:rsidRPr="007B738B" w:rsidRDefault="000B5C96" w:rsidP="00061D10">
            <w:pPr>
              <w:keepNext/>
              <w:keepLines/>
              <w:spacing w:before="0" w:after="0"/>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B738B">
              <w:rPr>
                <w:rFonts w:ascii="Calibri" w:hAnsi="Calibri"/>
              </w:rPr>
              <w:t>2017–18</w:t>
            </w:r>
          </w:p>
        </w:tc>
        <w:tc>
          <w:tcPr>
            <w:tcW w:w="609" w:type="pct"/>
            <w:shd w:val="clear" w:color="auto" w:fill="D7DDE9"/>
          </w:tcPr>
          <w:p w:rsidR="000B5C96" w:rsidRPr="007B738B" w:rsidRDefault="000B5C96" w:rsidP="00061D10">
            <w:pPr>
              <w:keepNext/>
              <w:keepLines/>
              <w:spacing w:before="0" w:after="0"/>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B738B">
              <w:rPr>
                <w:rFonts w:ascii="Calibri" w:hAnsi="Calibri"/>
              </w:rPr>
              <w:t>2018–19</w:t>
            </w:r>
          </w:p>
        </w:tc>
        <w:tc>
          <w:tcPr>
            <w:tcW w:w="610" w:type="pct"/>
            <w:shd w:val="clear" w:color="auto" w:fill="D7DDE9"/>
          </w:tcPr>
          <w:p w:rsidR="000B5C96" w:rsidRPr="007B738B" w:rsidRDefault="000B5C96" w:rsidP="00061D10">
            <w:pPr>
              <w:keepNext/>
              <w:keepLines/>
              <w:spacing w:before="0" w:after="0"/>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B738B">
              <w:rPr>
                <w:rFonts w:ascii="Calibri" w:hAnsi="Calibri"/>
              </w:rPr>
              <w:t>2019–20</w:t>
            </w:r>
          </w:p>
        </w:tc>
        <w:tc>
          <w:tcPr>
            <w:tcW w:w="609" w:type="pct"/>
            <w:shd w:val="clear" w:color="auto" w:fill="D7DDE9"/>
          </w:tcPr>
          <w:p w:rsidR="000B5C96" w:rsidRPr="007B738B" w:rsidRDefault="000B5C96" w:rsidP="00061D10">
            <w:pPr>
              <w:keepNext/>
              <w:keepLines/>
              <w:spacing w:before="0" w:after="0"/>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B738B">
              <w:rPr>
                <w:rFonts w:ascii="Calibri" w:hAnsi="Calibri"/>
                <w:b/>
              </w:rPr>
              <w:t>Total to 2019–20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808080"/>
            </w:tcBorders>
            <w:shd w:val="clear" w:color="auto" w:fill="E9ECF3"/>
          </w:tcPr>
          <w:p w:rsidR="000B5C96" w:rsidRPr="007B738B" w:rsidRDefault="000B5C96" w:rsidP="003F606A">
            <w:pPr>
              <w:keepNext/>
              <w:keepLines/>
              <w:spacing w:before="0" w:after="0"/>
              <w:ind w:left="57" w:right="57"/>
              <w:rPr>
                <w:b/>
                <w:szCs w:val="20"/>
              </w:rPr>
            </w:pPr>
            <w:r w:rsidRPr="007B738B">
              <w:rPr>
                <w:b/>
                <w:bCs/>
                <w:color w:val="000000"/>
                <w:szCs w:val="20"/>
              </w:rPr>
              <w:t>Fiscal balance</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7B738B" w:rsidRDefault="000B5C96" w:rsidP="003F606A">
            <w:pPr>
              <w:keepNext/>
              <w:keepLines/>
              <w:spacing w:before="0" w:after="0"/>
              <w:ind w:left="170" w:right="57"/>
              <w:rPr>
                <w:szCs w:val="20"/>
              </w:rPr>
            </w:pPr>
            <w:r w:rsidRPr="007B738B">
              <w:rPr>
                <w:b/>
                <w:szCs w:val="20"/>
              </w:rPr>
              <w:t>Administered</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3F606A">
            <w:pPr>
              <w:keepNext/>
              <w:keepLines/>
              <w:spacing w:before="0" w:after="0"/>
              <w:ind w:left="283" w:right="57"/>
              <w:rPr>
                <w:i/>
                <w:color w:val="000000"/>
                <w:szCs w:val="20"/>
              </w:rPr>
            </w:pPr>
            <w:r w:rsidRPr="007B738B">
              <w:rPr>
                <w:i/>
                <w:color w:val="000000"/>
                <w:szCs w:val="20"/>
              </w:rPr>
              <w:t>Capped grants</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-50.0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-50.0</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-50.0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7B738B">
              <w:rPr>
                <w:rFonts w:ascii="Calibri" w:hAnsi="Calibri"/>
                <w:b/>
                <w:i/>
                <w:color w:val="000000"/>
                <w:szCs w:val="20"/>
              </w:rPr>
              <w:t>-150.0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3F606A">
            <w:pPr>
              <w:keepNext/>
              <w:keepLines/>
              <w:spacing w:before="0" w:after="0"/>
              <w:ind w:left="283" w:right="57"/>
              <w:rPr>
                <w:i/>
                <w:color w:val="000000"/>
                <w:szCs w:val="20"/>
              </w:rPr>
            </w:pPr>
            <w:r w:rsidRPr="007B738B">
              <w:rPr>
                <w:i/>
                <w:color w:val="000000"/>
                <w:szCs w:val="20"/>
              </w:rPr>
              <w:t xml:space="preserve">Flow-on to child care system </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-39.0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-123.0</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-215.0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7B738B">
              <w:rPr>
                <w:rFonts w:ascii="Calibri" w:hAnsi="Calibri"/>
                <w:b/>
                <w:i/>
                <w:color w:val="000000"/>
                <w:szCs w:val="20"/>
              </w:rPr>
              <w:t>-377.0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Borders>
              <w:bottom w:val="single" w:sz="4" w:space="0" w:color="808080"/>
            </w:tcBorders>
          </w:tcPr>
          <w:p w:rsidR="000B5C96" w:rsidRPr="007B738B" w:rsidRDefault="000B5C96" w:rsidP="003F606A">
            <w:pPr>
              <w:keepNext/>
              <w:keepLines/>
              <w:spacing w:before="0" w:after="0"/>
              <w:ind w:left="170" w:right="57"/>
              <w:rPr>
                <w:b/>
                <w:szCs w:val="20"/>
              </w:rPr>
            </w:pPr>
            <w:r w:rsidRPr="007B738B">
              <w:rPr>
                <w:b/>
                <w:szCs w:val="20"/>
              </w:rPr>
              <w:t>Total administered</w:t>
            </w:r>
          </w:p>
        </w:tc>
        <w:tc>
          <w:tcPr>
            <w:tcW w:w="609" w:type="pct"/>
            <w:tcBorders>
              <w:bottom w:val="single" w:sz="4" w:space="0" w:color="808080"/>
            </w:tcBorders>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tcBorders>
              <w:bottom w:val="single" w:sz="4" w:space="0" w:color="808080"/>
            </w:tcBorders>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7B738B">
              <w:rPr>
                <w:rFonts w:ascii="Calibri" w:hAnsi="Calibri"/>
                <w:b/>
                <w:color w:val="000000"/>
                <w:szCs w:val="20"/>
              </w:rPr>
              <w:t>-89.0</w:t>
            </w:r>
          </w:p>
        </w:tc>
        <w:tc>
          <w:tcPr>
            <w:tcW w:w="609" w:type="pct"/>
            <w:tcBorders>
              <w:bottom w:val="single" w:sz="4" w:space="0" w:color="808080"/>
            </w:tcBorders>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7B738B">
              <w:rPr>
                <w:rFonts w:ascii="Calibri" w:hAnsi="Calibri"/>
                <w:b/>
                <w:color w:val="000000"/>
                <w:szCs w:val="20"/>
              </w:rPr>
              <w:t>-173.0</w:t>
            </w:r>
          </w:p>
        </w:tc>
        <w:tc>
          <w:tcPr>
            <w:tcW w:w="610" w:type="pct"/>
            <w:tcBorders>
              <w:bottom w:val="single" w:sz="4" w:space="0" w:color="808080"/>
            </w:tcBorders>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7B738B">
              <w:rPr>
                <w:rFonts w:ascii="Calibri" w:hAnsi="Calibri"/>
                <w:b/>
                <w:color w:val="000000"/>
                <w:szCs w:val="20"/>
              </w:rPr>
              <w:t>-265.0</w:t>
            </w:r>
          </w:p>
        </w:tc>
        <w:tc>
          <w:tcPr>
            <w:tcW w:w="609" w:type="pct"/>
            <w:tcBorders>
              <w:bottom w:val="single" w:sz="4" w:space="0" w:color="808080"/>
            </w:tcBorders>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7B738B">
              <w:rPr>
                <w:rFonts w:ascii="Calibri" w:hAnsi="Calibri"/>
                <w:b/>
                <w:color w:val="000000"/>
                <w:szCs w:val="20"/>
              </w:rPr>
              <w:t>-527.0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7B738B" w:rsidRDefault="000B5C96" w:rsidP="003F606A">
            <w:pPr>
              <w:keepNext/>
              <w:keepLines/>
              <w:spacing w:before="0" w:after="0"/>
              <w:ind w:left="170" w:right="57"/>
              <w:rPr>
                <w:szCs w:val="20"/>
              </w:rPr>
            </w:pPr>
            <w:r w:rsidRPr="007B738B">
              <w:rPr>
                <w:b/>
                <w:szCs w:val="20"/>
              </w:rPr>
              <w:t>Departmental</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3F606A">
            <w:pPr>
              <w:keepNext/>
              <w:keepLines/>
              <w:spacing w:before="0" w:after="0"/>
              <w:ind w:left="283" w:right="57"/>
              <w:rPr>
                <w:i/>
                <w:color w:val="000000"/>
                <w:szCs w:val="20"/>
              </w:rPr>
            </w:pPr>
            <w:r w:rsidRPr="007B738B">
              <w:rPr>
                <w:i/>
                <w:color w:val="000000"/>
                <w:szCs w:val="20"/>
              </w:rPr>
              <w:t>Departmental - DHS</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-1.0</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7B738B">
              <w:rPr>
                <w:rFonts w:ascii="Calibri" w:hAnsi="Calibri"/>
                <w:b/>
                <w:i/>
                <w:color w:val="000000"/>
                <w:szCs w:val="20"/>
              </w:rPr>
              <w:t>-4.0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3F606A">
            <w:pPr>
              <w:keepNext/>
              <w:keepLines/>
              <w:spacing w:before="0" w:after="0"/>
              <w:ind w:left="283" w:right="57"/>
              <w:rPr>
                <w:i/>
                <w:color w:val="000000"/>
                <w:szCs w:val="20"/>
              </w:rPr>
            </w:pPr>
            <w:r w:rsidRPr="007B738B">
              <w:rPr>
                <w:i/>
                <w:color w:val="000000"/>
                <w:szCs w:val="20"/>
              </w:rPr>
              <w:t xml:space="preserve">Departmental – DET </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7B738B">
              <w:rPr>
                <w:rFonts w:ascii="Calibri" w:hAnsi="Calibri"/>
                <w:b/>
                <w:i/>
                <w:color w:val="000000"/>
                <w:szCs w:val="20"/>
              </w:rPr>
              <w:t>-5.0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3F606A">
            <w:pPr>
              <w:keepNext/>
              <w:keepLines/>
              <w:spacing w:before="0" w:after="0"/>
              <w:ind w:left="170" w:right="57"/>
              <w:rPr>
                <w:b/>
                <w:szCs w:val="20"/>
              </w:rPr>
            </w:pPr>
            <w:r w:rsidRPr="007B738B">
              <w:rPr>
                <w:b/>
                <w:szCs w:val="20"/>
              </w:rPr>
              <w:t>Total departmental</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-2.0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-2.0</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-4.0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-9.0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3F606A">
            <w:pPr>
              <w:keepNext/>
              <w:keepLines/>
              <w:spacing w:before="0" w:after="0"/>
              <w:ind w:left="57" w:right="57"/>
              <w:rPr>
                <w:b/>
                <w:szCs w:val="20"/>
              </w:rPr>
            </w:pPr>
            <w:r w:rsidRPr="007B738B">
              <w:rPr>
                <w:b/>
                <w:szCs w:val="20"/>
              </w:rPr>
              <w:t xml:space="preserve">Total </w:t>
            </w:r>
          </w:p>
        </w:tc>
        <w:tc>
          <w:tcPr>
            <w:tcW w:w="609" w:type="pct"/>
            <w:shd w:val="clear" w:color="auto" w:fill="D7DDE9"/>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shd w:val="clear" w:color="auto" w:fill="D7DDE9"/>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-91.0</w:t>
            </w:r>
          </w:p>
        </w:tc>
        <w:tc>
          <w:tcPr>
            <w:tcW w:w="609" w:type="pct"/>
            <w:shd w:val="clear" w:color="auto" w:fill="D7DDE9"/>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-176.0</w:t>
            </w:r>
          </w:p>
        </w:tc>
        <w:tc>
          <w:tcPr>
            <w:tcW w:w="610" w:type="pct"/>
            <w:shd w:val="clear" w:color="auto" w:fill="D7DDE9"/>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-268.0</w:t>
            </w:r>
          </w:p>
        </w:tc>
        <w:tc>
          <w:tcPr>
            <w:tcW w:w="609" w:type="pct"/>
            <w:shd w:val="clear" w:color="auto" w:fill="D7DDE9"/>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-536.0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808080"/>
            </w:tcBorders>
            <w:shd w:val="clear" w:color="auto" w:fill="E9ECF3"/>
          </w:tcPr>
          <w:p w:rsidR="000B5C96" w:rsidRPr="007B738B" w:rsidRDefault="000B5C96" w:rsidP="003F606A">
            <w:pPr>
              <w:keepNext/>
              <w:keepLines/>
              <w:spacing w:before="0" w:after="0"/>
              <w:ind w:left="57" w:right="57"/>
              <w:rPr>
                <w:b/>
                <w:szCs w:val="20"/>
              </w:rPr>
            </w:pPr>
            <w:r w:rsidRPr="007B738B">
              <w:rPr>
                <w:b/>
                <w:bCs/>
                <w:color w:val="000000"/>
                <w:szCs w:val="20"/>
              </w:rPr>
              <w:t>Underlying cash balance</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7B738B" w:rsidRDefault="000B5C96" w:rsidP="003F606A">
            <w:pPr>
              <w:keepNext/>
              <w:keepLines/>
              <w:spacing w:before="0" w:after="0"/>
              <w:ind w:left="170" w:right="57"/>
              <w:rPr>
                <w:szCs w:val="20"/>
              </w:rPr>
            </w:pPr>
            <w:r w:rsidRPr="007B738B">
              <w:rPr>
                <w:b/>
                <w:szCs w:val="20"/>
              </w:rPr>
              <w:t>Administered</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3F606A">
            <w:pPr>
              <w:keepNext/>
              <w:keepLines/>
              <w:spacing w:before="0" w:after="0"/>
              <w:ind w:left="283" w:right="57"/>
              <w:rPr>
                <w:i/>
                <w:color w:val="000000"/>
                <w:szCs w:val="20"/>
              </w:rPr>
            </w:pPr>
            <w:r w:rsidRPr="007B738B">
              <w:rPr>
                <w:i/>
                <w:color w:val="000000"/>
                <w:szCs w:val="20"/>
              </w:rPr>
              <w:t>Capped grants</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-50.0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-50.0</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-50.0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7B738B">
              <w:rPr>
                <w:rFonts w:ascii="Calibri" w:hAnsi="Calibri"/>
                <w:b/>
                <w:i/>
                <w:color w:val="000000"/>
                <w:szCs w:val="20"/>
              </w:rPr>
              <w:t>-150.0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3F606A">
            <w:pPr>
              <w:keepNext/>
              <w:keepLines/>
              <w:spacing w:before="0" w:after="0"/>
              <w:ind w:left="283" w:right="57"/>
              <w:rPr>
                <w:i/>
                <w:color w:val="000000"/>
                <w:szCs w:val="20"/>
              </w:rPr>
            </w:pPr>
            <w:r w:rsidRPr="007B738B">
              <w:rPr>
                <w:i/>
                <w:color w:val="000000"/>
                <w:szCs w:val="20"/>
              </w:rPr>
              <w:t xml:space="preserve">Flow-on to child care system </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-35.0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-115.0</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-206.0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7B738B">
              <w:rPr>
                <w:rFonts w:ascii="Calibri" w:hAnsi="Calibri"/>
                <w:b/>
                <w:i/>
                <w:color w:val="000000"/>
                <w:szCs w:val="20"/>
              </w:rPr>
              <w:t>-355.0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Borders>
              <w:bottom w:val="single" w:sz="4" w:space="0" w:color="808080"/>
            </w:tcBorders>
          </w:tcPr>
          <w:p w:rsidR="000B5C96" w:rsidRPr="007B738B" w:rsidRDefault="000B5C96" w:rsidP="003F606A">
            <w:pPr>
              <w:keepNext/>
              <w:keepLines/>
              <w:spacing w:before="0" w:after="0"/>
              <w:ind w:left="170" w:right="57"/>
              <w:rPr>
                <w:b/>
                <w:szCs w:val="20"/>
              </w:rPr>
            </w:pPr>
            <w:r w:rsidRPr="007B738B">
              <w:rPr>
                <w:b/>
                <w:szCs w:val="20"/>
              </w:rPr>
              <w:t>Total administered</w:t>
            </w:r>
          </w:p>
        </w:tc>
        <w:tc>
          <w:tcPr>
            <w:tcW w:w="609" w:type="pct"/>
            <w:tcBorders>
              <w:bottom w:val="single" w:sz="4" w:space="0" w:color="808080"/>
            </w:tcBorders>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tcBorders>
              <w:bottom w:val="single" w:sz="4" w:space="0" w:color="808080"/>
            </w:tcBorders>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-85.0</w:t>
            </w:r>
          </w:p>
        </w:tc>
        <w:tc>
          <w:tcPr>
            <w:tcW w:w="609" w:type="pct"/>
            <w:tcBorders>
              <w:bottom w:val="single" w:sz="4" w:space="0" w:color="808080"/>
            </w:tcBorders>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-165.0</w:t>
            </w:r>
          </w:p>
        </w:tc>
        <w:tc>
          <w:tcPr>
            <w:tcW w:w="610" w:type="pct"/>
            <w:tcBorders>
              <w:bottom w:val="single" w:sz="4" w:space="0" w:color="808080"/>
            </w:tcBorders>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-256.0</w:t>
            </w:r>
          </w:p>
        </w:tc>
        <w:tc>
          <w:tcPr>
            <w:tcW w:w="609" w:type="pct"/>
            <w:tcBorders>
              <w:bottom w:val="single" w:sz="4" w:space="0" w:color="808080"/>
            </w:tcBorders>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-505.0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7B738B" w:rsidRDefault="000B5C96" w:rsidP="003F606A">
            <w:pPr>
              <w:keepNext/>
              <w:keepLines/>
              <w:spacing w:before="0" w:after="0"/>
              <w:ind w:left="170" w:right="57"/>
              <w:rPr>
                <w:b/>
                <w:szCs w:val="20"/>
              </w:rPr>
            </w:pPr>
            <w:r w:rsidRPr="007B738B">
              <w:rPr>
                <w:b/>
                <w:szCs w:val="20"/>
              </w:rPr>
              <w:t>Departmental</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3F606A">
            <w:pPr>
              <w:keepNext/>
              <w:keepLines/>
              <w:spacing w:before="0" w:after="0"/>
              <w:ind w:left="283" w:right="57"/>
              <w:rPr>
                <w:i/>
                <w:color w:val="000000"/>
                <w:szCs w:val="20"/>
              </w:rPr>
            </w:pPr>
            <w:r w:rsidRPr="007B738B">
              <w:rPr>
                <w:i/>
                <w:color w:val="000000"/>
                <w:szCs w:val="20"/>
              </w:rPr>
              <w:t>Departmental - DHS</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-1.0</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7B738B">
              <w:rPr>
                <w:rFonts w:ascii="Calibri" w:hAnsi="Calibri"/>
                <w:b/>
                <w:i/>
                <w:color w:val="000000"/>
                <w:szCs w:val="20"/>
              </w:rPr>
              <w:t>-4.0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3F606A">
            <w:pPr>
              <w:keepNext/>
              <w:keepLines/>
              <w:spacing w:before="0" w:after="0"/>
              <w:ind w:left="283" w:right="57"/>
              <w:rPr>
                <w:i/>
                <w:color w:val="000000"/>
                <w:szCs w:val="20"/>
              </w:rPr>
            </w:pPr>
            <w:r w:rsidRPr="007B738B">
              <w:rPr>
                <w:i/>
                <w:color w:val="000000"/>
                <w:szCs w:val="20"/>
              </w:rPr>
              <w:t xml:space="preserve">Departmental – DET </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7B738B">
              <w:rPr>
                <w:rFonts w:ascii="Calibri" w:hAnsi="Calibri"/>
                <w:szCs w:val="20"/>
              </w:rPr>
              <w:t>-</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7B738B">
              <w:rPr>
                <w:rFonts w:ascii="Calibri" w:hAnsi="Calibri"/>
                <w:i/>
                <w:color w:val="000000"/>
                <w:szCs w:val="20"/>
              </w:rPr>
              <w:t>-2.0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7B738B">
              <w:rPr>
                <w:rFonts w:ascii="Calibri" w:hAnsi="Calibri"/>
                <w:b/>
                <w:i/>
                <w:color w:val="000000"/>
                <w:szCs w:val="20"/>
              </w:rPr>
              <w:t>-5.0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tcPr>
          <w:p w:rsidR="000B5C96" w:rsidRPr="007B738B" w:rsidRDefault="000B5C96" w:rsidP="003F606A">
            <w:pPr>
              <w:keepNext/>
              <w:keepLines/>
              <w:spacing w:before="0" w:after="0"/>
              <w:ind w:left="170" w:right="57"/>
              <w:rPr>
                <w:b/>
                <w:szCs w:val="20"/>
              </w:rPr>
            </w:pPr>
            <w:r w:rsidRPr="007B738B">
              <w:rPr>
                <w:b/>
                <w:szCs w:val="20"/>
              </w:rPr>
              <w:t>Total departmental</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-2.0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-2.0</w:t>
            </w:r>
          </w:p>
        </w:tc>
        <w:tc>
          <w:tcPr>
            <w:tcW w:w="610"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-4.0</w:t>
            </w:r>
          </w:p>
        </w:tc>
        <w:tc>
          <w:tcPr>
            <w:tcW w:w="609" w:type="pct"/>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-9.0</w:t>
            </w:r>
          </w:p>
        </w:tc>
      </w:tr>
      <w:tr w:rsidR="000B5C96" w:rsidRPr="007B738B" w:rsidTr="003F606A">
        <w:trPr>
          <w:cantSplit/>
        </w:trPr>
        <w:tc>
          <w:tcPr>
            <w:cnfStyle w:val="001000000000" w:firstRow="0" w:lastRow="0" w:firstColumn="1" w:lastColumn="0" w:oddVBand="0" w:evenVBand="0" w:oddHBand="0" w:evenHBand="0" w:firstRowFirstColumn="0" w:firstRowLastColumn="0" w:lastRowFirstColumn="0" w:lastRowLastColumn="0"/>
            <w:tcW w:w="1953" w:type="pct"/>
            <w:shd w:val="clear" w:color="auto" w:fill="D7DDE9"/>
          </w:tcPr>
          <w:p w:rsidR="000B5C96" w:rsidRPr="007B738B" w:rsidRDefault="000B5C96" w:rsidP="003F606A">
            <w:pPr>
              <w:keepNext/>
              <w:keepLines/>
              <w:spacing w:before="0" w:after="0"/>
              <w:ind w:left="57" w:right="57"/>
              <w:rPr>
                <w:b/>
                <w:szCs w:val="20"/>
              </w:rPr>
            </w:pPr>
            <w:r w:rsidRPr="007B738B">
              <w:rPr>
                <w:b/>
                <w:szCs w:val="20"/>
              </w:rPr>
              <w:t>Total</w:t>
            </w:r>
          </w:p>
        </w:tc>
        <w:tc>
          <w:tcPr>
            <w:tcW w:w="609" w:type="pct"/>
            <w:shd w:val="clear" w:color="auto" w:fill="D7DDE9"/>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w:t>
            </w:r>
          </w:p>
        </w:tc>
        <w:tc>
          <w:tcPr>
            <w:tcW w:w="610" w:type="pct"/>
            <w:shd w:val="clear" w:color="auto" w:fill="D7DDE9"/>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-87.0</w:t>
            </w:r>
          </w:p>
        </w:tc>
        <w:tc>
          <w:tcPr>
            <w:tcW w:w="609" w:type="pct"/>
            <w:shd w:val="clear" w:color="auto" w:fill="D7DDE9"/>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-167.0</w:t>
            </w:r>
          </w:p>
        </w:tc>
        <w:tc>
          <w:tcPr>
            <w:tcW w:w="610" w:type="pct"/>
            <w:shd w:val="clear" w:color="auto" w:fill="D7DDE9"/>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-259.0</w:t>
            </w:r>
          </w:p>
        </w:tc>
        <w:tc>
          <w:tcPr>
            <w:tcW w:w="609" w:type="pct"/>
            <w:shd w:val="clear" w:color="auto" w:fill="D7DDE9"/>
          </w:tcPr>
          <w:p w:rsidR="000B5C96" w:rsidRPr="007B738B" w:rsidRDefault="000B5C96" w:rsidP="00061D10">
            <w:pPr>
              <w:keepNext/>
              <w:keepLines/>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7B738B">
              <w:rPr>
                <w:rFonts w:ascii="Calibri" w:hAnsi="Calibri"/>
                <w:b/>
                <w:szCs w:val="20"/>
              </w:rPr>
              <w:t>-514.0</w:t>
            </w:r>
          </w:p>
        </w:tc>
      </w:tr>
    </w:tbl>
    <w:p w:rsidR="000B5C96" w:rsidRPr="003F606A" w:rsidRDefault="000B5C96" w:rsidP="003F606A">
      <w:pPr>
        <w:pStyle w:val="Footnotes"/>
        <w:numPr>
          <w:ilvl w:val="0"/>
          <w:numId w:val="151"/>
        </w:numPr>
        <w:ind w:left="284" w:hanging="284"/>
      </w:pPr>
      <w:r w:rsidRPr="007B738B">
        <w:t>A positive number indicates an increase in revenue or decrease in expenses or net capital investment in accrual and cash terms.  A negative number indicates a decrease in revenue or an increa</w:t>
      </w:r>
      <w:r w:rsidRPr="003F606A">
        <w:t xml:space="preserve">se in expenses or net capital investment in accrual and cash terms.  </w:t>
      </w:r>
    </w:p>
    <w:p w:rsidR="000B5C96" w:rsidRPr="007B738B" w:rsidRDefault="000B5C96" w:rsidP="003F606A">
      <w:pPr>
        <w:pStyle w:val="Footnotes"/>
        <w:rPr>
          <w:rFonts w:ascii="Times New Roman" w:eastAsia="Times New Roman" w:hAnsi="Times New Roman"/>
          <w:lang w:eastAsia="en-AU"/>
        </w:rPr>
      </w:pPr>
      <w:r w:rsidRPr="003F606A">
        <w:t>Figures ma</w:t>
      </w:r>
      <w:r w:rsidRPr="007B738B">
        <w:t>y not sum to totals due to rounding.</w:t>
      </w:r>
    </w:p>
    <w:p w:rsidR="000B5C96" w:rsidRPr="007B738B" w:rsidRDefault="000B5C96" w:rsidP="003F606A">
      <w:pPr>
        <w:pStyle w:val="Footnotes"/>
        <w:numPr>
          <w:ilvl w:val="0"/>
          <w:numId w:val="0"/>
        </w:numPr>
        <w:ind w:left="284" w:hanging="284"/>
      </w:pPr>
      <w:r w:rsidRPr="007B738B">
        <w:t>..</w:t>
      </w:r>
      <w:r w:rsidRPr="007B738B">
        <w:tab/>
        <w:t>Not zero but rounded to zero.</w:t>
      </w:r>
    </w:p>
    <w:p w:rsidR="000B5C96" w:rsidRDefault="000B5C96" w:rsidP="000B5C96">
      <w:pPr>
        <w:pStyle w:val="Footnotes"/>
        <w:numPr>
          <w:ilvl w:val="0"/>
          <w:numId w:val="114"/>
        </w:numPr>
        <w:ind w:left="284" w:hanging="284"/>
      </w:pPr>
      <w:r w:rsidRPr="007B738B">
        <w:t>Indicates nil.</w:t>
      </w: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19" w:name="_Toc457979348"/>
      <w:bookmarkStart w:id="120" w:name="_Toc458069206"/>
      <w:r>
        <w:t>GRN031: Investing in Early Childhood Educators</w:t>
      </w:r>
      <w:bookmarkEnd w:id="119"/>
      <w:bookmarkEnd w:id="120"/>
    </w:p>
    <w:p w:rsidR="000B5C96" w:rsidRPr="009C09D3" w:rsidRDefault="000B5C96" w:rsidP="003F606A">
      <w:pPr>
        <w:pStyle w:val="BodyText"/>
      </w:pPr>
      <w:r w:rsidRPr="009C09D3">
        <w:rPr>
          <w:noProof/>
          <w:lang w:eastAsia="en-AU"/>
        </w:rPr>
        <w:drawing>
          <wp:inline distT="0" distB="0" distL="0" distR="0" wp14:anchorId="63982210" wp14:editId="5E5FBD2A">
            <wp:extent cx="2696845" cy="572135"/>
            <wp:effectExtent l="0" t="0" r="8255" b="0"/>
            <wp:docPr id="18" name="Picture 1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3D3473" w:rsidRDefault="000B5C96" w:rsidP="000B5C96">
      <w:pPr>
        <w:pStyle w:val="Heading6"/>
        <w:numPr>
          <w:ilvl w:val="0"/>
          <w:numId w:val="5"/>
        </w:numPr>
        <w:tabs>
          <w:tab w:val="clear" w:pos="0"/>
          <w:tab w:val="num" w:pos="360"/>
          <w:tab w:val="right" w:pos="1418"/>
          <w:tab w:val="right" w:pos="1701"/>
          <w:tab w:val="right" w:pos="1985"/>
        </w:tabs>
      </w:pPr>
      <w:r w:rsidRPr="003D3473">
        <w:t>Policy costing—during the caretaker period for the 2016 general election</w:t>
      </w:r>
    </w:p>
    <w:tbl>
      <w:tblPr>
        <w:tblStyle w:val="TableGrid6"/>
        <w:tblW w:w="8340" w:type="dxa"/>
        <w:tblLook w:val="04A0" w:firstRow="1" w:lastRow="0" w:firstColumn="1" w:lastColumn="0" w:noHBand="0" w:noVBand="1"/>
      </w:tblPr>
      <w:tblGrid>
        <w:gridCol w:w="3005"/>
        <w:gridCol w:w="5335"/>
      </w:tblGrid>
      <w:tr w:rsidR="000B5C96" w:rsidRPr="00427620"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DE3D76" w:rsidRDefault="000B5C96" w:rsidP="003F606A">
            <w:pPr>
              <w:pStyle w:val="PullOutBoxHeading"/>
              <w:rPr>
                <w:b w:val="0"/>
                <w:sz w:val="22"/>
              </w:rPr>
            </w:pPr>
            <w:r w:rsidRPr="00DE3D76">
              <w:rPr>
                <w:sz w:val="22"/>
              </w:rPr>
              <w:t>Name of proposal:</w:t>
            </w:r>
          </w:p>
        </w:tc>
        <w:tc>
          <w:tcPr>
            <w:tcW w:w="5335" w:type="dxa"/>
          </w:tcPr>
          <w:p w:rsidR="000B5C96" w:rsidRPr="00DE3D76" w:rsidRDefault="000B5C96" w:rsidP="00DE3D76">
            <w:pPr>
              <w:pStyle w:val="PullOutBoxHeading"/>
              <w:jc w:val="left"/>
              <w:cnfStyle w:val="100000000000" w:firstRow="1" w:lastRow="0" w:firstColumn="0" w:lastColumn="0" w:oddVBand="0" w:evenVBand="0" w:oddHBand="0" w:evenHBand="0" w:firstRowFirstColumn="0" w:firstRowLastColumn="0" w:lastRowFirstColumn="0" w:lastRowLastColumn="0"/>
              <w:rPr>
                <w:b w:val="0"/>
                <w:sz w:val="22"/>
              </w:rPr>
            </w:pPr>
            <w:bookmarkStart w:id="121" w:name="ProposalName"/>
            <w:r w:rsidRPr="00DE3D76">
              <w:rPr>
                <w:sz w:val="22"/>
              </w:rPr>
              <w:t>Investing in Early Childhood Educators</w:t>
            </w:r>
            <w:bookmarkEnd w:id="121"/>
          </w:p>
        </w:tc>
      </w:tr>
      <w:tr w:rsidR="000B5C96" w:rsidRPr="00DE3D76" w:rsidTr="00DE3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DE3D76" w:rsidRDefault="000B5C96" w:rsidP="00DE3D76">
            <w:pPr>
              <w:pStyle w:val="PullOutBoxBodyText"/>
              <w:rPr>
                <w:sz w:val="22"/>
              </w:rPr>
            </w:pPr>
            <w:r w:rsidRPr="00DE3D76">
              <w:rPr>
                <w:sz w:val="22"/>
              </w:rPr>
              <w:t>Summary of proposal:</w:t>
            </w:r>
          </w:p>
        </w:tc>
        <w:tc>
          <w:tcPr>
            <w:tcW w:w="5335" w:type="dxa"/>
          </w:tcPr>
          <w:p w:rsidR="000B5C96" w:rsidRPr="00DE3D76" w:rsidRDefault="000B5C96" w:rsidP="00DE3D76">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DE3D76">
              <w:rPr>
                <w:sz w:val="22"/>
              </w:rPr>
              <w:t>The proposal would waive Higher Education Loan Program (HELP) repayments for early childhood education graduates employed in Long Day Care (LDC) centres.  HELP debt equivalent to the repayment that would otherwise be required for the financial year would be written down.  Furthermore, graduates working in LDC centres in remote or low socio-economic areas would have the amount of debt written down doubled in comparison to graduates working in other LDC centres.</w:t>
            </w:r>
          </w:p>
          <w:p w:rsidR="000B5C96" w:rsidRPr="00DE3D76" w:rsidRDefault="000B5C96" w:rsidP="00DE3D76">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DE3D76">
              <w:rPr>
                <w:sz w:val="22"/>
              </w:rPr>
              <w:t>The proposal would have effect from 1 July 2017.</w:t>
            </w:r>
          </w:p>
        </w:tc>
      </w:tr>
      <w:tr w:rsidR="000B5C96" w:rsidRPr="00924659"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DE3D76" w:rsidRDefault="000B5C96" w:rsidP="003F606A">
            <w:pPr>
              <w:pStyle w:val="PullOutBoxBodyText"/>
              <w:rPr>
                <w:sz w:val="22"/>
              </w:rPr>
            </w:pPr>
            <w:r w:rsidRPr="00DE3D76">
              <w:rPr>
                <w:sz w:val="22"/>
              </w:rPr>
              <w:t>Person/party requesting costing:</w:t>
            </w:r>
          </w:p>
        </w:tc>
        <w:tc>
          <w:tcPr>
            <w:tcW w:w="5335" w:type="dxa"/>
          </w:tcPr>
          <w:p w:rsidR="000B5C96" w:rsidRPr="00DE3D76"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DE3D76">
              <w:rPr>
                <w:sz w:val="22"/>
              </w:rPr>
              <w:t>Senator Richard Di Natale, Australian Greens</w:t>
            </w:r>
          </w:p>
        </w:tc>
      </w:tr>
      <w:tr w:rsidR="000B5C96" w:rsidRPr="00924659"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DE3D76" w:rsidRDefault="000B5C96" w:rsidP="003F606A">
            <w:pPr>
              <w:pStyle w:val="PullOutBoxBodyText"/>
              <w:rPr>
                <w:sz w:val="22"/>
              </w:rPr>
            </w:pPr>
            <w:r w:rsidRPr="00DE3D76">
              <w:rPr>
                <w:sz w:val="22"/>
              </w:rPr>
              <w:t>Date of public release of policy:</w:t>
            </w:r>
          </w:p>
        </w:tc>
        <w:tc>
          <w:tcPr>
            <w:tcW w:w="5335" w:type="dxa"/>
          </w:tcPr>
          <w:p w:rsidR="000B5C96" w:rsidRPr="00DE3D76"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DE3D76">
              <w:rPr>
                <w:sz w:val="22"/>
              </w:rPr>
              <w:t>9 June 2016</w:t>
            </w:r>
          </w:p>
        </w:tc>
      </w:tr>
      <w:tr w:rsidR="000B5C96" w:rsidRPr="00924659"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DE3D76" w:rsidRDefault="000B5C96" w:rsidP="003F606A">
            <w:pPr>
              <w:pStyle w:val="PullOutBoxBodyText"/>
              <w:rPr>
                <w:sz w:val="22"/>
              </w:rPr>
            </w:pPr>
            <w:r w:rsidRPr="00DE3D76">
              <w:rPr>
                <w:sz w:val="22"/>
              </w:rPr>
              <w:t>Date costing request received:</w:t>
            </w:r>
          </w:p>
        </w:tc>
        <w:tc>
          <w:tcPr>
            <w:tcW w:w="5335" w:type="dxa"/>
          </w:tcPr>
          <w:p w:rsidR="000B5C96" w:rsidRPr="00DE3D76"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rPr>
                <w:sz w:val="22"/>
              </w:rPr>
            </w:pPr>
            <w:bookmarkStart w:id="122" w:name="ReceivedDate"/>
            <w:r w:rsidRPr="00DE3D76">
              <w:rPr>
                <w:sz w:val="22"/>
              </w:rPr>
              <w:t>28 June 2016</w:t>
            </w:r>
            <w:bookmarkEnd w:id="122"/>
          </w:p>
        </w:tc>
      </w:tr>
      <w:tr w:rsidR="000B5C96" w:rsidRPr="00924659"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DE3D76" w:rsidRDefault="000B5C96" w:rsidP="003F606A">
            <w:pPr>
              <w:pStyle w:val="PullOutBoxBodyText"/>
              <w:rPr>
                <w:sz w:val="22"/>
              </w:rPr>
            </w:pPr>
            <w:r w:rsidRPr="00DE3D76">
              <w:rPr>
                <w:sz w:val="22"/>
              </w:rPr>
              <w:t>Date costing completed:</w:t>
            </w:r>
          </w:p>
        </w:tc>
        <w:tc>
          <w:tcPr>
            <w:tcW w:w="5335" w:type="dxa"/>
          </w:tcPr>
          <w:p w:rsidR="000B5C96" w:rsidRPr="00DE3D76"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DE3D76">
              <w:rPr>
                <w:sz w:val="22"/>
              </w:rPr>
              <w:t>29 June 2016</w:t>
            </w:r>
          </w:p>
        </w:tc>
      </w:tr>
      <w:tr w:rsidR="000B5C96" w:rsidRPr="00924659"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DE3D76" w:rsidRDefault="000B5C96" w:rsidP="003F606A">
            <w:pPr>
              <w:pStyle w:val="PullOutBoxBodyText"/>
              <w:rPr>
                <w:sz w:val="22"/>
              </w:rPr>
            </w:pPr>
            <w:r w:rsidRPr="00DE3D76">
              <w:rPr>
                <w:sz w:val="22"/>
              </w:rPr>
              <w:t>Expiry date for the costing:</w:t>
            </w:r>
          </w:p>
        </w:tc>
        <w:tc>
          <w:tcPr>
            <w:tcW w:w="5335" w:type="dxa"/>
          </w:tcPr>
          <w:p w:rsidR="000B5C96" w:rsidRPr="00DE3D76"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DE3D76">
              <w:rPr>
                <w:sz w:val="22"/>
              </w:rPr>
              <w:t>Release of the next economic and fiscal outlook report</w:t>
            </w:r>
          </w:p>
        </w:tc>
      </w:tr>
    </w:tbl>
    <w:p w:rsidR="000B5C96" w:rsidRPr="00D7096D" w:rsidRDefault="000B5C96" w:rsidP="003F606A">
      <w:pPr>
        <w:pStyle w:val="CostingsH7"/>
      </w:pPr>
      <w:r w:rsidRPr="00D7096D">
        <w:t>Costing overview</w:t>
      </w:r>
    </w:p>
    <w:p w:rsidR="000B5C96" w:rsidRPr="00924659" w:rsidRDefault="000B5C96" w:rsidP="003F606A">
      <w:pPr>
        <w:pStyle w:val="BodyText"/>
      </w:pPr>
      <w:r w:rsidRPr="00924659">
        <w:t>The proposal would be expected to decrease the fiscal balance by $29 million, decrease the underlying cash balance by $7 million and decrease the headline cash balance by $29 million over the 2016</w:t>
      </w:r>
      <w:r w:rsidRPr="00924659">
        <w:noBreakHyphen/>
        <w:t>17 Budget forward estimates period.</w:t>
      </w:r>
    </w:p>
    <w:p w:rsidR="000B5C96" w:rsidRPr="00924659" w:rsidRDefault="000B5C96" w:rsidP="003F606A">
      <w:pPr>
        <w:pStyle w:val="BodyText"/>
      </w:pPr>
      <w:r w:rsidRPr="00924659">
        <w:t xml:space="preserve">This proposal includes a number of components and would have an ongoing impact that extends beyond the forward estimates period.  The disaggregated financial impacts of the proposal over the period 2016-17 to 2026-27 are provided at </w:t>
      </w:r>
      <w:r w:rsidRPr="00924659">
        <w:rPr>
          <w:u w:val="single"/>
        </w:rPr>
        <w:t>Attachment A</w:t>
      </w:r>
      <w:r w:rsidRPr="00924659">
        <w:t>.</w:t>
      </w:r>
    </w:p>
    <w:p w:rsidR="000B5C96" w:rsidRPr="00924659" w:rsidRDefault="000B5C96" w:rsidP="003F606A">
      <w:pPr>
        <w:pStyle w:val="BodyText"/>
      </w:pPr>
      <w:r w:rsidRPr="00924659">
        <w:t xml:space="preserve">The </w:t>
      </w:r>
      <w:r w:rsidRPr="00924659">
        <w:rPr>
          <w:i/>
        </w:rPr>
        <w:t>Methodology</w:t>
      </w:r>
      <w:r w:rsidRPr="00924659">
        <w:t xml:space="preserve"> section provides information on how the impacts on each budget balance were calculated.  As the proposal impacts on financial asset transactions the Public Debt Interest (PDI) impact of the proposal has been included in this costing and a note on the accounting treatment of income contingent loans is included at </w:t>
      </w:r>
      <w:r w:rsidRPr="00924659">
        <w:rPr>
          <w:u w:val="single"/>
        </w:rPr>
        <w:t>Attachment B</w:t>
      </w:r>
      <w:r w:rsidRPr="00924659">
        <w:t>.</w:t>
      </w:r>
    </w:p>
    <w:p w:rsidR="000B5C96" w:rsidRPr="00924659" w:rsidRDefault="000B5C96" w:rsidP="003F606A">
      <w:pPr>
        <w:pStyle w:val="BodyText"/>
      </w:pPr>
      <w:r w:rsidRPr="00924659">
        <w:t>The proposal would not be expected to result in additional departmental expenditure as the implementation of the policy is not expected to have a material impact on the administration of the overall HELP.</w:t>
      </w:r>
    </w:p>
    <w:p w:rsidR="000B5C96" w:rsidRPr="00924659" w:rsidRDefault="000B5C96" w:rsidP="003F606A">
      <w:pPr>
        <w:pStyle w:val="BodyText"/>
        <w:rPr>
          <w:highlight w:val="yellow"/>
        </w:rPr>
      </w:pPr>
      <w:r w:rsidRPr="00924659">
        <w:t>The costing is considered to be of low to medium reliability due to uncertainty surrounding the income of early childhood education graduates.</w:t>
      </w:r>
    </w:p>
    <w:p w:rsidR="000B5C96" w:rsidRPr="00924659" w:rsidRDefault="000B5C96" w:rsidP="003F606A">
      <w:pPr>
        <w:pStyle w:val="Caption"/>
      </w:pPr>
      <w:r w:rsidRPr="00924659">
        <w:t>Table 1: Financial implications (outturn prices)</w:t>
      </w:r>
      <w:r w:rsidRPr="00924659">
        <w:rPr>
          <w:vertAlign w:val="superscript"/>
        </w:rPr>
        <w:t>(a)(b)</w:t>
      </w:r>
    </w:p>
    <w:tbl>
      <w:tblPr>
        <w:tblStyle w:val="TableGrid6"/>
        <w:tblW w:w="4993" w:type="pct"/>
        <w:tblLook w:val="04A0" w:firstRow="1" w:lastRow="0" w:firstColumn="1" w:lastColumn="0" w:noHBand="0" w:noVBand="1"/>
      </w:tblPr>
      <w:tblGrid>
        <w:gridCol w:w="2645"/>
        <w:gridCol w:w="1134"/>
        <w:gridCol w:w="1133"/>
        <w:gridCol w:w="1133"/>
        <w:gridCol w:w="1133"/>
        <w:gridCol w:w="1132"/>
      </w:tblGrid>
      <w:tr w:rsidR="000B5C96" w:rsidRPr="00924659"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924659" w:rsidRDefault="000B5C96" w:rsidP="003F606A">
            <w:pPr>
              <w:keepNext/>
              <w:keepLines/>
              <w:spacing w:line="240" w:lineRule="auto"/>
              <w:ind w:left="57" w:right="57"/>
              <w:rPr>
                <w:szCs w:val="20"/>
              </w:rPr>
            </w:pPr>
            <w:r w:rsidRPr="00924659">
              <w:rPr>
                <w:szCs w:val="20"/>
              </w:rPr>
              <w:t>Impact on ($m)</w:t>
            </w:r>
          </w:p>
        </w:tc>
        <w:tc>
          <w:tcPr>
            <w:tcW w:w="682" w:type="pct"/>
            <w:vAlign w:val="center"/>
          </w:tcPr>
          <w:p w:rsidR="000B5C96" w:rsidRPr="0092465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24659">
              <w:rPr>
                <w:szCs w:val="20"/>
              </w:rPr>
              <w:t>2016–17</w:t>
            </w:r>
          </w:p>
        </w:tc>
        <w:tc>
          <w:tcPr>
            <w:tcW w:w="682" w:type="pct"/>
            <w:vAlign w:val="center"/>
          </w:tcPr>
          <w:p w:rsidR="000B5C96" w:rsidRPr="0092465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24659">
              <w:rPr>
                <w:szCs w:val="20"/>
              </w:rPr>
              <w:t>2017–18</w:t>
            </w:r>
          </w:p>
        </w:tc>
        <w:tc>
          <w:tcPr>
            <w:tcW w:w="682" w:type="pct"/>
            <w:vAlign w:val="center"/>
          </w:tcPr>
          <w:p w:rsidR="000B5C96" w:rsidRPr="0092465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24659">
              <w:rPr>
                <w:szCs w:val="20"/>
              </w:rPr>
              <w:t>2018–19</w:t>
            </w:r>
          </w:p>
        </w:tc>
        <w:tc>
          <w:tcPr>
            <w:tcW w:w="682" w:type="pct"/>
            <w:vAlign w:val="center"/>
          </w:tcPr>
          <w:p w:rsidR="000B5C96" w:rsidRPr="0092465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24659">
              <w:rPr>
                <w:szCs w:val="20"/>
              </w:rPr>
              <w:t>2019–20</w:t>
            </w:r>
          </w:p>
        </w:tc>
        <w:tc>
          <w:tcPr>
            <w:tcW w:w="681" w:type="pct"/>
            <w:vAlign w:val="center"/>
          </w:tcPr>
          <w:p w:rsidR="000B5C96" w:rsidRPr="0092465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24659">
              <w:rPr>
                <w:szCs w:val="20"/>
              </w:rPr>
              <w:t>Total</w:t>
            </w:r>
          </w:p>
        </w:tc>
      </w:tr>
      <w:tr w:rsidR="000B5C96" w:rsidRPr="00924659"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924659" w:rsidRDefault="000B5C96" w:rsidP="003F606A">
            <w:pPr>
              <w:keepNext/>
              <w:keepLines/>
              <w:spacing w:line="240" w:lineRule="auto"/>
              <w:ind w:left="57" w:right="57"/>
              <w:rPr>
                <w:szCs w:val="20"/>
              </w:rPr>
            </w:pPr>
            <w:r w:rsidRPr="00924659">
              <w:rPr>
                <w:szCs w:val="20"/>
              </w:rPr>
              <w:t>Fiscal balance</w:t>
            </w:r>
          </w:p>
        </w:tc>
        <w:tc>
          <w:tcPr>
            <w:tcW w:w="682" w:type="pct"/>
          </w:tcPr>
          <w:p w:rsidR="000B5C96" w:rsidRPr="00924659"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24659">
              <w:rPr>
                <w:rFonts w:ascii="Calibri" w:hAnsi="Calibri"/>
              </w:rPr>
              <w:t>-</w:t>
            </w:r>
          </w:p>
        </w:tc>
        <w:tc>
          <w:tcPr>
            <w:tcW w:w="682" w:type="pct"/>
          </w:tcPr>
          <w:p w:rsidR="000B5C96" w:rsidRPr="00924659"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24659">
              <w:rPr>
                <w:rFonts w:ascii="Calibri" w:hAnsi="Calibri"/>
              </w:rPr>
              <w:t>-9.0</w:t>
            </w:r>
          </w:p>
        </w:tc>
        <w:tc>
          <w:tcPr>
            <w:tcW w:w="682" w:type="pct"/>
          </w:tcPr>
          <w:p w:rsidR="000B5C96" w:rsidRPr="00924659"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24659">
              <w:rPr>
                <w:rFonts w:ascii="Calibri" w:hAnsi="Calibri"/>
              </w:rPr>
              <w:t>-10.0</w:t>
            </w:r>
          </w:p>
        </w:tc>
        <w:tc>
          <w:tcPr>
            <w:tcW w:w="682" w:type="pct"/>
          </w:tcPr>
          <w:p w:rsidR="000B5C96" w:rsidRPr="00924659"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24659">
              <w:rPr>
                <w:rFonts w:ascii="Calibri" w:hAnsi="Calibri"/>
              </w:rPr>
              <w:t>-11.0</w:t>
            </w:r>
          </w:p>
        </w:tc>
        <w:tc>
          <w:tcPr>
            <w:tcW w:w="681" w:type="pct"/>
          </w:tcPr>
          <w:p w:rsidR="000B5C96" w:rsidRPr="00924659"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924659">
              <w:rPr>
                <w:rFonts w:ascii="Calibri" w:hAnsi="Calibri"/>
                <w:b/>
              </w:rPr>
              <w:t>-29.0</w:t>
            </w:r>
          </w:p>
        </w:tc>
      </w:tr>
      <w:tr w:rsidR="000B5C96" w:rsidRPr="00924659"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924659" w:rsidRDefault="000B5C96" w:rsidP="003F606A">
            <w:pPr>
              <w:keepNext/>
              <w:keepLines/>
              <w:spacing w:line="240" w:lineRule="auto"/>
              <w:ind w:left="57" w:right="57"/>
              <w:rPr>
                <w:szCs w:val="20"/>
              </w:rPr>
            </w:pPr>
            <w:r w:rsidRPr="00924659">
              <w:rPr>
                <w:szCs w:val="20"/>
              </w:rPr>
              <w:t>Underlying cash balance</w:t>
            </w:r>
          </w:p>
        </w:tc>
        <w:tc>
          <w:tcPr>
            <w:tcW w:w="682"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24659">
              <w:rPr>
                <w:rFonts w:ascii="Calibri" w:hAnsi="Calibri"/>
              </w:rPr>
              <w:t>-</w:t>
            </w:r>
          </w:p>
        </w:tc>
        <w:tc>
          <w:tcPr>
            <w:tcW w:w="682"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24659">
              <w:rPr>
                <w:rFonts w:ascii="Calibri" w:hAnsi="Calibri"/>
              </w:rPr>
              <w:t>-2.0</w:t>
            </w:r>
          </w:p>
        </w:tc>
        <w:tc>
          <w:tcPr>
            <w:tcW w:w="682"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24659">
              <w:rPr>
                <w:rFonts w:ascii="Calibri" w:hAnsi="Calibri"/>
              </w:rPr>
              <w:t>-2.0</w:t>
            </w:r>
          </w:p>
        </w:tc>
        <w:tc>
          <w:tcPr>
            <w:tcW w:w="682"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24659">
              <w:rPr>
                <w:rFonts w:ascii="Calibri" w:hAnsi="Calibri"/>
              </w:rPr>
              <w:t>-3.0</w:t>
            </w:r>
          </w:p>
        </w:tc>
        <w:tc>
          <w:tcPr>
            <w:tcW w:w="681"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24659">
              <w:rPr>
                <w:rFonts w:ascii="Calibri" w:hAnsi="Calibri"/>
                <w:b/>
              </w:rPr>
              <w:t>-7.0</w:t>
            </w:r>
          </w:p>
        </w:tc>
      </w:tr>
      <w:tr w:rsidR="000B5C96" w:rsidRPr="00924659"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924659" w:rsidRDefault="000B5C96" w:rsidP="003F606A">
            <w:pPr>
              <w:keepNext/>
              <w:keepLines/>
              <w:spacing w:line="240" w:lineRule="auto"/>
              <w:ind w:left="57" w:right="57"/>
              <w:rPr>
                <w:szCs w:val="20"/>
              </w:rPr>
            </w:pPr>
            <w:r w:rsidRPr="00924659">
              <w:rPr>
                <w:szCs w:val="20"/>
              </w:rPr>
              <w:t>Headline cash balance</w:t>
            </w:r>
          </w:p>
        </w:tc>
        <w:tc>
          <w:tcPr>
            <w:tcW w:w="682" w:type="pct"/>
          </w:tcPr>
          <w:p w:rsidR="000B5C96" w:rsidRPr="00924659"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24659">
              <w:rPr>
                <w:rFonts w:ascii="Calibri" w:hAnsi="Calibri"/>
              </w:rPr>
              <w:t>-</w:t>
            </w:r>
          </w:p>
        </w:tc>
        <w:tc>
          <w:tcPr>
            <w:tcW w:w="682" w:type="pct"/>
          </w:tcPr>
          <w:p w:rsidR="000B5C96" w:rsidRPr="00924659"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24659">
              <w:rPr>
                <w:rFonts w:ascii="Calibri" w:hAnsi="Calibri"/>
              </w:rPr>
              <w:t>-8.0</w:t>
            </w:r>
          </w:p>
        </w:tc>
        <w:tc>
          <w:tcPr>
            <w:tcW w:w="682" w:type="pct"/>
          </w:tcPr>
          <w:p w:rsidR="000B5C96" w:rsidRPr="00924659"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24659">
              <w:rPr>
                <w:rFonts w:ascii="Calibri" w:hAnsi="Calibri"/>
              </w:rPr>
              <w:t>-10.0</w:t>
            </w:r>
          </w:p>
        </w:tc>
        <w:tc>
          <w:tcPr>
            <w:tcW w:w="682" w:type="pct"/>
          </w:tcPr>
          <w:p w:rsidR="000B5C96" w:rsidRPr="00924659"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24659">
              <w:rPr>
                <w:rFonts w:ascii="Calibri" w:hAnsi="Calibri"/>
              </w:rPr>
              <w:t>-11.0</w:t>
            </w:r>
          </w:p>
        </w:tc>
        <w:tc>
          <w:tcPr>
            <w:tcW w:w="681" w:type="pct"/>
          </w:tcPr>
          <w:p w:rsidR="000B5C96" w:rsidRPr="00924659"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924659">
              <w:rPr>
                <w:rFonts w:ascii="Calibri" w:hAnsi="Calibri"/>
                <w:b/>
              </w:rPr>
              <w:t>-29.0</w:t>
            </w:r>
          </w:p>
        </w:tc>
      </w:tr>
    </w:tbl>
    <w:p w:rsidR="000B5C96" w:rsidRPr="00924659" w:rsidRDefault="000B5C96" w:rsidP="003F606A">
      <w:pPr>
        <w:pStyle w:val="Footnotes"/>
        <w:numPr>
          <w:ilvl w:val="0"/>
          <w:numId w:val="150"/>
        </w:numPr>
        <w:ind w:left="284" w:hanging="284"/>
      </w:pPr>
      <w:r w:rsidRPr="00924659">
        <w:t>A positive number represents an increase in the relevant budget balance, a negative number represents a decrease.</w:t>
      </w:r>
    </w:p>
    <w:p w:rsidR="000B5C96" w:rsidRPr="00924659" w:rsidRDefault="000B5C96" w:rsidP="003F606A">
      <w:pPr>
        <w:pStyle w:val="Footnotes"/>
        <w:numPr>
          <w:ilvl w:val="0"/>
          <w:numId w:val="150"/>
        </w:numPr>
        <w:ind w:left="284" w:hanging="284"/>
      </w:pPr>
      <w:r w:rsidRPr="00924659">
        <w:t>Figures may not sum to totals due to rounding.</w:t>
      </w:r>
    </w:p>
    <w:p w:rsidR="000B5C96" w:rsidRPr="00924659" w:rsidRDefault="000B5C96" w:rsidP="003F606A">
      <w:pPr>
        <w:pStyle w:val="Footnotes"/>
        <w:numPr>
          <w:ilvl w:val="0"/>
          <w:numId w:val="0"/>
        </w:numPr>
        <w:ind w:left="284" w:hanging="284"/>
      </w:pPr>
      <w:r w:rsidRPr="00924659">
        <w:t>-</w:t>
      </w:r>
      <w:r w:rsidRPr="00924659">
        <w:tab/>
        <w:t>Indicates nil.</w:t>
      </w:r>
    </w:p>
    <w:p w:rsidR="000B5C96" w:rsidRPr="00D7096D" w:rsidRDefault="000B5C96" w:rsidP="003F606A">
      <w:pPr>
        <w:pStyle w:val="CostingsH7"/>
      </w:pPr>
      <w:r w:rsidRPr="00D7096D">
        <w:t>Key assumptions</w:t>
      </w:r>
    </w:p>
    <w:p w:rsidR="000B5C96" w:rsidRPr="00924659" w:rsidRDefault="000B5C96" w:rsidP="003F606A">
      <w:pPr>
        <w:pStyle w:val="BodyText"/>
      </w:pPr>
      <w:r w:rsidRPr="00924659">
        <w:t>In costing the proposal, the following assumptions have been made:</w:t>
      </w:r>
    </w:p>
    <w:p w:rsidR="000B5C96" w:rsidRPr="005276C2" w:rsidRDefault="000B5C96" w:rsidP="000B5C96">
      <w:pPr>
        <w:pStyle w:val="ListBullet"/>
        <w:keepLines w:val="0"/>
        <w:numPr>
          <w:ilvl w:val="0"/>
          <w:numId w:val="2"/>
        </w:numPr>
        <w:spacing w:before="113"/>
        <w:ind w:left="454" w:hanging="454"/>
      </w:pPr>
      <w:r w:rsidRPr="005276C2">
        <w:t>80 per cent of the eligible early childhood education graduates would take up the proposal</w:t>
      </w:r>
    </w:p>
    <w:p w:rsidR="000B5C96" w:rsidRPr="00CD7518" w:rsidRDefault="000B5C96" w:rsidP="000B5C96">
      <w:pPr>
        <w:pStyle w:val="ListBullet2"/>
        <w:keepLines w:val="0"/>
        <w:numPr>
          <w:ilvl w:val="1"/>
          <w:numId w:val="2"/>
        </w:numPr>
        <w:spacing w:before="113"/>
        <w:ind w:left="908" w:hanging="454"/>
      </w:pPr>
      <w:r w:rsidRPr="00CD7518">
        <w:t>The increase from the current take up rate of 30 per cent for the HECS-HELP Benefit for Early Childhood Education reflects the more generous benefit offered under this proposal.</w:t>
      </w:r>
    </w:p>
    <w:p w:rsidR="000B5C96" w:rsidRPr="005276C2" w:rsidRDefault="000B5C96" w:rsidP="000B5C96">
      <w:pPr>
        <w:pStyle w:val="ListBullet"/>
        <w:keepLines w:val="0"/>
        <w:numPr>
          <w:ilvl w:val="0"/>
          <w:numId w:val="2"/>
        </w:numPr>
        <w:spacing w:before="113"/>
        <w:ind w:left="454" w:hanging="454"/>
      </w:pPr>
      <w:r w:rsidRPr="005276C2">
        <w:t>the graduates eligible for the additional support are the same group of graduates currently eligible for the HECS-HELP Benefit for Early Childhood Education, which is targeted towards graduates working in LDC centres in remote or low socio economic areas.</w:t>
      </w:r>
    </w:p>
    <w:p w:rsidR="000B5C96" w:rsidRPr="00D7096D" w:rsidRDefault="000B5C96" w:rsidP="003F606A">
      <w:pPr>
        <w:pStyle w:val="CostingsH7"/>
      </w:pPr>
      <w:r w:rsidRPr="00D7096D">
        <w:t>Methodology</w:t>
      </w:r>
    </w:p>
    <w:p w:rsidR="000B5C96" w:rsidRPr="00924659" w:rsidRDefault="000B5C96" w:rsidP="003F606A">
      <w:pPr>
        <w:pStyle w:val="BodyText"/>
      </w:pPr>
      <w:r w:rsidRPr="00924659">
        <w:t>The costing estimate has been derived by taking the product of an estimated number of graduates likely to claim the waiver, and the average of their HELP repayments and debt waived.</w:t>
      </w:r>
    </w:p>
    <w:p w:rsidR="000B5C96" w:rsidRPr="00924659" w:rsidRDefault="000B5C96" w:rsidP="003F606A">
      <w:pPr>
        <w:pStyle w:val="BodyText"/>
      </w:pPr>
      <w:r w:rsidRPr="00924659">
        <w:t>The number of early childhood education graduates with HELP debts and their average HELP repayments in 2013-14 were taken from the detailed tables of the Australian Taxation Office’s 2013-14 Taxation Statistics publication.  The number of graduates and average HELP repayments have been indexed based on their growth over the period 2009</w:t>
      </w:r>
      <w:r w:rsidRPr="00924659">
        <w:noBreakHyphen/>
        <w:t>10 to 2013</w:t>
      </w:r>
      <w:r w:rsidRPr="00924659">
        <w:noBreakHyphen/>
        <w:t>14.</w:t>
      </w:r>
    </w:p>
    <w:p w:rsidR="000B5C96" w:rsidRPr="00924659" w:rsidRDefault="000B5C96" w:rsidP="003F606A">
      <w:pPr>
        <w:pStyle w:val="BodyText"/>
      </w:pPr>
      <w:r w:rsidRPr="00924659">
        <w:t>The combined impact of reduction in HELP repayments and debt writedowns has the following impacts on budget balances:</w:t>
      </w:r>
    </w:p>
    <w:p w:rsidR="000B5C96" w:rsidRPr="00924659" w:rsidRDefault="000B5C96" w:rsidP="00DE3D76">
      <w:pPr>
        <w:pStyle w:val="CostingsH8"/>
        <w:rPr>
          <w:rFonts w:eastAsia="Calibri"/>
        </w:rPr>
      </w:pPr>
      <w:r w:rsidRPr="00924659">
        <w:rPr>
          <w:rFonts w:eastAsia="Calibri"/>
        </w:rPr>
        <w:t>Fiscal balance impact – components</w:t>
      </w:r>
    </w:p>
    <w:p w:rsidR="000B5C96" w:rsidRPr="00924659" w:rsidRDefault="000B5C96" w:rsidP="00DE3D76">
      <w:pPr>
        <w:pStyle w:val="ListBullet"/>
        <w:keepNext/>
        <w:numPr>
          <w:ilvl w:val="0"/>
          <w:numId w:val="2"/>
        </w:numPr>
        <w:spacing w:before="113"/>
        <w:ind w:left="454" w:hanging="454"/>
      </w:pPr>
      <w:r w:rsidRPr="00924659">
        <w:t>Writedowns of debts have a negative impact on the fiscal balance.</w:t>
      </w:r>
    </w:p>
    <w:p w:rsidR="000B5C96" w:rsidRPr="00924659" w:rsidRDefault="000B5C96" w:rsidP="00DE3D76">
      <w:pPr>
        <w:pStyle w:val="ListBullet"/>
        <w:keepNext/>
        <w:numPr>
          <w:ilvl w:val="0"/>
          <w:numId w:val="2"/>
        </w:numPr>
        <w:spacing w:before="113"/>
        <w:ind w:left="454" w:hanging="454"/>
      </w:pPr>
      <w:r w:rsidRPr="00924659">
        <w:t>Increased PDI payments have a negative impact on the fiscal balance.</w:t>
      </w:r>
    </w:p>
    <w:p w:rsidR="000B5C96" w:rsidRPr="00924659" w:rsidRDefault="000B5C96" w:rsidP="003F606A">
      <w:pPr>
        <w:pStyle w:val="CostingsH8"/>
        <w:rPr>
          <w:rFonts w:eastAsia="Calibri"/>
        </w:rPr>
      </w:pPr>
      <w:r w:rsidRPr="00924659">
        <w:rPr>
          <w:rFonts w:eastAsia="Calibri"/>
        </w:rPr>
        <w:t>Underlying cash balance impact – components</w:t>
      </w:r>
    </w:p>
    <w:p w:rsidR="000B5C96" w:rsidRPr="00924659" w:rsidRDefault="000B5C96" w:rsidP="000B5C96">
      <w:pPr>
        <w:pStyle w:val="ListBullet"/>
        <w:keepLines w:val="0"/>
        <w:numPr>
          <w:ilvl w:val="0"/>
          <w:numId w:val="2"/>
        </w:numPr>
        <w:spacing w:before="113"/>
        <w:ind w:left="454" w:hanging="454"/>
      </w:pPr>
      <w:r w:rsidRPr="00924659">
        <w:t>Decreased interest receipts have a negative impact on the underlying cash balance.</w:t>
      </w:r>
    </w:p>
    <w:p w:rsidR="000B5C96" w:rsidRPr="00924659" w:rsidRDefault="000B5C96" w:rsidP="000B5C96">
      <w:pPr>
        <w:pStyle w:val="ListBullet"/>
        <w:keepLines w:val="0"/>
        <w:numPr>
          <w:ilvl w:val="0"/>
          <w:numId w:val="2"/>
        </w:numPr>
        <w:spacing w:before="113"/>
        <w:ind w:left="454" w:hanging="454"/>
      </w:pPr>
      <w:r w:rsidRPr="00924659">
        <w:t>Increased PDI payments have a negative impact on the underlying cash balance.</w:t>
      </w:r>
    </w:p>
    <w:p w:rsidR="000B5C96" w:rsidRPr="00924659" w:rsidRDefault="000B5C96" w:rsidP="003F606A">
      <w:pPr>
        <w:pStyle w:val="CostingsH8"/>
        <w:rPr>
          <w:rFonts w:eastAsia="Calibri"/>
        </w:rPr>
      </w:pPr>
      <w:r w:rsidRPr="00924659">
        <w:rPr>
          <w:rFonts w:eastAsia="Calibri"/>
        </w:rPr>
        <w:t>Headline cash balance impact – components</w:t>
      </w:r>
    </w:p>
    <w:p w:rsidR="000B5C96" w:rsidRPr="00924659" w:rsidRDefault="000B5C96" w:rsidP="000B5C96">
      <w:pPr>
        <w:pStyle w:val="ListBullet"/>
        <w:keepLines w:val="0"/>
        <w:numPr>
          <w:ilvl w:val="0"/>
          <w:numId w:val="2"/>
        </w:numPr>
        <w:spacing w:before="113"/>
        <w:ind w:left="454" w:hanging="454"/>
      </w:pPr>
      <w:r w:rsidRPr="00924659">
        <w:t>Decreased principal repayments have a negative impact on the headline cash balance.</w:t>
      </w:r>
    </w:p>
    <w:p w:rsidR="000B5C96" w:rsidRPr="00924659" w:rsidRDefault="000B5C96" w:rsidP="000B5C96">
      <w:pPr>
        <w:pStyle w:val="ListBullet"/>
        <w:keepLines w:val="0"/>
        <w:numPr>
          <w:ilvl w:val="0"/>
          <w:numId w:val="2"/>
        </w:numPr>
        <w:spacing w:before="113"/>
        <w:ind w:left="454" w:hanging="454"/>
      </w:pPr>
      <w:r w:rsidRPr="00924659">
        <w:t>Decreased interest receipts (interest is estimated as a fixed proportion of repayments) have a negative impact on the headline cash balance.</w:t>
      </w:r>
    </w:p>
    <w:p w:rsidR="000B5C96" w:rsidRPr="00924659" w:rsidRDefault="000B5C96" w:rsidP="000B5C96">
      <w:pPr>
        <w:pStyle w:val="ListBullet"/>
        <w:keepLines w:val="0"/>
        <w:numPr>
          <w:ilvl w:val="0"/>
          <w:numId w:val="2"/>
        </w:numPr>
        <w:spacing w:before="113"/>
        <w:ind w:left="454" w:hanging="454"/>
      </w:pPr>
      <w:r w:rsidRPr="00924659">
        <w:t>Increased PDI payments have a negative impact on the headline cash balance.</w:t>
      </w:r>
    </w:p>
    <w:p w:rsidR="000B5C96" w:rsidRPr="00924659" w:rsidRDefault="000B5C96" w:rsidP="003F606A">
      <w:pPr>
        <w:pStyle w:val="CostingsH8"/>
        <w:rPr>
          <w:rFonts w:eastAsia="Calibri"/>
        </w:rPr>
      </w:pPr>
      <w:r w:rsidRPr="00924659">
        <w:rPr>
          <w:rFonts w:eastAsia="Calibri"/>
        </w:rPr>
        <w:t>General</w:t>
      </w:r>
    </w:p>
    <w:p w:rsidR="000B5C96" w:rsidRPr="00924659" w:rsidRDefault="000B5C96" w:rsidP="000B5C96">
      <w:pPr>
        <w:pStyle w:val="ListBullet"/>
        <w:keepLines w:val="0"/>
        <w:numPr>
          <w:ilvl w:val="0"/>
          <w:numId w:val="2"/>
        </w:numPr>
        <w:spacing w:before="113"/>
        <w:ind w:left="454" w:hanging="454"/>
        <w:rPr>
          <w:lang w:eastAsia="en-AU"/>
        </w:rPr>
      </w:pPr>
      <w:r w:rsidRPr="00924659">
        <w:rPr>
          <w:lang w:eastAsia="en-AU"/>
        </w:rPr>
        <w:t>All estimates have been rounded to the nearest $1 million.</w:t>
      </w:r>
    </w:p>
    <w:p w:rsidR="000B5C96" w:rsidRPr="00D7096D" w:rsidRDefault="000B5C96" w:rsidP="003F606A">
      <w:pPr>
        <w:pStyle w:val="CostingsH7"/>
      </w:pPr>
      <w:r w:rsidRPr="00D7096D">
        <w:t>Data sources</w:t>
      </w:r>
    </w:p>
    <w:p w:rsidR="000B5C96" w:rsidRPr="00924659" w:rsidRDefault="000B5C96" w:rsidP="000B5C96">
      <w:pPr>
        <w:pStyle w:val="ListBullet"/>
        <w:keepLines w:val="0"/>
        <w:numPr>
          <w:ilvl w:val="0"/>
          <w:numId w:val="2"/>
        </w:numPr>
        <w:spacing w:before="113"/>
        <w:ind w:left="454" w:hanging="454"/>
      </w:pPr>
      <w:r w:rsidRPr="00924659">
        <w:t>Australian Taxation Office</w:t>
      </w:r>
    </w:p>
    <w:p w:rsidR="000B5C96" w:rsidRPr="00924659" w:rsidRDefault="000B5C96" w:rsidP="000B5C96">
      <w:pPr>
        <w:pStyle w:val="ListBullet2"/>
        <w:keepLines w:val="0"/>
        <w:numPr>
          <w:ilvl w:val="1"/>
          <w:numId w:val="2"/>
        </w:numPr>
        <w:spacing w:before="113"/>
        <w:ind w:left="908" w:hanging="454"/>
      </w:pPr>
      <w:r w:rsidRPr="00924659">
        <w:t>2013-14 Taxation Statistics</w:t>
      </w:r>
    </w:p>
    <w:p w:rsidR="000B5C96" w:rsidRPr="00924659" w:rsidRDefault="000B5C96" w:rsidP="000B5C96">
      <w:pPr>
        <w:pStyle w:val="ListBullet"/>
        <w:keepLines w:val="0"/>
        <w:numPr>
          <w:ilvl w:val="0"/>
          <w:numId w:val="2"/>
        </w:numPr>
        <w:spacing w:before="113"/>
        <w:ind w:left="454" w:hanging="454"/>
      </w:pPr>
      <w:r w:rsidRPr="00924659">
        <w:t>Department of Education and Training</w:t>
      </w:r>
    </w:p>
    <w:p w:rsidR="000B5C96" w:rsidRPr="00924659" w:rsidRDefault="000B5C96" w:rsidP="000B5C96">
      <w:pPr>
        <w:pStyle w:val="ListBullet2"/>
        <w:keepLines w:val="0"/>
        <w:numPr>
          <w:ilvl w:val="1"/>
          <w:numId w:val="2"/>
        </w:numPr>
        <w:spacing w:before="113"/>
        <w:ind w:left="908" w:hanging="454"/>
      </w:pPr>
      <w:r w:rsidRPr="00924659">
        <w:t>HELP forward estimates model</w:t>
      </w:r>
    </w:p>
    <w:p w:rsidR="000B5C96" w:rsidRPr="00924659" w:rsidRDefault="000B5C96" w:rsidP="000B5C96">
      <w:pPr>
        <w:pStyle w:val="ListBullet2"/>
        <w:keepLines w:val="0"/>
        <w:numPr>
          <w:ilvl w:val="1"/>
          <w:numId w:val="2"/>
        </w:numPr>
        <w:spacing w:before="113"/>
        <w:ind w:left="908" w:hanging="454"/>
        <w:sectPr w:rsidR="000B5C96" w:rsidRPr="00924659" w:rsidSect="003F606A">
          <w:headerReference w:type="even" r:id="rId290"/>
          <w:headerReference w:type="default" r:id="rId291"/>
          <w:footerReference w:type="even" r:id="rId292"/>
          <w:footerReference w:type="default" r:id="rId293"/>
          <w:headerReference w:type="first" r:id="rId294"/>
          <w:footerReference w:type="first" r:id="rId295"/>
          <w:footnotePr>
            <w:numRestart w:val="eachSect"/>
          </w:footnotePr>
          <w:pgSz w:w="11906" w:h="16838"/>
          <w:pgMar w:top="1361" w:right="1797" w:bottom="1474" w:left="1797" w:header="283" w:footer="454" w:gutter="0"/>
          <w:cols w:space="708"/>
          <w:docGrid w:linePitch="360"/>
        </w:sectPr>
      </w:pPr>
    </w:p>
    <w:p w:rsidR="000B5C96" w:rsidRPr="00924659" w:rsidRDefault="000B5C96" w:rsidP="000B5C96">
      <w:pPr>
        <w:pStyle w:val="Heading6"/>
        <w:numPr>
          <w:ilvl w:val="0"/>
          <w:numId w:val="5"/>
        </w:numPr>
        <w:tabs>
          <w:tab w:val="clear" w:pos="0"/>
          <w:tab w:val="num" w:pos="360"/>
          <w:tab w:val="right" w:pos="1418"/>
          <w:tab w:val="right" w:pos="1701"/>
          <w:tab w:val="right" w:pos="1985"/>
        </w:tabs>
      </w:pPr>
      <w:r w:rsidRPr="00924659">
        <w:t>Attachment A: Investing in Early Childhood Educators — financial implications</w:t>
      </w:r>
    </w:p>
    <w:p w:rsidR="000B5C96" w:rsidRPr="00924659" w:rsidRDefault="000B5C96" w:rsidP="003F606A">
      <w:pPr>
        <w:pStyle w:val="Caption"/>
      </w:pPr>
      <w:r w:rsidRPr="00924659">
        <w:t>Table A1: Investing in Early Childhood Educators—Fiscal balance</w:t>
      </w:r>
      <w:r w:rsidRPr="00924659">
        <w:rPr>
          <w:vertAlign w:val="superscript"/>
        </w:rPr>
        <w:t>(a)(b)</w:t>
      </w:r>
    </w:p>
    <w:tbl>
      <w:tblPr>
        <w:tblStyle w:val="TableGrid6"/>
        <w:tblW w:w="5059" w:type="pct"/>
        <w:tblLook w:val="0680" w:firstRow="0" w:lastRow="0" w:firstColumn="1" w:lastColumn="0" w:noHBand="1" w:noVBand="1"/>
      </w:tblPr>
      <w:tblGrid>
        <w:gridCol w:w="2413"/>
        <w:gridCol w:w="844"/>
        <w:gridCol w:w="844"/>
        <w:gridCol w:w="848"/>
        <w:gridCol w:w="845"/>
        <w:gridCol w:w="845"/>
        <w:gridCol w:w="848"/>
        <w:gridCol w:w="845"/>
        <w:gridCol w:w="848"/>
        <w:gridCol w:w="845"/>
        <w:gridCol w:w="845"/>
        <w:gridCol w:w="848"/>
        <w:gridCol w:w="845"/>
        <w:gridCol w:w="848"/>
      </w:tblGrid>
      <w:tr w:rsidR="000B5C96" w:rsidRPr="00924659" w:rsidTr="003F606A">
        <w:trPr>
          <w:cantSplit/>
          <w:tblHeader/>
        </w:trPr>
        <w:tc>
          <w:tcPr>
            <w:cnfStyle w:val="001000000000" w:firstRow="0" w:lastRow="0" w:firstColumn="1" w:lastColumn="0" w:oddVBand="0" w:evenVBand="0" w:oddHBand="0" w:evenHBand="0" w:firstRowFirstColumn="0" w:firstRowLastColumn="0" w:lastRowFirstColumn="0" w:lastRowLastColumn="0"/>
            <w:tcW w:w="900" w:type="pct"/>
            <w:shd w:val="clear" w:color="auto" w:fill="D7DDE9"/>
          </w:tcPr>
          <w:p w:rsidR="000B5C96" w:rsidRPr="00924659" w:rsidRDefault="000B5C96" w:rsidP="003F606A">
            <w:pPr>
              <w:keepNext/>
              <w:keepLines/>
              <w:spacing w:line="240" w:lineRule="auto"/>
              <w:ind w:left="57" w:right="57"/>
              <w:rPr>
                <w:szCs w:val="20"/>
              </w:rPr>
            </w:pPr>
            <w:r w:rsidRPr="00924659">
              <w:rPr>
                <w:szCs w:val="20"/>
              </w:rPr>
              <w:t>($m)</w:t>
            </w:r>
          </w:p>
        </w:tc>
        <w:tc>
          <w:tcPr>
            <w:tcW w:w="315"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2016–17</w:t>
            </w:r>
          </w:p>
        </w:tc>
        <w:tc>
          <w:tcPr>
            <w:tcW w:w="315"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2017–18</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2018–19</w:t>
            </w:r>
          </w:p>
        </w:tc>
        <w:tc>
          <w:tcPr>
            <w:tcW w:w="315"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2019–20</w:t>
            </w:r>
          </w:p>
        </w:tc>
        <w:tc>
          <w:tcPr>
            <w:tcW w:w="315"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24659">
              <w:rPr>
                <w:rFonts w:ascii="Calibri" w:hAnsi="Calibri"/>
                <w:b/>
                <w:szCs w:val="20"/>
              </w:rPr>
              <w:t>Total to 2019–20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2020–21</w:t>
            </w:r>
          </w:p>
        </w:tc>
        <w:tc>
          <w:tcPr>
            <w:tcW w:w="315"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2021–22</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2022–23</w:t>
            </w:r>
          </w:p>
        </w:tc>
        <w:tc>
          <w:tcPr>
            <w:tcW w:w="315"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2023–24</w:t>
            </w:r>
          </w:p>
        </w:tc>
        <w:tc>
          <w:tcPr>
            <w:tcW w:w="315"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2024–25</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2025–26</w:t>
            </w:r>
          </w:p>
        </w:tc>
        <w:tc>
          <w:tcPr>
            <w:tcW w:w="315"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2026–27</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24659">
              <w:rPr>
                <w:rFonts w:ascii="Calibri" w:hAnsi="Calibri"/>
                <w:b/>
                <w:szCs w:val="20"/>
              </w:rPr>
              <w:t>Total to 2026–27</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EF1F6"/>
          </w:tcPr>
          <w:p w:rsidR="000B5C96" w:rsidRPr="00924659" w:rsidRDefault="000B5C96" w:rsidP="003F606A">
            <w:pPr>
              <w:keepNext/>
              <w:spacing w:line="240" w:lineRule="auto"/>
              <w:ind w:left="57" w:right="57"/>
              <w:rPr>
                <w:b/>
                <w:szCs w:val="20"/>
              </w:rPr>
            </w:pPr>
            <w:r w:rsidRPr="00924659">
              <w:rPr>
                <w:b/>
                <w:szCs w:val="20"/>
              </w:rPr>
              <w:t>Impact on fiscal balance</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900" w:type="pct"/>
          </w:tcPr>
          <w:p w:rsidR="000B5C96" w:rsidRPr="00924659" w:rsidRDefault="000B5C96" w:rsidP="003F606A">
            <w:pPr>
              <w:keepNext/>
              <w:spacing w:line="240" w:lineRule="auto"/>
              <w:ind w:left="57" w:right="57" w:firstLineChars="15" w:firstLine="30"/>
              <w:rPr>
                <w:color w:val="000000"/>
                <w:szCs w:val="20"/>
              </w:rPr>
            </w:pPr>
            <w:r w:rsidRPr="00924659">
              <w:rPr>
                <w:color w:val="000000"/>
                <w:szCs w:val="20"/>
              </w:rPr>
              <w:t>Loan writedowns</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-8.0</w:t>
            </w:r>
          </w:p>
        </w:tc>
        <w:tc>
          <w:tcPr>
            <w:tcW w:w="316"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-9.0</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-10.0</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-28.0</w:t>
            </w:r>
          </w:p>
        </w:tc>
        <w:tc>
          <w:tcPr>
            <w:tcW w:w="316"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-11.0</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-12.0</w:t>
            </w:r>
          </w:p>
        </w:tc>
        <w:tc>
          <w:tcPr>
            <w:tcW w:w="316"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-13.0</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-14.0</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-14.0</w:t>
            </w:r>
          </w:p>
        </w:tc>
        <w:tc>
          <w:tcPr>
            <w:tcW w:w="316"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-15.0</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-16.0</w:t>
            </w:r>
          </w:p>
        </w:tc>
        <w:tc>
          <w:tcPr>
            <w:tcW w:w="316"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-124.0</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900" w:type="pct"/>
          </w:tcPr>
          <w:p w:rsidR="000B5C96" w:rsidRPr="00924659" w:rsidRDefault="000B5C96" w:rsidP="003F606A">
            <w:pPr>
              <w:keepNext/>
              <w:spacing w:line="240" w:lineRule="auto"/>
              <w:ind w:left="57" w:right="57" w:firstLineChars="15" w:firstLine="30"/>
              <w:rPr>
                <w:color w:val="000000"/>
                <w:szCs w:val="20"/>
              </w:rPr>
            </w:pPr>
            <w:r w:rsidRPr="00924659">
              <w:rPr>
                <w:color w:val="000000"/>
                <w:szCs w:val="20"/>
              </w:rPr>
              <w:t>PDI</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6"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-1.0</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-1.0</w:t>
            </w:r>
          </w:p>
        </w:tc>
        <w:tc>
          <w:tcPr>
            <w:tcW w:w="316"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-1.0</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-2.0</w:t>
            </w:r>
          </w:p>
        </w:tc>
        <w:tc>
          <w:tcPr>
            <w:tcW w:w="316"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-3.0</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-4.0</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-5.0</w:t>
            </w:r>
          </w:p>
        </w:tc>
        <w:tc>
          <w:tcPr>
            <w:tcW w:w="316"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-6.0</w:t>
            </w:r>
          </w:p>
        </w:tc>
        <w:tc>
          <w:tcPr>
            <w:tcW w:w="315"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-8.0</w:t>
            </w:r>
          </w:p>
        </w:tc>
        <w:tc>
          <w:tcPr>
            <w:tcW w:w="316" w:type="pct"/>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-29.0</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900" w:type="pct"/>
            <w:shd w:val="clear" w:color="auto" w:fill="D7DDE9"/>
          </w:tcPr>
          <w:p w:rsidR="000B5C96" w:rsidRPr="00924659" w:rsidRDefault="000B5C96" w:rsidP="003F606A">
            <w:pPr>
              <w:keepNext/>
              <w:keepLines/>
              <w:spacing w:line="240" w:lineRule="auto"/>
              <w:ind w:left="57" w:right="57"/>
              <w:rPr>
                <w:b/>
                <w:szCs w:val="20"/>
              </w:rPr>
            </w:pPr>
            <w:r w:rsidRPr="00924659">
              <w:rPr>
                <w:b/>
                <w:szCs w:val="20"/>
              </w:rPr>
              <w:t>Total fiscal balance impact</w:t>
            </w:r>
          </w:p>
        </w:tc>
        <w:tc>
          <w:tcPr>
            <w:tcW w:w="315"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w:t>
            </w:r>
          </w:p>
        </w:tc>
        <w:tc>
          <w:tcPr>
            <w:tcW w:w="315"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-9.0</w:t>
            </w:r>
          </w:p>
        </w:tc>
        <w:tc>
          <w:tcPr>
            <w:tcW w:w="316"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-10.0</w:t>
            </w:r>
          </w:p>
        </w:tc>
        <w:tc>
          <w:tcPr>
            <w:tcW w:w="315"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-11.0</w:t>
            </w:r>
          </w:p>
        </w:tc>
        <w:tc>
          <w:tcPr>
            <w:tcW w:w="315"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-29.0</w:t>
            </w:r>
          </w:p>
        </w:tc>
        <w:tc>
          <w:tcPr>
            <w:tcW w:w="316"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-12.0</w:t>
            </w:r>
          </w:p>
        </w:tc>
        <w:tc>
          <w:tcPr>
            <w:tcW w:w="315"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-14.0</w:t>
            </w:r>
          </w:p>
        </w:tc>
        <w:tc>
          <w:tcPr>
            <w:tcW w:w="316"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-16.0</w:t>
            </w:r>
          </w:p>
        </w:tc>
        <w:tc>
          <w:tcPr>
            <w:tcW w:w="315"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-17.0</w:t>
            </w:r>
          </w:p>
        </w:tc>
        <w:tc>
          <w:tcPr>
            <w:tcW w:w="315"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-19.0</w:t>
            </w:r>
          </w:p>
        </w:tc>
        <w:tc>
          <w:tcPr>
            <w:tcW w:w="316"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-22.0</w:t>
            </w:r>
          </w:p>
        </w:tc>
        <w:tc>
          <w:tcPr>
            <w:tcW w:w="315"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-24.0</w:t>
            </w:r>
          </w:p>
        </w:tc>
        <w:tc>
          <w:tcPr>
            <w:tcW w:w="316" w:type="pct"/>
            <w:shd w:val="clear" w:color="auto" w:fill="D7DDE9"/>
          </w:tcPr>
          <w:p w:rsidR="000B5C96" w:rsidRPr="00924659"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-153.0</w:t>
            </w:r>
          </w:p>
        </w:tc>
      </w:tr>
    </w:tbl>
    <w:p w:rsidR="000B5C96" w:rsidRPr="00924659" w:rsidRDefault="000B5C96" w:rsidP="00DE3D76">
      <w:pPr>
        <w:pStyle w:val="Footnotes"/>
        <w:numPr>
          <w:ilvl w:val="0"/>
          <w:numId w:val="152"/>
        </w:numPr>
        <w:ind w:left="284" w:hanging="284"/>
      </w:pPr>
      <w:r w:rsidRPr="00924659">
        <w:t xml:space="preserve">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  </w:t>
      </w:r>
    </w:p>
    <w:p w:rsidR="000B5C96" w:rsidRPr="00924659" w:rsidRDefault="000B5C96" w:rsidP="00DE3D76">
      <w:pPr>
        <w:pStyle w:val="Footnotes"/>
        <w:numPr>
          <w:ilvl w:val="0"/>
          <w:numId w:val="152"/>
        </w:numPr>
        <w:ind w:left="284" w:hanging="284"/>
      </w:pPr>
      <w:r w:rsidRPr="00924659">
        <w:t>Figures may not sum to totals due to rounding.</w:t>
      </w:r>
    </w:p>
    <w:p w:rsidR="000B5C96" w:rsidRPr="00924659" w:rsidRDefault="000B5C96" w:rsidP="003F606A">
      <w:pPr>
        <w:pStyle w:val="Footnotes"/>
        <w:numPr>
          <w:ilvl w:val="0"/>
          <w:numId w:val="0"/>
        </w:numPr>
        <w:ind w:left="284" w:hanging="284"/>
      </w:pPr>
      <w:r w:rsidRPr="00924659">
        <w:t>..</w:t>
      </w:r>
      <w:r w:rsidRPr="00924659">
        <w:tab/>
        <w:t>Not zero but rounded to zero.</w:t>
      </w:r>
    </w:p>
    <w:p w:rsidR="000B5C96" w:rsidRPr="00924659" w:rsidRDefault="000B5C96" w:rsidP="000B5C96">
      <w:pPr>
        <w:pStyle w:val="Footnotes"/>
        <w:numPr>
          <w:ilvl w:val="0"/>
          <w:numId w:val="114"/>
        </w:numPr>
        <w:ind w:left="284" w:hanging="284"/>
      </w:pPr>
      <w:r w:rsidRPr="00924659">
        <w:t>Indicates nil.</w:t>
      </w:r>
    </w:p>
    <w:p w:rsidR="000B5C96" w:rsidRPr="00924659" w:rsidRDefault="000B5C96" w:rsidP="003F606A">
      <w:pPr>
        <w:pStyle w:val="Caption"/>
      </w:pPr>
      <w:r w:rsidRPr="00924659">
        <w:t>Table A2: Investing in Early Childhood Educators – Underlying cash balance</w:t>
      </w:r>
      <w:r w:rsidRPr="00924659">
        <w:rPr>
          <w:vertAlign w:val="superscript"/>
        </w:rPr>
        <w:t>(a)(b)</w:t>
      </w:r>
    </w:p>
    <w:tbl>
      <w:tblPr>
        <w:tblStyle w:val="TableGrid6"/>
        <w:tblW w:w="5120" w:type="pct"/>
        <w:tblLook w:val="0680" w:firstRow="0" w:lastRow="0" w:firstColumn="1" w:lastColumn="0" w:noHBand="1" w:noVBand="1"/>
      </w:tblPr>
      <w:tblGrid>
        <w:gridCol w:w="2418"/>
        <w:gridCol w:w="857"/>
        <w:gridCol w:w="857"/>
        <w:gridCol w:w="858"/>
        <w:gridCol w:w="858"/>
        <w:gridCol w:w="858"/>
        <w:gridCol w:w="858"/>
        <w:gridCol w:w="858"/>
        <w:gridCol w:w="858"/>
        <w:gridCol w:w="858"/>
        <w:gridCol w:w="858"/>
        <w:gridCol w:w="858"/>
        <w:gridCol w:w="858"/>
        <w:gridCol w:w="861"/>
      </w:tblGrid>
      <w:tr w:rsidR="000B5C96" w:rsidRPr="00924659" w:rsidTr="003F606A">
        <w:trPr>
          <w:cantSplit/>
          <w:tblHeader/>
        </w:trPr>
        <w:tc>
          <w:tcPr>
            <w:cnfStyle w:val="001000000000" w:firstRow="0" w:lastRow="0" w:firstColumn="1" w:lastColumn="0" w:oddVBand="0" w:evenVBand="0" w:oddHBand="0" w:evenHBand="0" w:firstRowFirstColumn="0" w:firstRowLastColumn="0" w:lastRowFirstColumn="0" w:lastRowLastColumn="0"/>
            <w:tcW w:w="891" w:type="pct"/>
            <w:shd w:val="clear" w:color="auto" w:fill="D7DDE9"/>
          </w:tcPr>
          <w:p w:rsidR="000B5C96" w:rsidRPr="00924659" w:rsidRDefault="000B5C96" w:rsidP="003F606A">
            <w:pPr>
              <w:keepNext/>
              <w:keepLines/>
              <w:spacing w:line="240" w:lineRule="auto"/>
              <w:ind w:left="57" w:right="57"/>
              <w:rPr>
                <w:szCs w:val="20"/>
              </w:rPr>
            </w:pPr>
            <w:r w:rsidRPr="00924659">
              <w:rPr>
                <w:szCs w:val="20"/>
              </w:rPr>
              <w:t>($m)</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2016–17</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2017–18</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2018–19</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2019–20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24659">
              <w:rPr>
                <w:rFonts w:ascii="Calibri" w:hAnsi="Calibri"/>
                <w:b/>
                <w:szCs w:val="20"/>
              </w:rPr>
              <w:t>Total to 2019–20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2020–21</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2021–22</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2022–23</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2023–24</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2024–25</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2025–26</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2026–27</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24659">
              <w:rPr>
                <w:rFonts w:ascii="Calibri" w:hAnsi="Calibri"/>
                <w:b/>
                <w:szCs w:val="20"/>
              </w:rPr>
              <w:t>Total to 2026–27</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EF1F6"/>
          </w:tcPr>
          <w:p w:rsidR="000B5C96" w:rsidRPr="00924659" w:rsidRDefault="000B5C96" w:rsidP="003F606A">
            <w:pPr>
              <w:keepNext/>
              <w:keepLines/>
              <w:spacing w:line="240" w:lineRule="auto"/>
              <w:ind w:left="57" w:right="57"/>
              <w:rPr>
                <w:b/>
                <w:szCs w:val="20"/>
              </w:rPr>
            </w:pPr>
            <w:r w:rsidRPr="00924659">
              <w:rPr>
                <w:b/>
                <w:szCs w:val="20"/>
              </w:rPr>
              <w:t>Impact on underlying cash balance</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891" w:type="pct"/>
          </w:tcPr>
          <w:p w:rsidR="000B5C96" w:rsidRPr="00924659" w:rsidRDefault="000B5C96" w:rsidP="003F606A">
            <w:pPr>
              <w:keepNext/>
              <w:keepLines/>
              <w:spacing w:line="240" w:lineRule="auto"/>
              <w:ind w:left="57" w:right="57" w:firstLine="30"/>
              <w:rPr>
                <w:color w:val="000000"/>
                <w:szCs w:val="20"/>
              </w:rPr>
            </w:pPr>
            <w:r w:rsidRPr="00924659">
              <w:rPr>
                <w:color w:val="000000"/>
                <w:szCs w:val="20"/>
              </w:rPr>
              <w:t>Interest received</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-2.0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-2.0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-2.0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-6.0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-3.0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-3.0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-3.0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-3.0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-3.0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-3.0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-4.0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-28.0</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891" w:type="pct"/>
          </w:tcPr>
          <w:p w:rsidR="000B5C96" w:rsidRPr="00924659" w:rsidRDefault="000B5C96" w:rsidP="003F606A">
            <w:pPr>
              <w:keepNext/>
              <w:keepLines/>
              <w:spacing w:line="240" w:lineRule="auto"/>
              <w:ind w:left="57" w:right="57" w:firstLine="30"/>
              <w:rPr>
                <w:color w:val="000000"/>
                <w:szCs w:val="20"/>
              </w:rPr>
            </w:pPr>
            <w:r w:rsidRPr="00924659">
              <w:rPr>
                <w:color w:val="000000"/>
                <w:szCs w:val="20"/>
              </w:rPr>
              <w:t>PDI</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-1.0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-2.0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-3.0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-4.0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-5.0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-6.0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-8.0</w:t>
            </w:r>
          </w:p>
        </w:tc>
        <w:tc>
          <w:tcPr>
            <w:tcW w:w="316"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-29.0</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891" w:type="pct"/>
            <w:shd w:val="clear" w:color="auto" w:fill="D7DDE9"/>
          </w:tcPr>
          <w:p w:rsidR="000B5C96" w:rsidRPr="00924659" w:rsidRDefault="000B5C96" w:rsidP="003F606A">
            <w:pPr>
              <w:keepNext/>
              <w:keepLines/>
              <w:spacing w:line="240" w:lineRule="auto"/>
              <w:ind w:left="57" w:right="57"/>
              <w:rPr>
                <w:b/>
                <w:szCs w:val="20"/>
              </w:rPr>
            </w:pPr>
            <w:r w:rsidRPr="00924659">
              <w:rPr>
                <w:b/>
                <w:szCs w:val="20"/>
              </w:rPr>
              <w:t>Total underlying cash balance impact</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-2.0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-2.0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-3.0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-7.0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-4.0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-5.0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-6.0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-7.0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-8.0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-10.0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-11.0</w:t>
            </w:r>
          </w:p>
        </w:tc>
        <w:tc>
          <w:tcPr>
            <w:tcW w:w="316"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-57.0</w:t>
            </w:r>
          </w:p>
        </w:tc>
      </w:tr>
    </w:tbl>
    <w:p w:rsidR="000B5C96" w:rsidRPr="00924659" w:rsidRDefault="000B5C96" w:rsidP="00DE3D76">
      <w:pPr>
        <w:pStyle w:val="Footnotes"/>
        <w:keepNext/>
        <w:keepLines/>
        <w:numPr>
          <w:ilvl w:val="0"/>
          <w:numId w:val="153"/>
        </w:numPr>
        <w:ind w:left="284" w:hanging="284"/>
      </w:pPr>
      <w:r w:rsidRPr="00924659">
        <w:t xml:space="preserve">A positive number for the underlying cash balance indicates an increase in receipts or a decrease in outlays or net capital investment in cash terms. A negative number for the fiscal balance indicates a decrease in receipts or an increase in outlays or net capital investment in cash terms.  </w:t>
      </w:r>
    </w:p>
    <w:p w:rsidR="000B5C96" w:rsidRPr="00924659" w:rsidRDefault="000B5C96" w:rsidP="00DE3D76">
      <w:pPr>
        <w:pStyle w:val="Footnotes"/>
        <w:keepNext/>
        <w:keepLines/>
        <w:numPr>
          <w:ilvl w:val="0"/>
          <w:numId w:val="153"/>
        </w:numPr>
        <w:ind w:left="284" w:hanging="284"/>
      </w:pPr>
      <w:r w:rsidRPr="00924659">
        <w:t>Figures may not sum to totals due to rounding.</w:t>
      </w:r>
    </w:p>
    <w:p w:rsidR="000B5C96" w:rsidRPr="00924659" w:rsidRDefault="000B5C96" w:rsidP="003F606A">
      <w:pPr>
        <w:pStyle w:val="Footnotes"/>
        <w:keepNext/>
        <w:keepLines/>
        <w:numPr>
          <w:ilvl w:val="0"/>
          <w:numId w:val="0"/>
        </w:numPr>
        <w:ind w:left="284" w:hanging="284"/>
      </w:pPr>
      <w:r w:rsidRPr="00924659">
        <w:t>..</w:t>
      </w:r>
      <w:r w:rsidRPr="00924659">
        <w:tab/>
        <w:t>Not zero but rounded to zero.</w:t>
      </w:r>
    </w:p>
    <w:p w:rsidR="000B5C96" w:rsidRPr="00924659" w:rsidRDefault="000B5C96" w:rsidP="000B5C96">
      <w:pPr>
        <w:pStyle w:val="Footnotes"/>
        <w:numPr>
          <w:ilvl w:val="0"/>
          <w:numId w:val="114"/>
        </w:numPr>
        <w:ind w:left="284" w:hanging="284"/>
      </w:pPr>
      <w:r w:rsidRPr="00924659">
        <w:t>Indicates nil.</w:t>
      </w:r>
    </w:p>
    <w:p w:rsidR="000B5C96" w:rsidRPr="00924659" w:rsidRDefault="000B5C96" w:rsidP="003F606A">
      <w:pPr>
        <w:pStyle w:val="Caption"/>
      </w:pPr>
      <w:r w:rsidRPr="00924659">
        <w:t>Table A3: Investing in Early Childhood Educators – Headline cash balance</w:t>
      </w:r>
      <w:r w:rsidRPr="00924659">
        <w:rPr>
          <w:vertAlign w:val="superscript"/>
        </w:rPr>
        <w:t>(a)(b)</w:t>
      </w:r>
    </w:p>
    <w:tbl>
      <w:tblPr>
        <w:tblStyle w:val="TableGrid6"/>
        <w:tblW w:w="5110" w:type="pct"/>
        <w:tblLook w:val="0680" w:firstRow="0" w:lastRow="0" w:firstColumn="1" w:lastColumn="0" w:noHBand="1" w:noVBand="1"/>
      </w:tblPr>
      <w:tblGrid>
        <w:gridCol w:w="2364"/>
        <w:gridCol w:w="858"/>
        <w:gridCol w:w="859"/>
        <w:gridCol w:w="859"/>
        <w:gridCol w:w="859"/>
        <w:gridCol w:w="862"/>
        <w:gridCol w:w="859"/>
        <w:gridCol w:w="859"/>
        <w:gridCol w:w="859"/>
        <w:gridCol w:w="862"/>
        <w:gridCol w:w="859"/>
        <w:gridCol w:w="859"/>
        <w:gridCol w:w="859"/>
        <w:gridCol w:w="870"/>
      </w:tblGrid>
      <w:tr w:rsidR="000B5C96" w:rsidRPr="00924659" w:rsidTr="003F606A">
        <w:trPr>
          <w:cantSplit/>
          <w:tblHeader/>
        </w:trPr>
        <w:tc>
          <w:tcPr>
            <w:cnfStyle w:val="001000000000" w:firstRow="0" w:lastRow="0" w:firstColumn="1" w:lastColumn="0" w:oddVBand="0" w:evenVBand="0" w:oddHBand="0" w:evenHBand="0" w:firstRowFirstColumn="0" w:firstRowLastColumn="0" w:lastRowFirstColumn="0" w:lastRowLastColumn="0"/>
            <w:tcW w:w="873" w:type="pct"/>
            <w:shd w:val="clear" w:color="auto" w:fill="D7DDE9"/>
          </w:tcPr>
          <w:p w:rsidR="000B5C96" w:rsidRPr="00924659" w:rsidRDefault="000B5C96" w:rsidP="003F606A">
            <w:pPr>
              <w:keepNext/>
              <w:keepLines/>
              <w:spacing w:line="240" w:lineRule="auto"/>
              <w:ind w:left="57" w:right="57"/>
              <w:rPr>
                <w:szCs w:val="20"/>
              </w:rPr>
            </w:pPr>
            <w:r w:rsidRPr="00924659">
              <w:rPr>
                <w:szCs w:val="20"/>
              </w:rPr>
              <w:t>($m)</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2016–17</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2017–18</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2018–19</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2019–20</w:t>
            </w:r>
          </w:p>
        </w:tc>
        <w:tc>
          <w:tcPr>
            <w:tcW w:w="318"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24659">
              <w:rPr>
                <w:rFonts w:ascii="Calibri" w:hAnsi="Calibri"/>
                <w:b/>
                <w:szCs w:val="20"/>
              </w:rPr>
              <w:t>Total to 2019–20</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2020–21</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2021–22</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2022–23</w:t>
            </w:r>
          </w:p>
        </w:tc>
        <w:tc>
          <w:tcPr>
            <w:tcW w:w="318"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2023–24</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2024–25</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2025–26</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24659">
              <w:rPr>
                <w:rFonts w:ascii="Calibri" w:hAnsi="Calibri"/>
                <w:szCs w:val="20"/>
              </w:rPr>
              <w:t>2026–27</w:t>
            </w:r>
          </w:p>
        </w:tc>
        <w:tc>
          <w:tcPr>
            <w:tcW w:w="318"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924659">
              <w:rPr>
                <w:rFonts w:ascii="Calibri" w:hAnsi="Calibri"/>
                <w:b/>
                <w:szCs w:val="20"/>
              </w:rPr>
              <w:t>Total to 2026–27</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EF1F6"/>
          </w:tcPr>
          <w:p w:rsidR="000B5C96" w:rsidRPr="00924659" w:rsidRDefault="000B5C96" w:rsidP="003F606A">
            <w:pPr>
              <w:keepNext/>
              <w:keepLines/>
              <w:spacing w:line="240" w:lineRule="auto"/>
              <w:ind w:left="57" w:right="57"/>
              <w:rPr>
                <w:b/>
                <w:szCs w:val="20"/>
              </w:rPr>
            </w:pPr>
            <w:r w:rsidRPr="00924659">
              <w:rPr>
                <w:b/>
                <w:szCs w:val="20"/>
              </w:rPr>
              <w:t>Impact on headline cash balance</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873" w:type="pct"/>
          </w:tcPr>
          <w:p w:rsidR="000B5C96" w:rsidRPr="00924659" w:rsidRDefault="000B5C96" w:rsidP="003F606A">
            <w:pPr>
              <w:keepNext/>
              <w:keepLines/>
              <w:spacing w:line="240" w:lineRule="auto"/>
              <w:ind w:left="57" w:right="57"/>
              <w:rPr>
                <w:color w:val="000000"/>
                <w:szCs w:val="20"/>
              </w:rPr>
            </w:pPr>
            <w:r w:rsidRPr="00924659">
              <w:rPr>
                <w:color w:val="000000"/>
                <w:szCs w:val="20"/>
              </w:rPr>
              <w:t>Repayments and interest received</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-8.0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-9.0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-10.0</w:t>
            </w:r>
          </w:p>
        </w:tc>
        <w:tc>
          <w:tcPr>
            <w:tcW w:w="318"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-28.0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-11.0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-12.0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-13.0</w:t>
            </w:r>
          </w:p>
        </w:tc>
        <w:tc>
          <w:tcPr>
            <w:tcW w:w="318"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-14.0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-14.0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-15.0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-16.0</w:t>
            </w:r>
          </w:p>
        </w:tc>
        <w:tc>
          <w:tcPr>
            <w:tcW w:w="318"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-124.0</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873" w:type="pct"/>
          </w:tcPr>
          <w:p w:rsidR="000B5C96" w:rsidRPr="00924659" w:rsidRDefault="000B5C96" w:rsidP="003F606A">
            <w:pPr>
              <w:keepNext/>
              <w:keepLines/>
              <w:spacing w:line="240" w:lineRule="auto"/>
              <w:ind w:left="57" w:right="57"/>
              <w:rPr>
                <w:color w:val="000000"/>
                <w:szCs w:val="20"/>
              </w:rPr>
            </w:pPr>
            <w:r w:rsidRPr="00924659">
              <w:rPr>
                <w:color w:val="000000"/>
                <w:szCs w:val="20"/>
              </w:rPr>
              <w:t>PDI</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-1.0</w:t>
            </w:r>
          </w:p>
        </w:tc>
        <w:tc>
          <w:tcPr>
            <w:tcW w:w="318"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-1.0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-1.0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-2.0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-3.0</w:t>
            </w:r>
          </w:p>
        </w:tc>
        <w:tc>
          <w:tcPr>
            <w:tcW w:w="318"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-4.0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-5.0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-6.0</w:t>
            </w:r>
          </w:p>
        </w:tc>
        <w:tc>
          <w:tcPr>
            <w:tcW w:w="317"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rPr>
            </w:pPr>
            <w:r w:rsidRPr="00924659">
              <w:rPr>
                <w:rFonts w:ascii="Calibri" w:hAnsi="Calibri"/>
                <w:i/>
                <w:color w:val="000000"/>
              </w:rPr>
              <w:t>-8.0</w:t>
            </w:r>
          </w:p>
        </w:tc>
        <w:tc>
          <w:tcPr>
            <w:tcW w:w="318" w:type="pct"/>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rPr>
            </w:pPr>
            <w:r w:rsidRPr="00924659">
              <w:rPr>
                <w:rFonts w:ascii="Calibri" w:hAnsi="Calibri"/>
                <w:b/>
                <w:bCs/>
                <w:i/>
                <w:color w:val="000000"/>
              </w:rPr>
              <w:t>-29.0</w:t>
            </w:r>
          </w:p>
        </w:tc>
      </w:tr>
      <w:tr w:rsidR="000B5C96" w:rsidRPr="00924659" w:rsidTr="003F606A">
        <w:trPr>
          <w:cantSplit/>
        </w:trPr>
        <w:tc>
          <w:tcPr>
            <w:cnfStyle w:val="001000000000" w:firstRow="0" w:lastRow="0" w:firstColumn="1" w:lastColumn="0" w:oddVBand="0" w:evenVBand="0" w:oddHBand="0" w:evenHBand="0" w:firstRowFirstColumn="0" w:firstRowLastColumn="0" w:lastRowFirstColumn="0" w:lastRowLastColumn="0"/>
            <w:tcW w:w="873" w:type="pct"/>
            <w:shd w:val="clear" w:color="auto" w:fill="D7DDE9"/>
          </w:tcPr>
          <w:p w:rsidR="000B5C96" w:rsidRPr="00924659" w:rsidRDefault="000B5C96" w:rsidP="003F606A">
            <w:pPr>
              <w:keepNext/>
              <w:keepLines/>
              <w:spacing w:line="240" w:lineRule="auto"/>
              <w:ind w:left="57" w:right="57"/>
              <w:rPr>
                <w:color w:val="000000"/>
                <w:szCs w:val="20"/>
              </w:rPr>
            </w:pPr>
            <w:r w:rsidRPr="00924659">
              <w:rPr>
                <w:b/>
                <w:szCs w:val="20"/>
              </w:rPr>
              <w:t>Total headline cash balance impact</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-8.0</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-10.0</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-11.0</w:t>
            </w:r>
          </w:p>
        </w:tc>
        <w:tc>
          <w:tcPr>
            <w:tcW w:w="318"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-29.0</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-12.0</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-14.0</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-16.0</w:t>
            </w:r>
          </w:p>
        </w:tc>
        <w:tc>
          <w:tcPr>
            <w:tcW w:w="318"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-17.0</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-19.0</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-21.0</w:t>
            </w:r>
          </w:p>
        </w:tc>
        <w:tc>
          <w:tcPr>
            <w:tcW w:w="317"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-24.0</w:t>
            </w:r>
          </w:p>
        </w:tc>
        <w:tc>
          <w:tcPr>
            <w:tcW w:w="318" w:type="pct"/>
            <w:shd w:val="clear" w:color="auto" w:fill="D7DDE9"/>
          </w:tcPr>
          <w:p w:rsidR="000B5C96" w:rsidRPr="00924659" w:rsidRDefault="000B5C96" w:rsidP="003F606A">
            <w:pPr>
              <w:keepNext/>
              <w:keepLines/>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924659">
              <w:rPr>
                <w:rFonts w:ascii="Calibri" w:hAnsi="Calibri"/>
                <w:b/>
                <w:bCs/>
                <w:color w:val="000000"/>
              </w:rPr>
              <w:t>-153.0</w:t>
            </w:r>
          </w:p>
        </w:tc>
      </w:tr>
    </w:tbl>
    <w:p w:rsidR="000B5C96" w:rsidRPr="00924659" w:rsidRDefault="000B5C96" w:rsidP="00DE3D76">
      <w:pPr>
        <w:pStyle w:val="Footnotes"/>
        <w:keepNext/>
        <w:keepLines/>
        <w:numPr>
          <w:ilvl w:val="0"/>
          <w:numId w:val="154"/>
        </w:numPr>
        <w:ind w:left="284" w:hanging="284"/>
      </w:pPr>
      <w:r w:rsidRPr="00924659">
        <w:t xml:space="preserve">A positive number for the headline cash balance indicates an increase in cashflow.  A negative number for the headline cash balance indicates a decrease in cashflow. </w:t>
      </w:r>
    </w:p>
    <w:p w:rsidR="000B5C96" w:rsidRPr="00924659" w:rsidRDefault="000B5C96" w:rsidP="00DE3D76">
      <w:pPr>
        <w:pStyle w:val="Footnotes"/>
        <w:keepNext/>
        <w:keepLines/>
        <w:numPr>
          <w:ilvl w:val="0"/>
          <w:numId w:val="154"/>
        </w:numPr>
        <w:ind w:left="284" w:hanging="284"/>
      </w:pPr>
      <w:r w:rsidRPr="00924659">
        <w:t>Figures may not sum to totals due to rounding.</w:t>
      </w:r>
    </w:p>
    <w:p w:rsidR="000B5C96" w:rsidRPr="00924659" w:rsidRDefault="000B5C96" w:rsidP="003F606A">
      <w:pPr>
        <w:pStyle w:val="Footnotes"/>
        <w:keepNext/>
        <w:keepLines/>
        <w:numPr>
          <w:ilvl w:val="0"/>
          <w:numId w:val="0"/>
        </w:numPr>
        <w:ind w:left="284" w:hanging="284"/>
      </w:pPr>
      <w:r w:rsidRPr="00924659">
        <w:t>..</w:t>
      </w:r>
      <w:r w:rsidRPr="00924659">
        <w:tab/>
        <w:t>Not zero but rounded to zero.</w:t>
      </w:r>
    </w:p>
    <w:p w:rsidR="000B5C96" w:rsidRPr="00924659" w:rsidRDefault="000B5C96" w:rsidP="000B5C96">
      <w:pPr>
        <w:pStyle w:val="Footnotes"/>
        <w:numPr>
          <w:ilvl w:val="0"/>
          <w:numId w:val="114"/>
        </w:numPr>
        <w:ind w:left="284" w:hanging="284"/>
        <w:sectPr w:rsidR="000B5C96" w:rsidRPr="00924659" w:rsidSect="003F606A">
          <w:headerReference w:type="even" r:id="rId296"/>
          <w:headerReference w:type="default" r:id="rId297"/>
          <w:footerReference w:type="even" r:id="rId298"/>
          <w:footerReference w:type="default" r:id="rId299"/>
          <w:headerReference w:type="first" r:id="rId300"/>
          <w:footerReference w:type="first" r:id="rId301"/>
          <w:footnotePr>
            <w:numRestart w:val="eachSect"/>
          </w:footnotePr>
          <w:pgSz w:w="16839" w:h="11907" w:orient="landscape" w:code="9"/>
          <w:pgMar w:top="1361" w:right="1797" w:bottom="1474" w:left="1797" w:header="283" w:footer="454" w:gutter="0"/>
          <w:cols w:space="708"/>
          <w:docGrid w:linePitch="360"/>
        </w:sectPr>
      </w:pPr>
      <w:r w:rsidRPr="00924659">
        <w:t>Indicates nil.</w:t>
      </w:r>
    </w:p>
    <w:p w:rsidR="000B5C96" w:rsidRPr="00924659" w:rsidRDefault="000B5C96" w:rsidP="000B5C96">
      <w:pPr>
        <w:pStyle w:val="Heading6"/>
        <w:numPr>
          <w:ilvl w:val="0"/>
          <w:numId w:val="5"/>
        </w:numPr>
        <w:tabs>
          <w:tab w:val="clear" w:pos="0"/>
          <w:tab w:val="num" w:pos="360"/>
          <w:tab w:val="right" w:pos="1418"/>
          <w:tab w:val="right" w:pos="1701"/>
          <w:tab w:val="right" w:pos="1985"/>
        </w:tabs>
      </w:pPr>
      <w:r w:rsidRPr="00427620">
        <w:rPr>
          <w:rStyle w:val="Heading6Char"/>
        </w:rPr>
        <w:t>Attachment B: Accounting Treatment of Income Contingent</w:t>
      </w:r>
      <w:r w:rsidRPr="00924659">
        <w:t xml:space="preserve"> Loans</w:t>
      </w:r>
    </w:p>
    <w:p w:rsidR="000B5C96" w:rsidRPr="00924659" w:rsidRDefault="000B5C96" w:rsidP="003F606A">
      <w:pPr>
        <w:pStyle w:val="BodyText"/>
      </w:pPr>
      <w:r w:rsidRPr="00924659">
        <w:t xml:space="preserve">In accordance with PBO Guidance 02/2015 and the </w:t>
      </w:r>
      <w:r w:rsidRPr="00924659">
        <w:rPr>
          <w:i/>
        </w:rPr>
        <w:t>Charter of Budget Honesty Policy Costing Guidelines</w:t>
      </w:r>
      <w:r w:rsidRPr="00924659">
        <w:t>, proposals that “involve transactions of financial assets” would need to take into account the impact of Public Debt Interest (PDI) payments.  When estimating the proposal’s impact on PDI payments, the net headline cash balance impact is used.  The net headline cash balance impact includes not only the income contingent loan component of the proposal, but all associated components that are considered integral to the overall proposal.  The most widely known example of an income contingent loan is a loan under the Higher Education Loan Program (HELP).</w:t>
      </w:r>
    </w:p>
    <w:p w:rsidR="000B5C96" w:rsidRPr="00924659" w:rsidRDefault="000B5C96" w:rsidP="003F606A">
      <w:pPr>
        <w:pStyle w:val="BodyText"/>
      </w:pPr>
      <w:r w:rsidRPr="00924659">
        <w:t>The issuing of income contingent loans and repayments of principal themselves do not have an impact on the underlying cash or fiscal balances as they are treated as investments, while the associated PDI payments impact on all three budget balances.  The PDI impact is a result of the change in Government’s borrowing requirements to fund these loans.</w:t>
      </w:r>
    </w:p>
    <w:p w:rsidR="000B5C96" w:rsidRPr="00924659" w:rsidRDefault="000B5C96" w:rsidP="003F606A">
      <w:pPr>
        <w:pStyle w:val="BodyText"/>
      </w:pPr>
      <w:r w:rsidRPr="00924659">
        <w:t>The component of repayments that is considered interest is included as revenue in underlying cash balance terms.  As repayment amounts are linked to income levels, it is difficult to separate interest repayments from principal repayments.  In the forward estimates, a fixed proportion of all repayments is taken to be interest repayments.  This is based on the average amount of interest paid over the life of the loan, and is based on the approach used for HELP loans.</w:t>
      </w:r>
    </w:p>
    <w:p w:rsidR="000B5C96" w:rsidRPr="00924659" w:rsidRDefault="000B5C96" w:rsidP="003F606A">
      <w:pPr>
        <w:pStyle w:val="BodyText"/>
      </w:pPr>
      <w:r w:rsidRPr="00924659">
        <w:t>Interest is also accounted for in fiscal balance terms.  This is the increase in the value of the debt due to the debiting of the interest on the outstanding balance of the loan each financial year.  Fiscal balance interest income is assessed on the “fair value” of the debt, consistent with relevant accounting standards, as it is unreasonable to claim interest income on a debt that is not expected to be repaid.  For HELP loans, the interest rate of the loan is the rate of the increase in the Consumer Price Index (CPI).</w:t>
      </w:r>
    </w:p>
    <w:p w:rsidR="000B5C96" w:rsidRPr="00924659" w:rsidRDefault="000B5C96" w:rsidP="003F606A">
      <w:pPr>
        <w:pStyle w:val="BodyText"/>
      </w:pPr>
      <w:r w:rsidRPr="00924659">
        <w:t>Furthermore, income contingent loans may be concessional to the extent that interest rate on the loan is less than the market interest rate that would be charged to the borrowers.  For budget purposes, the concession is estimated based on the difference between the Government bond rate and the interest rate on the concession loan.  The Budget accounts for the net present value of this concession as an expense in fiscal balance terms.  As loans are repaid, the amount of foregone interest income reduces, so this expense is “unwound”, having a positive impact on the fiscal balance.  For example, HELP loans are concessional as they are indexed to CPI.</w:t>
      </w:r>
    </w:p>
    <w:p w:rsidR="000B5C96" w:rsidRPr="00924659" w:rsidRDefault="000B5C96" w:rsidP="003F606A">
      <w:pPr>
        <w:pStyle w:val="BodyText"/>
      </w:pPr>
      <w:r w:rsidRPr="00924659">
        <w:t>When the Commonwealth agrees to forgo the repayment of some or all of a debtor’s debt, this also has a negative impact on Budget aggregates.  Mutually agreed writedowns or write</w:t>
      </w:r>
      <w:r w:rsidRPr="00924659">
        <w:noBreakHyphen/>
        <w:t>offs (for example in the case of death of the borrower) have no impact on the underlying cash balance, but are an expense in fiscal balance terms.</w:t>
      </w:r>
    </w:p>
    <w:p w:rsidR="000B5C96" w:rsidRPr="00924659" w:rsidRDefault="000B5C96" w:rsidP="003F606A">
      <w:pPr>
        <w:pStyle w:val="BodyText"/>
      </w:pPr>
      <w:r w:rsidRPr="00924659">
        <w:t>The headline cash balance is tracked in Budget papers, and is normally reported in policy costings when it differs from the underlying cash balance.</w:t>
      </w:r>
    </w:p>
    <w:p w:rsidR="000B5C96" w:rsidRDefault="000B5C96" w:rsidP="003F606A">
      <w:pPr>
        <w:pStyle w:val="BodyText"/>
      </w:pPr>
      <w:r w:rsidRPr="00924659">
        <w:t>The fair value of the debt is a positive contributor to the Government’s net financial worth.</w:t>
      </w:r>
    </w:p>
    <w:p w:rsidR="000B5C96" w:rsidRDefault="000B5C96" w:rsidP="003F606A">
      <w:pPr>
        <w:pStyle w:val="BodyText"/>
        <w:sectPr w:rsidR="000B5C96" w:rsidSect="003F606A">
          <w:headerReference w:type="even" r:id="rId302"/>
          <w:headerReference w:type="default" r:id="rId303"/>
          <w:footerReference w:type="even" r:id="rId304"/>
          <w:footerReference w:type="default" r:id="rId305"/>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23" w:name="_Toc457979349"/>
      <w:bookmarkStart w:id="124" w:name="_Toc458069207"/>
      <w:r>
        <w:t xml:space="preserve">GRN032: </w:t>
      </w:r>
      <w:r w:rsidRPr="002C7C9C">
        <w:rPr>
          <w:color w:val="auto"/>
        </w:rPr>
        <w:t>Better Schools: Full Gonski Funding and Better Schools: Students with Disability</w:t>
      </w:r>
      <w:bookmarkEnd w:id="123"/>
      <w:bookmarkEnd w:id="124"/>
    </w:p>
    <w:p w:rsidR="000B5C96" w:rsidRPr="009C09D3" w:rsidRDefault="000B5C96" w:rsidP="003F606A">
      <w:pPr>
        <w:pStyle w:val="BodyText"/>
      </w:pPr>
      <w:r w:rsidRPr="009C09D3">
        <w:rPr>
          <w:noProof/>
          <w:lang w:eastAsia="en-AU"/>
        </w:rPr>
        <w:drawing>
          <wp:inline distT="0" distB="0" distL="0" distR="0" wp14:anchorId="19E8F00B" wp14:editId="184D8C2C">
            <wp:extent cx="2696845" cy="572135"/>
            <wp:effectExtent l="0" t="0" r="8255" b="0"/>
            <wp:docPr id="20" name="Picture 2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BB3DCA" w:rsidRDefault="000B5C96" w:rsidP="000B5C96">
      <w:pPr>
        <w:pStyle w:val="Heading6"/>
        <w:numPr>
          <w:ilvl w:val="0"/>
          <w:numId w:val="5"/>
        </w:numPr>
        <w:tabs>
          <w:tab w:val="clear" w:pos="0"/>
          <w:tab w:val="num" w:pos="360"/>
          <w:tab w:val="right" w:pos="1418"/>
          <w:tab w:val="right" w:pos="1701"/>
          <w:tab w:val="right" w:pos="1985"/>
        </w:tabs>
      </w:pPr>
      <w:r w:rsidRPr="00BB3DCA">
        <w:t>Policy costing—during the caretaker period for the 2016 general election</w:t>
      </w:r>
    </w:p>
    <w:tbl>
      <w:tblPr>
        <w:tblStyle w:val="TableGrid7"/>
        <w:tblW w:w="8340" w:type="dxa"/>
        <w:tblInd w:w="0" w:type="dxa"/>
        <w:tblLook w:val="04A0" w:firstRow="1" w:lastRow="0" w:firstColumn="1" w:lastColumn="0" w:noHBand="0" w:noVBand="1"/>
      </w:tblPr>
      <w:tblGrid>
        <w:gridCol w:w="3005"/>
        <w:gridCol w:w="5335"/>
      </w:tblGrid>
      <w:tr w:rsidR="000B5C96" w:rsidRPr="005F19AE"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5F19AE" w:rsidRDefault="000B5C96" w:rsidP="00DE3D76">
            <w:pPr>
              <w:pStyle w:val="PullOutBoxHeading"/>
              <w:spacing w:beforeAutospacing="0" w:afterAutospacing="0"/>
              <w:rPr>
                <w:b w:val="0"/>
                <w:sz w:val="22"/>
                <w:szCs w:val="22"/>
              </w:rPr>
            </w:pPr>
            <w:r w:rsidRPr="005F19AE">
              <w:rPr>
                <w:sz w:val="22"/>
                <w:szCs w:val="22"/>
              </w:rPr>
              <w:t>Name of proposal:</w:t>
            </w:r>
          </w:p>
        </w:tc>
        <w:tc>
          <w:tcPr>
            <w:tcW w:w="5335" w:type="dxa"/>
          </w:tcPr>
          <w:p w:rsidR="000B5C96" w:rsidRPr="005F19AE" w:rsidRDefault="000B5C96" w:rsidP="00DE3D76">
            <w:pPr>
              <w:pStyle w:val="PullOutBoxHeading"/>
              <w:spacing w:beforeAutospacing="0" w:afterAutospacing="0"/>
              <w:jc w:val="left"/>
              <w:cnfStyle w:val="100000000000" w:firstRow="1" w:lastRow="0" w:firstColumn="0" w:lastColumn="0" w:oddVBand="0" w:evenVBand="0" w:oddHBand="0" w:evenHBand="0" w:firstRowFirstColumn="0" w:firstRowLastColumn="0" w:lastRowFirstColumn="0" w:lastRowLastColumn="0"/>
              <w:rPr>
                <w:b w:val="0"/>
                <w:sz w:val="22"/>
                <w:szCs w:val="22"/>
              </w:rPr>
            </w:pPr>
            <w:r w:rsidRPr="005F19AE">
              <w:rPr>
                <w:sz w:val="22"/>
                <w:szCs w:val="22"/>
              </w:rPr>
              <w:t>Better Schools: Full Gonski and Disability Funding</w:t>
            </w:r>
          </w:p>
        </w:tc>
      </w:tr>
      <w:tr w:rsidR="000B5C96" w:rsidRPr="00BB3DCA"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5F19AE" w:rsidRDefault="000B5C96" w:rsidP="003F606A">
            <w:pPr>
              <w:pStyle w:val="PullOutBoxBodyText"/>
              <w:rPr>
                <w:sz w:val="22"/>
                <w:szCs w:val="22"/>
              </w:rPr>
            </w:pPr>
            <w:r w:rsidRPr="005F19AE">
              <w:rPr>
                <w:sz w:val="22"/>
                <w:szCs w:val="22"/>
              </w:rPr>
              <w:t>Summary of proposal:</w:t>
            </w:r>
          </w:p>
        </w:tc>
        <w:tc>
          <w:tcPr>
            <w:tcW w:w="5335" w:type="dxa"/>
          </w:tcPr>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BB3DCA">
              <w:t>T</w:t>
            </w:r>
            <w:r w:rsidRPr="005F19AE">
              <w:rPr>
                <w:sz w:val="22"/>
              </w:rPr>
              <w:t>he proposal includes the following two components:</w:t>
            </w:r>
          </w:p>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u w:val="single"/>
              </w:rPr>
            </w:pPr>
            <w:r w:rsidRPr="005F19AE">
              <w:rPr>
                <w:sz w:val="22"/>
                <w:u w:val="single"/>
              </w:rPr>
              <w:t>Component 1: Gonski school funding</w:t>
            </w:r>
          </w:p>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5F19AE">
              <w:rPr>
                <w:sz w:val="22"/>
              </w:rPr>
              <w:t>This component would increase funding to government and non</w:t>
            </w:r>
            <w:r w:rsidRPr="005F19AE">
              <w:rPr>
                <w:sz w:val="22"/>
              </w:rPr>
              <w:noBreakHyphen/>
              <w:t>government schools to match the funding allocated in the 2013</w:t>
            </w:r>
            <w:r w:rsidRPr="005F19AE">
              <w:rPr>
                <w:sz w:val="22"/>
              </w:rPr>
              <w:noBreakHyphen/>
              <w:t xml:space="preserve">14 budget for the </w:t>
            </w:r>
            <w:r w:rsidRPr="005F19AE">
              <w:rPr>
                <w:i/>
                <w:sz w:val="22"/>
              </w:rPr>
              <w:t>Better Schools – National Plan for School Improvement</w:t>
            </w:r>
            <w:r w:rsidRPr="005F19AE">
              <w:rPr>
                <w:sz w:val="22"/>
              </w:rPr>
              <w:t xml:space="preserve"> (NPSI) for the financial years 2017</w:t>
            </w:r>
            <w:r w:rsidRPr="005F19AE">
              <w:rPr>
                <w:sz w:val="22"/>
              </w:rPr>
              <w:noBreakHyphen/>
              <w:t>18, 2018</w:t>
            </w:r>
            <w:r w:rsidRPr="005F19AE">
              <w:rPr>
                <w:sz w:val="22"/>
              </w:rPr>
              <w:noBreakHyphen/>
              <w:t>19 and 2019</w:t>
            </w:r>
            <w:r w:rsidRPr="005F19AE">
              <w:rPr>
                <w:sz w:val="22"/>
              </w:rPr>
              <w:noBreakHyphen/>
              <w:t>20, and school (calendar) years 2018 and 2019.</w:t>
            </w:r>
          </w:p>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5F19AE">
              <w:rPr>
                <w:sz w:val="22"/>
              </w:rPr>
              <w:t>This component would include the proportional Schooling Resource Standard (SRS) funding for those years, 4.7 per cent indexation, plus all loadings that would have been identified and funded under NPSI (disability, Aboriginality, socio economic status (SES), English proficiency, school size and school remoteness), and using latest enrolment data.</w:t>
            </w:r>
          </w:p>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5F19AE">
              <w:rPr>
                <w:sz w:val="22"/>
              </w:rPr>
              <w:t>Under this component no school would be worse off when compared to current government estimates and Commonwealth schools funding in the 2020 calendar year would be at a level to maintain schools on their 2019 percentages of SRS.</w:t>
            </w:r>
          </w:p>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5F19AE">
              <w:rPr>
                <w:sz w:val="22"/>
              </w:rPr>
              <w:t>This component would have effect from 1 January 2018.</w:t>
            </w:r>
          </w:p>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u w:val="single"/>
              </w:rPr>
            </w:pPr>
            <w:r w:rsidRPr="005F19AE">
              <w:rPr>
                <w:sz w:val="22"/>
                <w:u w:val="single"/>
              </w:rPr>
              <w:t>Component 2: School funding for students with disabilities</w:t>
            </w:r>
          </w:p>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5F19AE">
              <w:rPr>
                <w:sz w:val="22"/>
              </w:rPr>
              <w:t>This component would provide the following capped amounts:</w:t>
            </w:r>
          </w:p>
          <w:tbl>
            <w:tblPr>
              <w:tblStyle w:val="TableGrid7"/>
              <w:tblW w:w="5030" w:type="dxa"/>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6"/>
              <w:gridCol w:w="754"/>
              <w:gridCol w:w="713"/>
              <w:gridCol w:w="667"/>
              <w:gridCol w:w="670"/>
              <w:gridCol w:w="670"/>
            </w:tblGrid>
            <w:tr w:rsidR="000B5C96" w:rsidRPr="00BB3DCA" w:rsidTr="003F606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56" w:type="dxa"/>
                  <w:vAlign w:val="center"/>
                </w:tcPr>
                <w:p w:rsidR="000B5C96" w:rsidRPr="00BB3DCA" w:rsidRDefault="000B5C96" w:rsidP="003F606A">
                  <w:pPr>
                    <w:spacing w:before="40" w:after="40" w:line="240" w:lineRule="auto"/>
                    <w:ind w:left="28"/>
                    <w:rPr>
                      <w:sz w:val="18"/>
                      <w:szCs w:val="18"/>
                    </w:rPr>
                  </w:pPr>
                  <w:r w:rsidRPr="00BB3DCA">
                    <w:rPr>
                      <w:sz w:val="18"/>
                      <w:szCs w:val="18"/>
                    </w:rPr>
                    <w:t>($m)</w:t>
                  </w:r>
                </w:p>
              </w:tc>
              <w:tc>
                <w:tcPr>
                  <w:tcW w:w="754" w:type="dxa"/>
                  <w:vAlign w:val="center"/>
                </w:tcPr>
                <w:p w:rsidR="000B5C96" w:rsidRPr="00BB3DCA" w:rsidRDefault="000B5C96" w:rsidP="003F606A">
                  <w:pPr>
                    <w:spacing w:before="40" w:after="40" w:line="240" w:lineRule="auto"/>
                    <w:ind w:right="28"/>
                    <w:cnfStyle w:val="100000000000" w:firstRow="1" w:lastRow="0" w:firstColumn="0" w:lastColumn="0" w:oddVBand="0" w:evenVBand="0" w:oddHBand="0" w:evenHBand="0" w:firstRowFirstColumn="0" w:firstRowLastColumn="0" w:lastRowFirstColumn="0" w:lastRowLastColumn="0"/>
                    <w:rPr>
                      <w:sz w:val="18"/>
                      <w:szCs w:val="18"/>
                    </w:rPr>
                  </w:pPr>
                  <w:r w:rsidRPr="00BB3DCA">
                    <w:rPr>
                      <w:sz w:val="18"/>
                      <w:szCs w:val="18"/>
                    </w:rPr>
                    <w:t>2016-17</w:t>
                  </w:r>
                </w:p>
              </w:tc>
              <w:tc>
                <w:tcPr>
                  <w:tcW w:w="713" w:type="dxa"/>
                  <w:vAlign w:val="center"/>
                </w:tcPr>
                <w:p w:rsidR="000B5C96" w:rsidRPr="00BB3DCA" w:rsidRDefault="000B5C96" w:rsidP="003F606A">
                  <w:pPr>
                    <w:spacing w:before="40" w:after="40" w:line="240" w:lineRule="auto"/>
                    <w:ind w:right="28"/>
                    <w:cnfStyle w:val="100000000000" w:firstRow="1" w:lastRow="0" w:firstColumn="0" w:lastColumn="0" w:oddVBand="0" w:evenVBand="0" w:oddHBand="0" w:evenHBand="0" w:firstRowFirstColumn="0" w:firstRowLastColumn="0" w:lastRowFirstColumn="0" w:lastRowLastColumn="0"/>
                    <w:rPr>
                      <w:sz w:val="18"/>
                      <w:szCs w:val="18"/>
                    </w:rPr>
                  </w:pPr>
                  <w:r w:rsidRPr="00BB3DCA">
                    <w:rPr>
                      <w:sz w:val="18"/>
                      <w:szCs w:val="18"/>
                    </w:rPr>
                    <w:t>2017-18</w:t>
                  </w:r>
                </w:p>
              </w:tc>
              <w:tc>
                <w:tcPr>
                  <w:tcW w:w="667" w:type="dxa"/>
                  <w:vAlign w:val="center"/>
                </w:tcPr>
                <w:p w:rsidR="000B5C96" w:rsidRPr="00BB3DCA" w:rsidRDefault="000B5C96" w:rsidP="003F606A">
                  <w:pPr>
                    <w:spacing w:before="40" w:after="40" w:line="240" w:lineRule="auto"/>
                    <w:ind w:right="28"/>
                    <w:cnfStyle w:val="100000000000" w:firstRow="1" w:lastRow="0" w:firstColumn="0" w:lastColumn="0" w:oddVBand="0" w:evenVBand="0" w:oddHBand="0" w:evenHBand="0" w:firstRowFirstColumn="0" w:firstRowLastColumn="0" w:lastRowFirstColumn="0" w:lastRowLastColumn="0"/>
                    <w:rPr>
                      <w:sz w:val="18"/>
                      <w:szCs w:val="18"/>
                    </w:rPr>
                  </w:pPr>
                  <w:r w:rsidRPr="00BB3DCA">
                    <w:rPr>
                      <w:sz w:val="18"/>
                      <w:szCs w:val="18"/>
                    </w:rPr>
                    <w:t>2018-19</w:t>
                  </w:r>
                </w:p>
              </w:tc>
              <w:tc>
                <w:tcPr>
                  <w:tcW w:w="670" w:type="dxa"/>
                  <w:vAlign w:val="center"/>
                </w:tcPr>
                <w:p w:rsidR="000B5C96" w:rsidRPr="00BB3DCA" w:rsidRDefault="000B5C96" w:rsidP="003F606A">
                  <w:pPr>
                    <w:spacing w:before="40" w:after="40" w:line="240" w:lineRule="auto"/>
                    <w:ind w:right="28"/>
                    <w:cnfStyle w:val="100000000000" w:firstRow="1" w:lastRow="0" w:firstColumn="0" w:lastColumn="0" w:oddVBand="0" w:evenVBand="0" w:oddHBand="0" w:evenHBand="0" w:firstRowFirstColumn="0" w:firstRowLastColumn="0" w:lastRowFirstColumn="0" w:lastRowLastColumn="0"/>
                    <w:rPr>
                      <w:sz w:val="18"/>
                      <w:szCs w:val="18"/>
                    </w:rPr>
                  </w:pPr>
                  <w:r w:rsidRPr="00BB3DCA">
                    <w:rPr>
                      <w:sz w:val="18"/>
                      <w:szCs w:val="18"/>
                    </w:rPr>
                    <w:t>2019-20</w:t>
                  </w:r>
                </w:p>
              </w:tc>
              <w:tc>
                <w:tcPr>
                  <w:tcW w:w="670" w:type="dxa"/>
                  <w:vAlign w:val="center"/>
                </w:tcPr>
                <w:p w:rsidR="000B5C96" w:rsidRPr="00BB3DCA" w:rsidRDefault="000B5C96" w:rsidP="003F606A">
                  <w:pPr>
                    <w:spacing w:before="40" w:after="40" w:line="240" w:lineRule="auto"/>
                    <w:ind w:right="28"/>
                    <w:cnfStyle w:val="100000000000" w:firstRow="1" w:lastRow="0" w:firstColumn="0" w:lastColumn="0" w:oddVBand="0" w:evenVBand="0" w:oddHBand="0" w:evenHBand="0" w:firstRowFirstColumn="0" w:firstRowLastColumn="0" w:lastRowFirstColumn="0" w:lastRowLastColumn="0"/>
                    <w:rPr>
                      <w:sz w:val="18"/>
                      <w:szCs w:val="18"/>
                    </w:rPr>
                  </w:pPr>
                  <w:r w:rsidRPr="00BB3DCA">
                    <w:rPr>
                      <w:sz w:val="18"/>
                      <w:szCs w:val="18"/>
                    </w:rPr>
                    <w:t>Total</w:t>
                  </w:r>
                </w:p>
              </w:tc>
            </w:tr>
            <w:tr w:rsidR="000B5C96" w:rsidRPr="00BB3DCA" w:rsidTr="003F60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6" w:type="dxa"/>
                </w:tcPr>
                <w:p w:rsidR="000B5C96" w:rsidRPr="00BB3DCA" w:rsidRDefault="000B5C96" w:rsidP="003F606A">
                  <w:pPr>
                    <w:spacing w:before="40" w:after="40" w:line="240" w:lineRule="auto"/>
                    <w:ind w:left="28"/>
                    <w:rPr>
                      <w:sz w:val="18"/>
                      <w:szCs w:val="18"/>
                    </w:rPr>
                  </w:pPr>
                  <w:r w:rsidRPr="00BB3DCA">
                    <w:rPr>
                      <w:sz w:val="18"/>
                      <w:szCs w:val="18"/>
                    </w:rPr>
                    <w:t>Profiled amounts</w:t>
                  </w:r>
                </w:p>
              </w:tc>
              <w:tc>
                <w:tcPr>
                  <w:tcW w:w="754" w:type="dxa"/>
                </w:tcPr>
                <w:p w:rsidR="000B5C96" w:rsidRPr="00BB3DCA" w:rsidRDefault="000B5C96" w:rsidP="003F606A">
                  <w:pPr>
                    <w:spacing w:before="40" w:after="40" w:line="240" w:lineRule="auto"/>
                    <w:ind w:left="0" w:right="28"/>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B3DCA">
                    <w:rPr>
                      <w:rFonts w:ascii="Calibri" w:hAnsi="Calibri"/>
                      <w:sz w:val="18"/>
                      <w:szCs w:val="18"/>
                    </w:rPr>
                    <w:t>-1,111</w:t>
                  </w:r>
                </w:p>
              </w:tc>
              <w:tc>
                <w:tcPr>
                  <w:tcW w:w="713" w:type="dxa"/>
                </w:tcPr>
                <w:p w:rsidR="000B5C96" w:rsidRPr="00BB3DCA" w:rsidRDefault="000B5C96" w:rsidP="003F606A">
                  <w:pPr>
                    <w:spacing w:before="40" w:after="40" w:line="240" w:lineRule="auto"/>
                    <w:ind w:left="0" w:right="28"/>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B3DCA">
                    <w:rPr>
                      <w:rFonts w:ascii="Calibri" w:hAnsi="Calibri"/>
                      <w:sz w:val="18"/>
                      <w:szCs w:val="18"/>
                    </w:rPr>
                    <w:t>-1,164</w:t>
                  </w:r>
                </w:p>
              </w:tc>
              <w:tc>
                <w:tcPr>
                  <w:tcW w:w="667" w:type="dxa"/>
                </w:tcPr>
                <w:p w:rsidR="000B5C96" w:rsidRPr="00BB3DCA" w:rsidRDefault="000B5C96" w:rsidP="003F606A">
                  <w:pPr>
                    <w:spacing w:before="40" w:after="40" w:line="240" w:lineRule="auto"/>
                    <w:ind w:left="0" w:right="28"/>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B3DCA">
                    <w:rPr>
                      <w:rFonts w:ascii="Calibri" w:hAnsi="Calibri"/>
                      <w:sz w:val="18"/>
                      <w:szCs w:val="18"/>
                    </w:rPr>
                    <w:t>-1,218</w:t>
                  </w:r>
                </w:p>
              </w:tc>
              <w:tc>
                <w:tcPr>
                  <w:tcW w:w="670" w:type="dxa"/>
                </w:tcPr>
                <w:p w:rsidR="000B5C96" w:rsidRPr="00BB3DCA" w:rsidRDefault="000B5C96" w:rsidP="003F606A">
                  <w:pPr>
                    <w:spacing w:before="40" w:after="40" w:line="240" w:lineRule="auto"/>
                    <w:ind w:left="0" w:right="28"/>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B3DCA">
                    <w:rPr>
                      <w:rFonts w:ascii="Calibri" w:hAnsi="Calibri"/>
                      <w:sz w:val="18"/>
                      <w:szCs w:val="18"/>
                    </w:rPr>
                    <w:t>-1,276</w:t>
                  </w:r>
                </w:p>
              </w:tc>
              <w:tc>
                <w:tcPr>
                  <w:tcW w:w="670" w:type="dxa"/>
                </w:tcPr>
                <w:p w:rsidR="000B5C96" w:rsidRPr="00BB3DCA" w:rsidRDefault="000B5C96" w:rsidP="003F606A">
                  <w:pPr>
                    <w:spacing w:before="40" w:after="40" w:line="240" w:lineRule="auto"/>
                    <w:ind w:left="0" w:right="28"/>
                    <w:jc w:val="right"/>
                    <w:cnfStyle w:val="000000100000" w:firstRow="0" w:lastRow="0" w:firstColumn="0" w:lastColumn="0" w:oddVBand="0" w:evenVBand="0" w:oddHBand="1" w:evenHBand="0" w:firstRowFirstColumn="0" w:firstRowLastColumn="0" w:lastRowFirstColumn="0" w:lastRowLastColumn="0"/>
                    <w:rPr>
                      <w:rFonts w:ascii="Calibri" w:hAnsi="Calibri"/>
                      <w:b/>
                      <w:sz w:val="18"/>
                      <w:szCs w:val="18"/>
                    </w:rPr>
                  </w:pPr>
                  <w:r w:rsidRPr="00BB3DCA">
                    <w:rPr>
                      <w:rFonts w:ascii="Calibri" w:hAnsi="Calibri"/>
                      <w:b/>
                      <w:sz w:val="18"/>
                      <w:szCs w:val="18"/>
                    </w:rPr>
                    <w:t>-4,769</w:t>
                  </w:r>
                </w:p>
              </w:tc>
            </w:tr>
          </w:tbl>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5F19AE">
              <w:rPr>
                <w:sz w:val="22"/>
              </w:rPr>
              <w:t>This component would have effect from 1 September 2016.</w:t>
            </w:r>
          </w:p>
        </w:tc>
      </w:tr>
      <w:tr w:rsidR="000B5C96" w:rsidRPr="005F19AE"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5F19AE" w:rsidRDefault="000B5C96" w:rsidP="003F606A">
            <w:pPr>
              <w:pStyle w:val="PullOutBoxBodyText"/>
              <w:rPr>
                <w:sz w:val="22"/>
                <w:szCs w:val="22"/>
              </w:rPr>
            </w:pPr>
            <w:r w:rsidRPr="005F19AE">
              <w:rPr>
                <w:sz w:val="22"/>
                <w:szCs w:val="22"/>
              </w:rPr>
              <w:t>Date of public release of policy:</w:t>
            </w:r>
          </w:p>
        </w:tc>
        <w:tc>
          <w:tcPr>
            <w:tcW w:w="5335" w:type="dxa"/>
          </w:tcPr>
          <w:p w:rsidR="000B5C96" w:rsidRPr="005F19AE"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5F19AE">
              <w:rPr>
                <w:rFonts w:ascii="Calibri" w:hAnsi="Calibri"/>
                <w:sz w:val="22"/>
              </w:rPr>
              <w:t xml:space="preserve">22 April 2016  </w:t>
            </w:r>
          </w:p>
        </w:tc>
      </w:tr>
      <w:tr w:rsidR="000B5C96" w:rsidRPr="005F19AE"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5F19AE" w:rsidRDefault="000B5C96" w:rsidP="003F606A">
            <w:pPr>
              <w:pStyle w:val="PullOutBoxBodyText"/>
              <w:rPr>
                <w:sz w:val="22"/>
                <w:szCs w:val="22"/>
              </w:rPr>
            </w:pPr>
            <w:r w:rsidRPr="005F19AE">
              <w:rPr>
                <w:sz w:val="22"/>
                <w:szCs w:val="22"/>
              </w:rPr>
              <w:t>Person/party requesting costing:</w:t>
            </w:r>
          </w:p>
        </w:tc>
        <w:tc>
          <w:tcPr>
            <w:tcW w:w="5335" w:type="dxa"/>
          </w:tcPr>
          <w:p w:rsidR="000B5C96" w:rsidRPr="005F19A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5F19AE">
              <w:rPr>
                <w:rFonts w:ascii="Calibri" w:hAnsi="Calibri"/>
                <w:sz w:val="22"/>
              </w:rPr>
              <w:t>Senator Richard Di Natale, Australian Greens</w:t>
            </w:r>
          </w:p>
        </w:tc>
      </w:tr>
      <w:tr w:rsidR="000B5C96" w:rsidRPr="00AF20D2"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AF20D2" w:rsidRDefault="000B5C96" w:rsidP="00DE3D76">
            <w:pPr>
              <w:pStyle w:val="PullOutBoxBodyText"/>
              <w:keepNext/>
              <w:keepLines/>
              <w:rPr>
                <w:sz w:val="22"/>
                <w:szCs w:val="22"/>
              </w:rPr>
            </w:pPr>
            <w:r w:rsidRPr="00AF20D2">
              <w:rPr>
                <w:sz w:val="22"/>
                <w:szCs w:val="22"/>
              </w:rPr>
              <w:t>Date costing request received:</w:t>
            </w:r>
          </w:p>
        </w:tc>
        <w:tc>
          <w:tcPr>
            <w:tcW w:w="5335" w:type="dxa"/>
          </w:tcPr>
          <w:p w:rsidR="000B5C96" w:rsidRPr="00AF20D2" w:rsidRDefault="000B5C96" w:rsidP="00DE3D76">
            <w:pPr>
              <w:pStyle w:val="PullOutBoxBodyText"/>
              <w:keepNext/>
              <w:keepLines/>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AF20D2">
              <w:rPr>
                <w:rFonts w:ascii="Calibri" w:hAnsi="Calibri"/>
                <w:sz w:val="22"/>
              </w:rPr>
              <w:t>28 June 2016</w:t>
            </w:r>
          </w:p>
        </w:tc>
      </w:tr>
      <w:tr w:rsidR="000B5C96" w:rsidRPr="00AF20D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AF20D2" w:rsidRDefault="000B5C96" w:rsidP="00DE3D76">
            <w:pPr>
              <w:pStyle w:val="PullOutBoxBodyText"/>
              <w:keepNext/>
              <w:keepLines/>
              <w:rPr>
                <w:sz w:val="22"/>
                <w:szCs w:val="22"/>
              </w:rPr>
            </w:pPr>
            <w:r w:rsidRPr="00AF20D2">
              <w:rPr>
                <w:sz w:val="22"/>
                <w:szCs w:val="22"/>
              </w:rPr>
              <w:t>Date costing completed:</w:t>
            </w:r>
          </w:p>
        </w:tc>
        <w:tc>
          <w:tcPr>
            <w:tcW w:w="5335" w:type="dxa"/>
          </w:tcPr>
          <w:p w:rsidR="000B5C96" w:rsidRPr="00AF20D2" w:rsidRDefault="000B5C96" w:rsidP="00DE3D76">
            <w:pPr>
              <w:pStyle w:val="PullOutBoxBodyText"/>
              <w:keepNext/>
              <w:keepLines/>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AF20D2">
              <w:rPr>
                <w:rFonts w:ascii="Calibri" w:hAnsi="Calibri"/>
                <w:sz w:val="22"/>
              </w:rPr>
              <w:t>29 June 2016</w:t>
            </w:r>
          </w:p>
        </w:tc>
      </w:tr>
      <w:tr w:rsidR="000B5C96" w:rsidRPr="00AF20D2"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AF20D2" w:rsidRDefault="000B5C96" w:rsidP="00DE3D76">
            <w:pPr>
              <w:pStyle w:val="PullOutBoxBodyText"/>
              <w:keepNext/>
              <w:keepLines/>
              <w:rPr>
                <w:sz w:val="22"/>
                <w:szCs w:val="22"/>
              </w:rPr>
            </w:pPr>
            <w:r w:rsidRPr="00AF20D2">
              <w:rPr>
                <w:sz w:val="22"/>
                <w:szCs w:val="22"/>
              </w:rPr>
              <w:t>Additional information requested:</w:t>
            </w:r>
          </w:p>
        </w:tc>
        <w:tc>
          <w:tcPr>
            <w:tcW w:w="5335" w:type="dxa"/>
          </w:tcPr>
          <w:p w:rsidR="000B5C96" w:rsidRPr="00AF20D2" w:rsidRDefault="000B5C96" w:rsidP="00DE3D76">
            <w:pPr>
              <w:pStyle w:val="PullOutBoxBodyText"/>
              <w:keepNext/>
              <w:keepLines/>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AF20D2">
              <w:rPr>
                <w:rFonts w:ascii="Calibri" w:hAnsi="Calibri"/>
                <w:sz w:val="22"/>
              </w:rPr>
              <w:t>On 28 June 2016 clarification was sought from the office of Senator Di Natale (the office) as to what the policy is for both components beyond 2019-20.</w:t>
            </w:r>
          </w:p>
        </w:tc>
      </w:tr>
      <w:tr w:rsidR="000B5C96" w:rsidRPr="00AF20D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AF20D2" w:rsidRDefault="000B5C96" w:rsidP="00DE3D76">
            <w:pPr>
              <w:pStyle w:val="PullOutBoxBodyText"/>
              <w:keepNext/>
              <w:keepLines/>
              <w:rPr>
                <w:sz w:val="22"/>
                <w:szCs w:val="22"/>
              </w:rPr>
            </w:pPr>
            <w:r w:rsidRPr="00AF20D2">
              <w:rPr>
                <w:sz w:val="22"/>
                <w:szCs w:val="22"/>
              </w:rPr>
              <w:t>Additional information received:</w:t>
            </w:r>
          </w:p>
        </w:tc>
        <w:tc>
          <w:tcPr>
            <w:tcW w:w="5335" w:type="dxa"/>
          </w:tcPr>
          <w:p w:rsidR="000B5C96" w:rsidRPr="00AF20D2" w:rsidRDefault="000B5C96" w:rsidP="00DE3D76">
            <w:pPr>
              <w:pStyle w:val="PullOutBoxBodyText"/>
              <w:keepNext/>
              <w:keepLines/>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AF20D2">
              <w:rPr>
                <w:rFonts w:ascii="Calibri" w:hAnsi="Calibri"/>
                <w:sz w:val="22"/>
              </w:rPr>
              <w:t>On 28 June 2016 the office advised that:</w:t>
            </w:r>
          </w:p>
          <w:p w:rsidR="000B5C96" w:rsidRPr="00AF20D2" w:rsidRDefault="000B5C96" w:rsidP="00DE3D76">
            <w:pPr>
              <w:pStyle w:val="PullOutBoxBullet"/>
              <w:keepNext/>
              <w:keepLines/>
              <w:numPr>
                <w:ilvl w:val="0"/>
                <w:numId w:val="2"/>
              </w:numPr>
              <w:ind w:left="397"/>
              <w:cnfStyle w:val="000000100000" w:firstRow="0" w:lastRow="0" w:firstColumn="0" w:lastColumn="0" w:oddVBand="0" w:evenVBand="0" w:oddHBand="1" w:evenHBand="0" w:firstRowFirstColumn="0" w:firstRowLastColumn="0" w:lastRowFirstColumn="0" w:lastRowLastColumn="0"/>
              <w:rPr>
                <w:sz w:val="22"/>
              </w:rPr>
            </w:pPr>
            <w:r w:rsidRPr="00AF20D2">
              <w:rPr>
                <w:sz w:val="22"/>
                <w:u w:val="single"/>
              </w:rPr>
              <w:t>Component 1</w:t>
            </w:r>
            <w:r w:rsidRPr="00AF20D2">
              <w:rPr>
                <w:sz w:val="22"/>
              </w:rPr>
              <w:t xml:space="preserve">: Noting a review would be undertaken to determine future policy, after 2019, this policy maintains a 2019 level of funding, plus indexation, as per the </w:t>
            </w:r>
            <w:r w:rsidRPr="00AF20D2">
              <w:rPr>
                <w:i/>
                <w:sz w:val="22"/>
              </w:rPr>
              <w:t>Australian Education Act 2013</w:t>
            </w:r>
            <w:r w:rsidRPr="00AF20D2">
              <w:rPr>
                <w:sz w:val="22"/>
              </w:rPr>
              <w:t xml:space="preserve"> (the Education Act).</w:t>
            </w:r>
          </w:p>
          <w:p w:rsidR="000B5C96" w:rsidRPr="00AF20D2" w:rsidRDefault="000B5C96" w:rsidP="00DE3D76">
            <w:pPr>
              <w:pStyle w:val="PullOutBoxBullet"/>
              <w:keepNext/>
              <w:keepLines/>
              <w:numPr>
                <w:ilvl w:val="0"/>
                <w:numId w:val="2"/>
              </w:numPr>
              <w:ind w:left="397"/>
              <w:cnfStyle w:val="000000100000" w:firstRow="0" w:lastRow="0" w:firstColumn="0" w:lastColumn="0" w:oddVBand="0" w:evenVBand="0" w:oddHBand="1" w:evenHBand="0" w:firstRowFirstColumn="0" w:firstRowLastColumn="0" w:lastRowFirstColumn="0" w:lastRowLastColumn="0"/>
              <w:rPr>
                <w:sz w:val="22"/>
              </w:rPr>
            </w:pPr>
            <w:r w:rsidRPr="00AF20D2">
              <w:rPr>
                <w:sz w:val="22"/>
                <w:u w:val="single"/>
              </w:rPr>
              <w:t>Component 2</w:t>
            </w:r>
            <w:r w:rsidRPr="00AF20D2">
              <w:rPr>
                <w:sz w:val="22"/>
              </w:rPr>
              <w:t>: Additional funding under this component is ongoing calculated yearly against latest Nationally Consistent Collection of Data (NCCD) on School Students with Disability, and indexed as per the Education Act.</w:t>
            </w:r>
          </w:p>
        </w:tc>
      </w:tr>
      <w:tr w:rsidR="000B5C96" w:rsidRPr="00AF20D2"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AF20D2" w:rsidRDefault="000B5C96" w:rsidP="003F606A">
            <w:pPr>
              <w:pStyle w:val="PullOutBoxBodyText"/>
              <w:rPr>
                <w:sz w:val="22"/>
                <w:szCs w:val="22"/>
              </w:rPr>
            </w:pPr>
            <w:r w:rsidRPr="00AF20D2">
              <w:rPr>
                <w:sz w:val="22"/>
                <w:szCs w:val="22"/>
              </w:rPr>
              <w:t>Expiry date for the costing:</w:t>
            </w:r>
          </w:p>
        </w:tc>
        <w:tc>
          <w:tcPr>
            <w:tcW w:w="5335" w:type="dxa"/>
          </w:tcPr>
          <w:p w:rsidR="000B5C96" w:rsidRPr="00AF20D2"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AF20D2">
              <w:rPr>
                <w:rFonts w:ascii="Calibri" w:hAnsi="Calibri"/>
                <w:sz w:val="22"/>
              </w:rPr>
              <w:t>Release of the next economic and fiscal outlook report</w:t>
            </w:r>
          </w:p>
        </w:tc>
      </w:tr>
    </w:tbl>
    <w:p w:rsidR="000B5C96" w:rsidRPr="00D7096D" w:rsidRDefault="000B5C96" w:rsidP="003F606A">
      <w:pPr>
        <w:pStyle w:val="CostingsH7"/>
      </w:pPr>
      <w:r w:rsidRPr="00D7096D">
        <w:t>Costing overview</w:t>
      </w:r>
    </w:p>
    <w:p w:rsidR="000B5C96" w:rsidRPr="00BB3DCA" w:rsidRDefault="000B5C96" w:rsidP="003F606A">
      <w:pPr>
        <w:pStyle w:val="BodyText"/>
      </w:pPr>
      <w:r w:rsidRPr="00BB3DCA">
        <w:t>The National Education Reform Agreements (NERA) between the Commonwealth and states/territories aim to increase school funding over the period 2014 to 2019 to 95 per cent funding of the SRS.</w:t>
      </w:r>
      <w:r w:rsidRPr="00BB3DCA">
        <w:rPr>
          <w:vertAlign w:val="superscript"/>
        </w:rPr>
        <w:footnoteReference w:id="4"/>
      </w:r>
      <w:r w:rsidRPr="00BB3DCA">
        <w:t xml:space="preserve">  In the 2014-15 Budget, the Government announced that from 1 January 2018 Commonwealth funding to schools will increase by the Consumer Price Index (CPI) and account for student enrolment growth.</w:t>
      </w:r>
      <w:r w:rsidRPr="00BB3DCA">
        <w:rPr>
          <w:vertAlign w:val="superscript"/>
        </w:rPr>
        <w:footnoteReference w:id="5"/>
      </w:r>
      <w:r w:rsidRPr="00BB3DCA">
        <w:t xml:space="preserve">  In the 2016-17 Budget, the Government announced that total school funding for the 2018, 2019 and 2020 school years would be indexed by 3.56 per cent and account for student enrolment growth.</w:t>
      </w:r>
      <w:r w:rsidRPr="00BB3DCA">
        <w:rPr>
          <w:vertAlign w:val="superscript"/>
        </w:rPr>
        <w:footnoteReference w:id="6"/>
      </w:r>
    </w:p>
    <w:p w:rsidR="000B5C96" w:rsidRPr="00BB3DCA" w:rsidRDefault="000B5C96" w:rsidP="003F606A">
      <w:pPr>
        <w:pStyle w:val="BodyText"/>
      </w:pPr>
      <w:r w:rsidRPr="00BB3DCA">
        <w:t>This proposal would fund schools in 2018 and 2019 in line with NERA and the Education Act with all states and territories reaching 95 per cent of SRS following the funding trajectories set out in the NERA.</w:t>
      </w:r>
      <w:r w:rsidRPr="00BB3DCA">
        <w:rPr>
          <w:vertAlign w:val="superscript"/>
        </w:rPr>
        <w:footnoteReference w:id="7"/>
      </w:r>
      <w:r w:rsidRPr="00BB3DCA">
        <w:t xml:space="preserve">  For jurisdictions not currently signed up to NERA (Western Australia, Queensland and the Northern Territory), funding to schools would be provided on the same basis as the final offers made to them in 2013.  For 2020, funding would be provided at a level to maintain schools on their 2019 percentages of SRS (with the exception of Victorian schools that would continue to progress towards 95 per cent SRS in 2022).</w:t>
      </w:r>
    </w:p>
    <w:p w:rsidR="000B5C96" w:rsidRPr="00BB3DCA" w:rsidRDefault="000B5C96" w:rsidP="003F606A">
      <w:pPr>
        <w:pStyle w:val="BodyText"/>
      </w:pPr>
      <w:r w:rsidRPr="00BB3DCA">
        <w:t>This proposal would be expected to decrease both the fiscal and underlying cash balances by $10,159 million over the 2016-17 Budget forward estimates period.  This impact is entirely due to an increase in administered expenses.</w:t>
      </w:r>
    </w:p>
    <w:p w:rsidR="000B5C96" w:rsidRPr="00BB3DCA" w:rsidRDefault="000B5C96" w:rsidP="003F606A">
      <w:pPr>
        <w:pStyle w:val="BodyText"/>
      </w:pPr>
      <w:r w:rsidRPr="00BB3DCA">
        <w:t xml:space="preserve">This proposal would not be expected to require additional departmental expenses, as the proposal relates to an existing function of the Department of Education and Training (DET).  This is consistent with the 2016-17 Budget measure, </w:t>
      </w:r>
      <w:r w:rsidRPr="00BB3DCA">
        <w:rPr>
          <w:i/>
        </w:rPr>
        <w:t xml:space="preserve">School Funding – additional funding from 2018 </w:t>
      </w:r>
      <w:r w:rsidRPr="00BB3DCA">
        <w:t>which did not provide departmental funding.</w:t>
      </w:r>
    </w:p>
    <w:p w:rsidR="000B5C96" w:rsidRPr="00BB3DCA" w:rsidRDefault="000B5C96" w:rsidP="003F606A">
      <w:pPr>
        <w:pStyle w:val="BodyText"/>
      </w:pPr>
      <w:r w:rsidRPr="00BB3DCA">
        <w:t xml:space="preserve">The proposal would have an impact beyond the forward estimates and the financial impacts, disaggregated by component, for the period 2016-17 to 2026-27 are provided at </w:t>
      </w:r>
      <w:r w:rsidRPr="00BB3DCA">
        <w:rPr>
          <w:u w:val="single"/>
        </w:rPr>
        <w:t>Attachment A</w:t>
      </w:r>
      <w:r w:rsidRPr="00BB3DCA">
        <w:t>.</w:t>
      </w:r>
    </w:p>
    <w:p w:rsidR="000B5C96" w:rsidRPr="00BB3DCA" w:rsidRDefault="000B5C96" w:rsidP="003F606A">
      <w:pPr>
        <w:pStyle w:val="BodyText"/>
      </w:pPr>
      <w:r w:rsidRPr="00BB3DCA">
        <w:t>This costing is considered to be of a medium reliability, while Component 2 is based on specified amounts, Component 1 is based on current Commonwealth and state/territory school funding estimates and school data from DET.  The reliability of the costing decreases the further into the future the estimates are projected.</w:t>
      </w:r>
    </w:p>
    <w:p w:rsidR="000B5C96" w:rsidRPr="00BB3DCA" w:rsidRDefault="000B5C96" w:rsidP="003F606A">
      <w:pPr>
        <w:pStyle w:val="BodyText"/>
      </w:pPr>
      <w:r w:rsidRPr="00BB3DCA">
        <w:t>Further, as current 2018 and 2019 Commonwealth funding estimates are not calculated on an individual school basis, the Parliamentary Budget Office (PBO) has applied the specification that no school would be worse off compared to current funding at a state/sector level.</w:t>
      </w:r>
    </w:p>
    <w:p w:rsidR="000B5C96" w:rsidRPr="00BB3DCA" w:rsidRDefault="000B5C96" w:rsidP="003F606A">
      <w:pPr>
        <w:pStyle w:val="Caption"/>
      </w:pPr>
      <w:r w:rsidRPr="00BB3DCA">
        <w:t>Table 1: Financial implications (outturn prices)</w:t>
      </w:r>
      <w:r w:rsidRPr="00BB3DCA">
        <w:rPr>
          <w:vertAlign w:val="superscript"/>
        </w:rPr>
        <w:t>(a)(b)</w:t>
      </w:r>
    </w:p>
    <w:tbl>
      <w:tblPr>
        <w:tblStyle w:val="TableGrid7"/>
        <w:tblW w:w="4993" w:type="pct"/>
        <w:tblInd w:w="0" w:type="dxa"/>
        <w:tblLook w:val="04A0" w:firstRow="1" w:lastRow="0" w:firstColumn="1" w:lastColumn="0" w:noHBand="0" w:noVBand="1"/>
      </w:tblPr>
      <w:tblGrid>
        <w:gridCol w:w="2645"/>
        <w:gridCol w:w="1134"/>
        <w:gridCol w:w="1133"/>
        <w:gridCol w:w="1133"/>
        <w:gridCol w:w="1133"/>
        <w:gridCol w:w="1132"/>
      </w:tblGrid>
      <w:tr w:rsidR="000B5C96" w:rsidRPr="00BB3DCA"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BB3DCA" w:rsidRDefault="000B5C96" w:rsidP="003F606A">
            <w:pPr>
              <w:keepNext/>
              <w:keepLines/>
              <w:spacing w:line="240" w:lineRule="auto"/>
              <w:ind w:left="57" w:right="57"/>
            </w:pPr>
            <w:r w:rsidRPr="00BB3DCA">
              <w:t>Impact on ($m)</w:t>
            </w:r>
          </w:p>
        </w:tc>
        <w:tc>
          <w:tcPr>
            <w:tcW w:w="682" w:type="pct"/>
            <w:vAlign w:val="center"/>
          </w:tcPr>
          <w:p w:rsidR="000B5C96" w:rsidRPr="00BB3DC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BB3DCA">
              <w:t>2016–17</w:t>
            </w:r>
          </w:p>
        </w:tc>
        <w:tc>
          <w:tcPr>
            <w:tcW w:w="682" w:type="pct"/>
            <w:vAlign w:val="center"/>
          </w:tcPr>
          <w:p w:rsidR="000B5C96" w:rsidRPr="00BB3DC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BB3DCA">
              <w:t>2017–18</w:t>
            </w:r>
          </w:p>
        </w:tc>
        <w:tc>
          <w:tcPr>
            <w:tcW w:w="682" w:type="pct"/>
            <w:vAlign w:val="center"/>
          </w:tcPr>
          <w:p w:rsidR="000B5C96" w:rsidRPr="00BB3DC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BB3DCA">
              <w:t>2018–19</w:t>
            </w:r>
          </w:p>
        </w:tc>
        <w:tc>
          <w:tcPr>
            <w:tcW w:w="682" w:type="pct"/>
            <w:vAlign w:val="center"/>
          </w:tcPr>
          <w:p w:rsidR="000B5C96" w:rsidRPr="00BB3DC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BB3DCA">
              <w:t>2019–20</w:t>
            </w:r>
          </w:p>
        </w:tc>
        <w:tc>
          <w:tcPr>
            <w:tcW w:w="681" w:type="pct"/>
            <w:vAlign w:val="center"/>
          </w:tcPr>
          <w:p w:rsidR="000B5C96" w:rsidRPr="00BB3DC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BB3DCA">
              <w:t>Total</w:t>
            </w:r>
          </w:p>
        </w:tc>
      </w:tr>
      <w:tr w:rsidR="000B5C96" w:rsidRPr="00BB3DCA"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BB3DCA" w:rsidRDefault="000B5C96" w:rsidP="003F606A">
            <w:pPr>
              <w:keepNext/>
              <w:keepLines/>
              <w:spacing w:line="240" w:lineRule="auto"/>
              <w:ind w:left="57" w:right="57"/>
            </w:pPr>
            <w:r w:rsidRPr="00BB3DCA">
              <w:t>Fiscal balance</w:t>
            </w:r>
          </w:p>
        </w:tc>
        <w:tc>
          <w:tcPr>
            <w:tcW w:w="682" w:type="pct"/>
          </w:tcPr>
          <w:p w:rsidR="000B5C96" w:rsidRPr="00BB3DCA"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3DCA">
              <w:rPr>
                <w:rFonts w:ascii="Calibri" w:hAnsi="Calibri"/>
              </w:rPr>
              <w:t xml:space="preserve">-1,111 </w:t>
            </w:r>
          </w:p>
        </w:tc>
        <w:tc>
          <w:tcPr>
            <w:tcW w:w="682" w:type="pct"/>
          </w:tcPr>
          <w:p w:rsidR="000B5C96" w:rsidRPr="00BB3DCA"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3DCA">
              <w:rPr>
                <w:rFonts w:ascii="Calibri" w:hAnsi="Calibri"/>
              </w:rPr>
              <w:t xml:space="preserve">-1,634 </w:t>
            </w:r>
          </w:p>
        </w:tc>
        <w:tc>
          <w:tcPr>
            <w:tcW w:w="682" w:type="pct"/>
          </w:tcPr>
          <w:p w:rsidR="000B5C96" w:rsidRPr="00BB3DCA"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3DCA">
              <w:rPr>
                <w:rFonts w:ascii="Calibri" w:hAnsi="Calibri"/>
              </w:rPr>
              <w:t xml:space="preserve">-3,118 </w:t>
            </w:r>
          </w:p>
        </w:tc>
        <w:tc>
          <w:tcPr>
            <w:tcW w:w="682" w:type="pct"/>
          </w:tcPr>
          <w:p w:rsidR="000B5C96" w:rsidRPr="00BB3DCA"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3DCA">
              <w:rPr>
                <w:rFonts w:ascii="Calibri" w:hAnsi="Calibri"/>
              </w:rPr>
              <w:t xml:space="preserve">-4,296 </w:t>
            </w:r>
          </w:p>
        </w:tc>
        <w:tc>
          <w:tcPr>
            <w:tcW w:w="681" w:type="pct"/>
          </w:tcPr>
          <w:p w:rsidR="000B5C96" w:rsidRPr="00BB3DCA"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B3DCA">
              <w:rPr>
                <w:rFonts w:ascii="Calibri" w:hAnsi="Calibri"/>
                <w:b/>
              </w:rPr>
              <w:t xml:space="preserve">-10,159 </w:t>
            </w:r>
          </w:p>
        </w:tc>
      </w:tr>
      <w:tr w:rsidR="000B5C96" w:rsidRPr="00BB3DCA"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BB3DCA" w:rsidRDefault="000B5C96" w:rsidP="003F606A">
            <w:pPr>
              <w:keepNext/>
              <w:keepLines/>
              <w:spacing w:line="240" w:lineRule="auto"/>
              <w:ind w:left="57" w:right="57"/>
            </w:pPr>
            <w:r w:rsidRPr="00BB3DCA">
              <w:t>Underlying cash balance</w:t>
            </w:r>
          </w:p>
        </w:tc>
        <w:tc>
          <w:tcPr>
            <w:tcW w:w="68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 xml:space="preserve">-1,111 </w:t>
            </w:r>
          </w:p>
        </w:tc>
        <w:tc>
          <w:tcPr>
            <w:tcW w:w="68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 xml:space="preserve">-1,634 </w:t>
            </w:r>
          </w:p>
        </w:tc>
        <w:tc>
          <w:tcPr>
            <w:tcW w:w="68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 xml:space="preserve">-3,118 </w:t>
            </w:r>
          </w:p>
        </w:tc>
        <w:tc>
          <w:tcPr>
            <w:tcW w:w="68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 xml:space="preserve">-4,296 </w:t>
            </w:r>
          </w:p>
        </w:tc>
        <w:tc>
          <w:tcPr>
            <w:tcW w:w="681"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-10,159 </w:t>
            </w:r>
          </w:p>
        </w:tc>
      </w:tr>
    </w:tbl>
    <w:p w:rsidR="000B5C96" w:rsidRPr="00BB3DCA" w:rsidRDefault="000B5C96" w:rsidP="00AF20D2">
      <w:pPr>
        <w:pStyle w:val="Footnotes"/>
        <w:numPr>
          <w:ilvl w:val="0"/>
          <w:numId w:val="155"/>
        </w:numPr>
        <w:ind w:left="284" w:hanging="284"/>
      </w:pPr>
      <w:r w:rsidRPr="00BB3DCA">
        <w:t>A positive number indicates an increase in the relevant budget balance, a negative number a decrease.</w:t>
      </w:r>
    </w:p>
    <w:p w:rsidR="000B5C96" w:rsidRPr="00BB3DCA" w:rsidRDefault="000B5C96" w:rsidP="00AF20D2">
      <w:pPr>
        <w:pStyle w:val="Footnotes"/>
        <w:numPr>
          <w:ilvl w:val="0"/>
          <w:numId w:val="155"/>
        </w:numPr>
        <w:ind w:left="284" w:hanging="284"/>
      </w:pPr>
      <w:r w:rsidRPr="00BB3DCA">
        <w:t>Figures may not sum to totals due to rounding.</w:t>
      </w:r>
    </w:p>
    <w:p w:rsidR="000B5C96" w:rsidRPr="00D7096D" w:rsidRDefault="000B5C96" w:rsidP="003F606A">
      <w:pPr>
        <w:pStyle w:val="CostingsH7"/>
      </w:pPr>
      <w:r w:rsidRPr="00D7096D">
        <w:t>Key assumptions</w:t>
      </w:r>
    </w:p>
    <w:p w:rsidR="000B5C96" w:rsidRPr="00BB3DCA" w:rsidRDefault="000B5C96" w:rsidP="003F606A">
      <w:pPr>
        <w:pStyle w:val="BodyText"/>
        <w:rPr>
          <w:lang w:eastAsia="en-AU"/>
        </w:rPr>
      </w:pPr>
      <w:r w:rsidRPr="00BB3DCA">
        <w:rPr>
          <w:lang w:eastAsia="en-AU"/>
        </w:rPr>
        <w:t>In costing this proposal the following assumptions have been made:</w:t>
      </w:r>
    </w:p>
    <w:p w:rsidR="000B5C96" w:rsidRPr="00BB3DCA" w:rsidRDefault="000B5C96" w:rsidP="003F606A">
      <w:pPr>
        <w:pStyle w:val="CostingsH8"/>
        <w:rPr>
          <w:rFonts w:eastAsia="Calibri"/>
        </w:rPr>
      </w:pPr>
      <w:r w:rsidRPr="00BB3DCA">
        <w:rPr>
          <w:rFonts w:eastAsia="Calibri"/>
        </w:rPr>
        <w:t>Component 1: Gonski school funding</w:t>
      </w:r>
    </w:p>
    <w:p w:rsidR="000B5C96" w:rsidRPr="00A329EE" w:rsidRDefault="000B5C96" w:rsidP="000B5C96">
      <w:pPr>
        <w:pStyle w:val="ListBullet"/>
        <w:keepLines w:val="0"/>
        <w:numPr>
          <w:ilvl w:val="0"/>
          <w:numId w:val="2"/>
        </w:numPr>
        <w:spacing w:before="113"/>
        <w:ind w:left="454" w:hanging="454"/>
        <w:rPr>
          <w:lang w:eastAsia="en-AU"/>
        </w:rPr>
      </w:pPr>
      <w:r w:rsidRPr="00A329EE">
        <w:rPr>
          <w:lang w:eastAsia="en-AU"/>
        </w:rPr>
        <w:t>The number of schools and characteristics of each school (except enrolment growth) would remain stable after 2017 (the last year of data provided by DET).  This means that schools’ additional per student SRS loading amounts would remain unchanged after 2017.</w:t>
      </w:r>
    </w:p>
    <w:p w:rsidR="000B5C96" w:rsidRPr="00A329EE" w:rsidRDefault="000B5C96" w:rsidP="000B5C96">
      <w:pPr>
        <w:pStyle w:val="ListBullet"/>
        <w:keepLines w:val="0"/>
        <w:numPr>
          <w:ilvl w:val="0"/>
          <w:numId w:val="2"/>
        </w:numPr>
        <w:spacing w:before="113"/>
        <w:ind w:left="454" w:hanging="454"/>
        <w:rPr>
          <w:lang w:eastAsia="en-AU"/>
        </w:rPr>
      </w:pPr>
      <w:r w:rsidRPr="00A329EE">
        <w:rPr>
          <w:lang w:eastAsia="en-AU"/>
        </w:rPr>
        <w:t>Changes to enrolments after 2017 for each school would reflect the average change in enrolments for the relevant jurisdiction and school sector.</w:t>
      </w:r>
    </w:p>
    <w:p w:rsidR="000B5C96" w:rsidRPr="00A329EE" w:rsidRDefault="000B5C96" w:rsidP="000B5C96">
      <w:pPr>
        <w:pStyle w:val="ListBullet"/>
        <w:keepLines w:val="0"/>
        <w:numPr>
          <w:ilvl w:val="0"/>
          <w:numId w:val="2"/>
        </w:numPr>
        <w:spacing w:before="113"/>
        <w:ind w:left="454" w:hanging="454"/>
        <w:rPr>
          <w:lang w:eastAsia="en-AU"/>
        </w:rPr>
      </w:pPr>
      <w:r w:rsidRPr="00A329EE">
        <w:rPr>
          <w:lang w:eastAsia="en-AU"/>
        </w:rPr>
        <w:t>For all school years after 2020, current Commonwealth funding would grow in line with CPI and school enrolments.</w:t>
      </w:r>
    </w:p>
    <w:p w:rsidR="000B5C96" w:rsidRPr="00BB3DCA" w:rsidRDefault="000B5C96" w:rsidP="003F606A">
      <w:pPr>
        <w:pStyle w:val="CostingsH8"/>
        <w:rPr>
          <w:rFonts w:eastAsia="Calibri"/>
        </w:rPr>
      </w:pPr>
      <w:r w:rsidRPr="00BB3DCA">
        <w:rPr>
          <w:rFonts w:eastAsia="Calibri"/>
        </w:rPr>
        <w:t>Component 2: School funding for students with disabilities</w:t>
      </w:r>
    </w:p>
    <w:p w:rsidR="000B5C96" w:rsidRPr="00BB3DCA" w:rsidRDefault="000B5C96" w:rsidP="000B5C96">
      <w:pPr>
        <w:pStyle w:val="ListBullet"/>
        <w:keepNext/>
        <w:numPr>
          <w:ilvl w:val="0"/>
          <w:numId w:val="2"/>
        </w:numPr>
        <w:spacing w:before="113"/>
        <w:ind w:left="454" w:hanging="454"/>
        <w:rPr>
          <w:lang w:eastAsia="en-AU"/>
        </w:rPr>
      </w:pPr>
      <w:r w:rsidRPr="00BB3DCA">
        <w:rPr>
          <w:lang w:eastAsia="en-AU"/>
        </w:rPr>
        <w:t>Payments would be made through a National Partnership.</w:t>
      </w:r>
    </w:p>
    <w:p w:rsidR="000B5C96" w:rsidRPr="00BB3DCA" w:rsidRDefault="000B5C96" w:rsidP="000B5C96">
      <w:pPr>
        <w:pStyle w:val="ListBullet"/>
        <w:keepLines w:val="0"/>
        <w:numPr>
          <w:ilvl w:val="0"/>
          <w:numId w:val="2"/>
        </w:numPr>
        <w:spacing w:before="113"/>
        <w:ind w:left="454" w:hanging="454"/>
        <w:rPr>
          <w:lang w:eastAsia="en-AU"/>
        </w:rPr>
      </w:pPr>
      <w:r w:rsidRPr="00BB3DCA">
        <w:rPr>
          <w:lang w:eastAsia="en-AU"/>
        </w:rPr>
        <w:t>As NCCD on School Students with Disability is not available, funding beyond 2019-20 would grow in line with expected growth for school funding under the Education Act.</w:t>
      </w:r>
    </w:p>
    <w:p w:rsidR="000B5C96" w:rsidRPr="00BB3DCA" w:rsidRDefault="000B5C96" w:rsidP="000B5C96">
      <w:pPr>
        <w:pStyle w:val="ListBullet"/>
        <w:keepLines w:val="0"/>
        <w:numPr>
          <w:ilvl w:val="0"/>
          <w:numId w:val="2"/>
        </w:numPr>
        <w:spacing w:before="113"/>
        <w:ind w:left="454" w:hanging="454"/>
        <w:rPr>
          <w:lang w:eastAsia="en-AU"/>
        </w:rPr>
      </w:pPr>
      <w:r w:rsidRPr="00BB3DCA">
        <w:rPr>
          <w:lang w:eastAsia="en-AU"/>
        </w:rPr>
        <w:t>The full specified amount in 2016-17 would be provided from the commencement date of 1</w:t>
      </w:r>
      <w:r>
        <w:rPr>
          <w:lang w:eastAsia="en-AU"/>
        </w:rPr>
        <w:t> </w:t>
      </w:r>
      <w:r w:rsidRPr="00BB3DCA">
        <w:rPr>
          <w:lang w:eastAsia="en-AU"/>
        </w:rPr>
        <w:t>September</w:t>
      </w:r>
      <w:r>
        <w:rPr>
          <w:lang w:eastAsia="en-AU"/>
        </w:rPr>
        <w:t> </w:t>
      </w:r>
      <w:r w:rsidRPr="00BB3DCA">
        <w:rPr>
          <w:lang w:eastAsia="en-AU"/>
        </w:rPr>
        <w:t>2017.</w:t>
      </w:r>
    </w:p>
    <w:p w:rsidR="000B5C96" w:rsidRPr="00D7096D" w:rsidRDefault="000B5C96" w:rsidP="003F606A">
      <w:pPr>
        <w:pStyle w:val="CostingsH7"/>
      </w:pPr>
      <w:r w:rsidRPr="00D7096D">
        <w:t>Methodology</w:t>
      </w:r>
    </w:p>
    <w:p w:rsidR="000B5C96" w:rsidRPr="00BB3DCA" w:rsidRDefault="000B5C96" w:rsidP="003F606A">
      <w:pPr>
        <w:pStyle w:val="CostingsH8"/>
        <w:rPr>
          <w:rFonts w:eastAsia="Calibri"/>
        </w:rPr>
      </w:pPr>
      <w:r w:rsidRPr="00BB3DCA">
        <w:rPr>
          <w:rFonts w:eastAsia="Calibri"/>
        </w:rPr>
        <w:t xml:space="preserve">Component 1: Gonski school funding </w:t>
      </w:r>
    </w:p>
    <w:p w:rsidR="000B5C96" w:rsidRPr="00BB3DCA" w:rsidRDefault="000B5C96" w:rsidP="003F606A">
      <w:pPr>
        <w:pStyle w:val="BodyText"/>
      </w:pPr>
      <w:r w:rsidRPr="00BB3DCA">
        <w:t>With regard to current policy settings, schools funding estimates over the 2016</w:t>
      </w:r>
      <w:r w:rsidRPr="00BB3DCA">
        <w:noBreakHyphen/>
        <w:t>17 Budget forward estimates were provided by DET.  For the period beyond the 2020 school year, schools funding under current policy settings was projected by indexing funding amounts by CPI and accounting for forecast student enrolment growth.</w:t>
      </w:r>
    </w:p>
    <w:p w:rsidR="000B5C96" w:rsidRPr="00BB3DCA" w:rsidRDefault="000B5C96" w:rsidP="003F606A">
      <w:pPr>
        <w:pStyle w:val="BodyText"/>
      </w:pPr>
      <w:r w:rsidRPr="00BB3DCA">
        <w:t>Projected funding amounts for the proposal were generated based on de</w:t>
      </w:r>
      <w:r w:rsidRPr="00BB3DCA">
        <w:noBreakHyphen/>
        <w:t>identified school level data provided by DET.  The estimated level of funding for each school in the DET database is calculated by determining whether the school is below, on or above SRS funding during each year of the costing period and applying the relevant funding formula as set out in the Education Act.  For the years up to the target year in which 95 per cent of SRS would be reached, schools that are below SRS funding receive “additionality” funding to transition towards 95 per cent SRS funding.  For 2020 and beyond funding is based on applying the arrangements under the Education Act (with the exception of Victorian schools which would continue to progress towards 95 per cent SRS in 2022).</w:t>
      </w:r>
    </w:p>
    <w:p w:rsidR="000B5C96" w:rsidRPr="00BB3DCA" w:rsidRDefault="000B5C96" w:rsidP="003F606A">
      <w:pPr>
        <w:pStyle w:val="BodyText"/>
      </w:pPr>
      <w:r w:rsidRPr="00BB3DCA">
        <w:t>The costing was then derived by taking the difference between total Commonwealth funding for schools between proposed and current policy settings.</w:t>
      </w:r>
    </w:p>
    <w:p w:rsidR="000B5C96" w:rsidRPr="00BB3DCA" w:rsidRDefault="000B5C96" w:rsidP="003F606A">
      <w:pPr>
        <w:pStyle w:val="BodyText"/>
      </w:pPr>
      <w:r w:rsidRPr="00BB3DCA">
        <w:t>Calculations have been made on a calendar school year basis and then converted to financial years.  As a result 2017</w:t>
      </w:r>
      <w:r w:rsidRPr="00BB3DCA">
        <w:noBreakHyphen/>
        <w:t>18 amounts reflect a half</w:t>
      </w:r>
      <w:r w:rsidRPr="00BB3DCA">
        <w:noBreakHyphen/>
        <w:t>year impact.</w:t>
      </w:r>
    </w:p>
    <w:p w:rsidR="000B5C96" w:rsidRPr="00BB3DCA" w:rsidRDefault="000B5C96" w:rsidP="003F606A">
      <w:pPr>
        <w:pStyle w:val="BodyText"/>
      </w:pPr>
      <w:r w:rsidRPr="00BB3DCA">
        <w:t>Estimates have been rounded to the nearest $10 million.</w:t>
      </w:r>
    </w:p>
    <w:p w:rsidR="000B5C96" w:rsidRPr="00BB3DCA" w:rsidRDefault="000B5C96" w:rsidP="003F606A">
      <w:pPr>
        <w:pStyle w:val="CostingsH8"/>
        <w:rPr>
          <w:rFonts w:eastAsia="Calibri"/>
        </w:rPr>
      </w:pPr>
      <w:r w:rsidRPr="00BB3DCA">
        <w:rPr>
          <w:rFonts w:eastAsia="Calibri"/>
        </w:rPr>
        <w:t>Component 2: School funding for students with disabilities</w:t>
      </w:r>
    </w:p>
    <w:p w:rsidR="000B5C96" w:rsidRPr="00BB3DCA" w:rsidRDefault="000B5C96" w:rsidP="003F606A">
      <w:pPr>
        <w:pStyle w:val="BodyText"/>
      </w:pPr>
      <w:r w:rsidRPr="00BB3DCA">
        <w:t>The impacts of this component over 2016-17 to 2019-20 are as specified in the request.  Impacts for 2020-21 and thereafter were derived by applying the net growth set out in the Education Act.</w:t>
      </w:r>
    </w:p>
    <w:p w:rsidR="000B5C96" w:rsidRPr="00D7096D" w:rsidRDefault="000B5C96" w:rsidP="003F606A">
      <w:pPr>
        <w:pStyle w:val="CostingsH7"/>
      </w:pPr>
      <w:r w:rsidRPr="00D7096D">
        <w:t>Data sources</w:t>
      </w:r>
    </w:p>
    <w:p w:rsidR="000B5C96" w:rsidRPr="00BB3DCA" w:rsidRDefault="000B5C96" w:rsidP="003F606A">
      <w:pPr>
        <w:pStyle w:val="BodyText"/>
      </w:pPr>
      <w:r w:rsidRPr="00BB3DCA">
        <w:t>DET provided a confidentialised version of the schools payment model as at the 2016</w:t>
      </w:r>
      <w:r w:rsidRPr="00BB3DCA">
        <w:noBreakHyphen/>
        <w:t>17 Budget.</w:t>
      </w:r>
    </w:p>
    <w:p w:rsidR="000B5C96" w:rsidRPr="00BB3DCA" w:rsidRDefault="000B5C96" w:rsidP="003F606A">
      <w:pPr>
        <w:pStyle w:val="BodyText"/>
      </w:pPr>
      <w:r w:rsidRPr="00BB3DCA">
        <w:t>National Education Reform Agreements for New South Wales, Victoria, South Australia, the Australian Capital Territory and Tasmania.</w:t>
      </w:r>
    </w:p>
    <w:p w:rsidR="000B5C96" w:rsidRPr="00BB3DCA" w:rsidRDefault="000B5C96" w:rsidP="003F606A">
      <w:pPr>
        <w:pStyle w:val="BodyText"/>
        <w:rPr>
          <w:color w:val="0000FF"/>
          <w:u w:val="single"/>
        </w:rPr>
        <w:sectPr w:rsidR="000B5C96" w:rsidRPr="00BB3DCA" w:rsidSect="003F606A">
          <w:headerReference w:type="even" r:id="rId306"/>
          <w:headerReference w:type="default" r:id="rId307"/>
          <w:footerReference w:type="even" r:id="rId308"/>
          <w:footerReference w:type="default" r:id="rId309"/>
          <w:headerReference w:type="first" r:id="rId310"/>
          <w:footerReference w:type="first" r:id="rId311"/>
          <w:footnotePr>
            <w:numRestart w:val="eachSect"/>
          </w:footnotePr>
          <w:pgSz w:w="11906" w:h="16838"/>
          <w:pgMar w:top="1361" w:right="1797" w:bottom="1474" w:left="1797" w:header="283" w:footer="454" w:gutter="0"/>
          <w:cols w:space="708"/>
          <w:docGrid w:linePitch="360"/>
        </w:sectPr>
      </w:pPr>
      <w:r w:rsidRPr="00BB3DCA">
        <w:rPr>
          <w:i/>
        </w:rPr>
        <w:t>Australian Education Act 2013</w:t>
      </w:r>
      <w:r w:rsidRPr="00BB3DCA">
        <w:t xml:space="preserve"> </w:t>
      </w:r>
      <w:hyperlink r:id="rId312" w:history="1">
        <w:r w:rsidRPr="00BB3DCA">
          <w:rPr>
            <w:color w:val="0000FF"/>
            <w:u w:val="single"/>
          </w:rPr>
          <w:t>https://www.comlaw.gov.au/Details/C2013A00067</w:t>
        </w:r>
      </w:hyperlink>
      <w:r w:rsidRPr="00BB3DCA">
        <w:rPr>
          <w:color w:val="0000FF"/>
          <w:u w:val="single"/>
        </w:rPr>
        <w:t>.</w:t>
      </w:r>
    </w:p>
    <w:p w:rsidR="000B5C96" w:rsidRPr="00BB3DCA" w:rsidRDefault="000B5C96" w:rsidP="000B5C96">
      <w:pPr>
        <w:pStyle w:val="Heading6"/>
        <w:numPr>
          <w:ilvl w:val="0"/>
          <w:numId w:val="5"/>
        </w:numPr>
        <w:tabs>
          <w:tab w:val="clear" w:pos="0"/>
          <w:tab w:val="num" w:pos="360"/>
          <w:tab w:val="right" w:pos="1418"/>
          <w:tab w:val="right" w:pos="1701"/>
          <w:tab w:val="right" w:pos="1985"/>
        </w:tabs>
      </w:pPr>
      <w:r w:rsidRPr="00BB3DCA">
        <w:t>Attachment A: Better Schools: Full Gonski Funding — financial implications</w:t>
      </w:r>
    </w:p>
    <w:p w:rsidR="000B5C96" w:rsidRPr="00BB3DCA" w:rsidRDefault="000B5C96" w:rsidP="003F606A">
      <w:pPr>
        <w:pStyle w:val="Caption"/>
        <w:rPr>
          <w:vertAlign w:val="superscript"/>
        </w:rPr>
      </w:pPr>
      <w:r w:rsidRPr="00BB3DCA">
        <w:t>Table A1: Financial implications (outturn prices)</w:t>
      </w:r>
      <w:r w:rsidRPr="00BB3DCA">
        <w:rPr>
          <w:vertAlign w:val="superscript"/>
        </w:rPr>
        <w:t>(a)(b)</w:t>
      </w:r>
    </w:p>
    <w:tbl>
      <w:tblPr>
        <w:tblStyle w:val="TableGrid7"/>
        <w:tblW w:w="4989" w:type="pct"/>
        <w:tblInd w:w="0" w:type="dxa"/>
        <w:tblLook w:val="0680" w:firstRow="0" w:lastRow="0" w:firstColumn="1" w:lastColumn="0" w:noHBand="1" w:noVBand="1"/>
      </w:tblPr>
      <w:tblGrid>
        <w:gridCol w:w="2025"/>
        <w:gridCol w:w="853"/>
        <w:gridCol w:w="852"/>
        <w:gridCol w:w="852"/>
        <w:gridCol w:w="852"/>
        <w:gridCol w:w="857"/>
        <w:gridCol w:w="852"/>
        <w:gridCol w:w="852"/>
        <w:gridCol w:w="852"/>
        <w:gridCol w:w="852"/>
        <w:gridCol w:w="852"/>
        <w:gridCol w:w="852"/>
        <w:gridCol w:w="852"/>
        <w:gridCol w:w="971"/>
      </w:tblGrid>
      <w:tr w:rsidR="000B5C96" w:rsidRPr="00BB3DCA" w:rsidTr="003F606A">
        <w:trPr>
          <w:cantSplit/>
        </w:trPr>
        <w:tc>
          <w:tcPr>
            <w:cnfStyle w:val="001000000000" w:firstRow="0" w:lastRow="0" w:firstColumn="1" w:lastColumn="0" w:oddVBand="0" w:evenVBand="0" w:oddHBand="0" w:evenHBand="0" w:firstRowFirstColumn="0" w:firstRowLastColumn="0" w:lastRowFirstColumn="0" w:lastRowLastColumn="0"/>
            <w:tcW w:w="766" w:type="pct"/>
            <w:tcBorders>
              <w:bottom w:val="single" w:sz="4" w:space="0" w:color="808080"/>
            </w:tcBorders>
            <w:shd w:val="clear" w:color="auto" w:fill="D7DDE9"/>
          </w:tcPr>
          <w:p w:rsidR="000B5C96" w:rsidRPr="00BB3DCA" w:rsidRDefault="000B5C96" w:rsidP="003F606A">
            <w:pPr>
              <w:keepNext/>
              <w:keepLines/>
              <w:spacing w:line="240" w:lineRule="auto"/>
              <w:ind w:left="57" w:right="57"/>
            </w:pPr>
            <w:r w:rsidRPr="00BB3DCA">
              <w:t>($m)</w:t>
            </w:r>
          </w:p>
        </w:tc>
        <w:tc>
          <w:tcPr>
            <w:tcW w:w="323"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2016–17</w:t>
            </w:r>
          </w:p>
        </w:tc>
        <w:tc>
          <w:tcPr>
            <w:tcW w:w="322"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2017–18</w:t>
            </w:r>
          </w:p>
        </w:tc>
        <w:tc>
          <w:tcPr>
            <w:tcW w:w="322"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2018–19</w:t>
            </w:r>
          </w:p>
        </w:tc>
        <w:tc>
          <w:tcPr>
            <w:tcW w:w="322"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2019–20</w:t>
            </w:r>
          </w:p>
        </w:tc>
        <w:tc>
          <w:tcPr>
            <w:tcW w:w="324"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Total to 2019–20</w:t>
            </w:r>
          </w:p>
        </w:tc>
        <w:tc>
          <w:tcPr>
            <w:tcW w:w="322"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2020–21</w:t>
            </w:r>
          </w:p>
        </w:tc>
        <w:tc>
          <w:tcPr>
            <w:tcW w:w="322"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2021–22</w:t>
            </w:r>
          </w:p>
        </w:tc>
        <w:tc>
          <w:tcPr>
            <w:tcW w:w="322"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2022–23</w:t>
            </w:r>
          </w:p>
        </w:tc>
        <w:tc>
          <w:tcPr>
            <w:tcW w:w="322"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2023–24</w:t>
            </w:r>
          </w:p>
        </w:tc>
        <w:tc>
          <w:tcPr>
            <w:tcW w:w="322"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2024–25</w:t>
            </w:r>
          </w:p>
        </w:tc>
        <w:tc>
          <w:tcPr>
            <w:tcW w:w="322"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2025–26</w:t>
            </w:r>
          </w:p>
        </w:tc>
        <w:tc>
          <w:tcPr>
            <w:tcW w:w="322"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B3DCA">
              <w:rPr>
                <w:rFonts w:ascii="Calibri" w:hAnsi="Calibri"/>
              </w:rPr>
              <w:t>2026–27</w:t>
            </w:r>
          </w:p>
        </w:tc>
        <w:tc>
          <w:tcPr>
            <w:tcW w:w="367" w:type="pct"/>
            <w:tcBorders>
              <w:bottom w:val="single" w:sz="4" w:space="0" w:color="808080"/>
            </w:tcBorders>
            <w:shd w:val="clear" w:color="auto" w:fill="D7DDE9"/>
          </w:tcPr>
          <w:p w:rsidR="000B5C96" w:rsidRPr="00BB3DC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Total to 2026–27</w:t>
            </w:r>
          </w:p>
        </w:tc>
      </w:tr>
      <w:tr w:rsidR="000B5C96" w:rsidRPr="00BB3DCA"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7DDE9"/>
          </w:tcPr>
          <w:p w:rsidR="000B5C96" w:rsidRPr="00BB3DCA" w:rsidRDefault="000B5C96" w:rsidP="003F606A">
            <w:pPr>
              <w:keepNext/>
              <w:keepLines/>
              <w:spacing w:line="240" w:lineRule="auto"/>
              <w:ind w:left="57" w:right="57"/>
              <w:rPr>
                <w:b/>
              </w:rPr>
            </w:pPr>
            <w:r w:rsidRPr="00BB3DCA">
              <w:rPr>
                <w:b/>
              </w:rPr>
              <w:t>Fiscal and underlying cash balances – expenses/payments</w:t>
            </w:r>
          </w:p>
        </w:tc>
      </w:tr>
      <w:tr w:rsidR="000B5C96" w:rsidRPr="00BB3DCA" w:rsidTr="003F606A">
        <w:trPr>
          <w:cantSplit/>
        </w:trPr>
        <w:tc>
          <w:tcPr>
            <w:cnfStyle w:val="001000000000" w:firstRow="0" w:lastRow="0" w:firstColumn="1" w:lastColumn="0" w:oddVBand="0" w:evenVBand="0" w:oddHBand="0" w:evenHBand="0" w:firstRowFirstColumn="0" w:firstRowLastColumn="0" w:lastRowFirstColumn="0" w:lastRowLastColumn="0"/>
            <w:tcW w:w="766" w:type="pct"/>
          </w:tcPr>
          <w:p w:rsidR="000B5C96" w:rsidRPr="00BB3DCA" w:rsidRDefault="000B5C96" w:rsidP="003F606A">
            <w:pPr>
              <w:keepNext/>
              <w:keepLines/>
              <w:spacing w:line="240" w:lineRule="auto"/>
              <w:ind w:left="57" w:right="57"/>
            </w:pPr>
            <w:r w:rsidRPr="00BB3DCA">
              <w:t>Gonski Funding</w:t>
            </w:r>
          </w:p>
        </w:tc>
        <w:tc>
          <w:tcPr>
            <w:tcW w:w="323"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-470</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-1,900</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-3,020</w:t>
            </w:r>
          </w:p>
        </w:tc>
        <w:tc>
          <w:tcPr>
            <w:tcW w:w="324"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BB3DCA">
              <w:rPr>
                <w:rFonts w:ascii="Calibri" w:hAnsi="Calibri"/>
                <w:b/>
                <w:i/>
              </w:rPr>
              <w:t>-5,400</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-3,450</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-4,210</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-5,030</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-5,690</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-6,390</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-7,110</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-7,880</w:t>
            </w:r>
          </w:p>
        </w:tc>
        <w:tc>
          <w:tcPr>
            <w:tcW w:w="367"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BB3DCA">
              <w:rPr>
                <w:rFonts w:ascii="Calibri" w:hAnsi="Calibri"/>
                <w:b/>
                <w:i/>
              </w:rPr>
              <w:t>-45,150</w:t>
            </w:r>
          </w:p>
        </w:tc>
      </w:tr>
      <w:tr w:rsidR="000B5C96" w:rsidRPr="00BB3DCA" w:rsidTr="003F606A">
        <w:trPr>
          <w:cantSplit/>
        </w:trPr>
        <w:tc>
          <w:tcPr>
            <w:cnfStyle w:val="001000000000" w:firstRow="0" w:lastRow="0" w:firstColumn="1" w:lastColumn="0" w:oddVBand="0" w:evenVBand="0" w:oddHBand="0" w:evenHBand="0" w:firstRowFirstColumn="0" w:firstRowLastColumn="0" w:lastRowFirstColumn="0" w:lastRowLastColumn="0"/>
            <w:tcW w:w="766" w:type="pct"/>
          </w:tcPr>
          <w:p w:rsidR="000B5C96" w:rsidRPr="00BB3DCA" w:rsidRDefault="000B5C96" w:rsidP="003F606A">
            <w:pPr>
              <w:keepNext/>
              <w:keepLines/>
              <w:spacing w:line="240" w:lineRule="auto"/>
              <w:ind w:left="57" w:right="57"/>
            </w:pPr>
            <w:r w:rsidRPr="00BB3DCA">
              <w:t>School funding for students with disabilities</w:t>
            </w:r>
          </w:p>
        </w:tc>
        <w:tc>
          <w:tcPr>
            <w:tcW w:w="323"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-1,111</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-1,164</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-1,218</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-1,276</w:t>
            </w:r>
          </w:p>
        </w:tc>
        <w:tc>
          <w:tcPr>
            <w:tcW w:w="324"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BB3DCA">
              <w:rPr>
                <w:rFonts w:ascii="Calibri" w:hAnsi="Calibri"/>
                <w:b/>
                <w:i/>
              </w:rPr>
              <w:t>-4,769</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-1,350</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-1,437</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-1,528</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-1,611</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-1,695</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-1,781</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B3DCA">
              <w:rPr>
                <w:rFonts w:ascii="Calibri" w:hAnsi="Calibri"/>
                <w:i/>
              </w:rPr>
              <w:t>-1,871</w:t>
            </w:r>
          </w:p>
        </w:tc>
        <w:tc>
          <w:tcPr>
            <w:tcW w:w="367"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BB3DCA">
              <w:rPr>
                <w:rFonts w:ascii="Calibri" w:hAnsi="Calibri"/>
                <w:b/>
                <w:i/>
              </w:rPr>
              <w:t>-16,041</w:t>
            </w:r>
          </w:p>
        </w:tc>
      </w:tr>
      <w:tr w:rsidR="000B5C96" w:rsidRPr="00BB3DCA" w:rsidTr="003F606A">
        <w:trPr>
          <w:cantSplit/>
        </w:trPr>
        <w:tc>
          <w:tcPr>
            <w:cnfStyle w:val="001000000000" w:firstRow="0" w:lastRow="0" w:firstColumn="1" w:lastColumn="0" w:oddVBand="0" w:evenVBand="0" w:oddHBand="0" w:evenHBand="0" w:firstRowFirstColumn="0" w:firstRowLastColumn="0" w:lastRowFirstColumn="0" w:lastRowLastColumn="0"/>
            <w:tcW w:w="766" w:type="pct"/>
          </w:tcPr>
          <w:p w:rsidR="000B5C96" w:rsidRPr="00BB3DCA" w:rsidRDefault="000B5C96" w:rsidP="003F606A">
            <w:pPr>
              <w:keepNext/>
              <w:keepLines/>
              <w:spacing w:line="240" w:lineRule="auto"/>
              <w:ind w:left="57" w:right="57"/>
              <w:rPr>
                <w:b/>
              </w:rPr>
            </w:pPr>
            <w:r w:rsidRPr="00BB3DCA">
              <w:rPr>
                <w:b/>
              </w:rPr>
              <w:t>Total</w:t>
            </w:r>
          </w:p>
        </w:tc>
        <w:tc>
          <w:tcPr>
            <w:tcW w:w="323"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-1,111 </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-1,634 </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-3,118 </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-4,296 </w:t>
            </w:r>
          </w:p>
        </w:tc>
        <w:tc>
          <w:tcPr>
            <w:tcW w:w="324"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-10,159 </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-4,800 </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-5,647 </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-6,558 </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-7,301 </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-8,085 </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-8,891 </w:t>
            </w:r>
          </w:p>
        </w:tc>
        <w:tc>
          <w:tcPr>
            <w:tcW w:w="322"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-9,751 </w:t>
            </w:r>
          </w:p>
        </w:tc>
        <w:tc>
          <w:tcPr>
            <w:tcW w:w="367" w:type="pct"/>
          </w:tcPr>
          <w:p w:rsidR="000B5C96" w:rsidRPr="00BB3DC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B3DCA">
              <w:rPr>
                <w:rFonts w:ascii="Calibri" w:hAnsi="Calibri"/>
                <w:b/>
              </w:rPr>
              <w:t xml:space="preserve">-61,191 </w:t>
            </w:r>
          </w:p>
        </w:tc>
      </w:tr>
    </w:tbl>
    <w:p w:rsidR="000B5C96" w:rsidRPr="00BB3DCA" w:rsidRDefault="000B5C96" w:rsidP="00AF20D2">
      <w:pPr>
        <w:pStyle w:val="Footnotes"/>
        <w:numPr>
          <w:ilvl w:val="0"/>
          <w:numId w:val="156"/>
        </w:numPr>
        <w:ind w:left="284" w:hanging="284"/>
      </w:pPr>
      <w:r w:rsidRPr="00BB3DCA">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BB3DCA" w:rsidRDefault="000B5C96" w:rsidP="00AF20D2">
      <w:pPr>
        <w:pStyle w:val="Footnotes"/>
        <w:numPr>
          <w:ilvl w:val="0"/>
          <w:numId w:val="156"/>
        </w:numPr>
        <w:ind w:left="284" w:hanging="284"/>
      </w:pPr>
      <w:r w:rsidRPr="00BB3DCA">
        <w:t>Figures may not sum to totals due to rounding.</w:t>
      </w:r>
    </w:p>
    <w:p w:rsidR="000B5C96" w:rsidRPr="00BB3DCA" w:rsidRDefault="000B5C96" w:rsidP="000B5C96">
      <w:pPr>
        <w:pStyle w:val="Footnotes"/>
        <w:numPr>
          <w:ilvl w:val="0"/>
          <w:numId w:val="114"/>
        </w:numPr>
        <w:ind w:left="284" w:hanging="284"/>
      </w:pPr>
      <w:r w:rsidRPr="00BB3DCA">
        <w:t>Indicates nil.</w:t>
      </w:r>
    </w:p>
    <w:p w:rsidR="000B5C96" w:rsidRDefault="000B5C96" w:rsidP="003F606A">
      <w:pPr>
        <w:pStyle w:val="BodyText"/>
      </w:pPr>
    </w:p>
    <w:p w:rsidR="000B5C96" w:rsidRDefault="000B5C96" w:rsidP="003F606A">
      <w:pPr>
        <w:pStyle w:val="BodyText"/>
        <w:sectPr w:rsidR="000B5C96" w:rsidSect="003F606A">
          <w:headerReference w:type="even" r:id="rId313"/>
          <w:headerReference w:type="default" r:id="rId314"/>
          <w:footerReference w:type="even" r:id="rId315"/>
          <w:footerReference w:type="default" r:id="rId316"/>
          <w:footnotePr>
            <w:numRestart w:val="eachSect"/>
          </w:footnotePr>
          <w:pgSz w:w="16839" w:h="11907" w:orient="landscape" w:code="9"/>
          <w:pgMar w:top="1361" w:right="1797" w:bottom="1474" w:left="1797" w:header="283" w:footer="454" w:gutter="0"/>
          <w:cols w:space="708"/>
          <w:docGrid w:linePitch="360"/>
        </w:sectPr>
      </w:pPr>
    </w:p>
    <w:p w:rsidR="000B5C96" w:rsidRDefault="000B5C96" w:rsidP="003F606A">
      <w:pPr>
        <w:pStyle w:val="Heading5"/>
        <w:spacing w:before="0"/>
      </w:pPr>
      <w:bookmarkStart w:id="125" w:name="_Toc457979350"/>
      <w:bookmarkStart w:id="126" w:name="_Toc458069208"/>
      <w:r>
        <w:t>GRN033: Higher Education: Base Funding Lift</w:t>
      </w:r>
      <w:bookmarkEnd w:id="125"/>
      <w:bookmarkEnd w:id="126"/>
    </w:p>
    <w:p w:rsidR="000B5C96" w:rsidRPr="009C09D3" w:rsidRDefault="000B5C96" w:rsidP="003F606A">
      <w:pPr>
        <w:pStyle w:val="BodyText"/>
      </w:pPr>
      <w:r w:rsidRPr="009C09D3">
        <w:rPr>
          <w:noProof/>
          <w:lang w:eastAsia="en-AU"/>
        </w:rPr>
        <w:drawing>
          <wp:inline distT="0" distB="0" distL="0" distR="0" wp14:anchorId="720733F8" wp14:editId="1961B5F2">
            <wp:extent cx="2696845" cy="572135"/>
            <wp:effectExtent l="0" t="0" r="8255" b="0"/>
            <wp:docPr id="21" name="Picture 2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0507BB" w:rsidRDefault="000B5C96" w:rsidP="000B5C96">
      <w:pPr>
        <w:pStyle w:val="Heading6"/>
        <w:numPr>
          <w:ilvl w:val="0"/>
          <w:numId w:val="5"/>
        </w:numPr>
        <w:tabs>
          <w:tab w:val="clear" w:pos="0"/>
          <w:tab w:val="num" w:pos="360"/>
          <w:tab w:val="right" w:pos="1418"/>
          <w:tab w:val="right" w:pos="1701"/>
          <w:tab w:val="right" w:pos="1985"/>
        </w:tabs>
      </w:pPr>
      <w:r w:rsidRPr="000507BB">
        <w:t>Policy costing—during the caretaker period for the 2016 general election</w:t>
      </w:r>
    </w:p>
    <w:tbl>
      <w:tblPr>
        <w:tblStyle w:val="TableGrid8"/>
        <w:tblW w:w="8340" w:type="dxa"/>
        <w:tblInd w:w="0" w:type="dxa"/>
        <w:tblLook w:val="04A0" w:firstRow="1" w:lastRow="0" w:firstColumn="1" w:lastColumn="0" w:noHBand="0" w:noVBand="1"/>
      </w:tblPr>
      <w:tblGrid>
        <w:gridCol w:w="3005"/>
        <w:gridCol w:w="5335"/>
      </w:tblGrid>
      <w:tr w:rsidR="000B5C96" w:rsidRPr="00AF20D2" w:rsidTr="00AF20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AF20D2" w:rsidRDefault="000B5C96" w:rsidP="00AF20D2">
            <w:pPr>
              <w:spacing w:before="114" w:beforeAutospacing="0" w:after="113" w:afterAutospacing="0"/>
              <w:rPr>
                <w:b/>
                <w:sz w:val="22"/>
                <w:szCs w:val="22"/>
              </w:rPr>
            </w:pPr>
            <w:r w:rsidRPr="00AF20D2">
              <w:rPr>
                <w:b/>
                <w:sz w:val="22"/>
                <w:szCs w:val="22"/>
              </w:rPr>
              <w:t>Name of proposal:</w:t>
            </w:r>
          </w:p>
        </w:tc>
        <w:tc>
          <w:tcPr>
            <w:tcW w:w="5335" w:type="dxa"/>
          </w:tcPr>
          <w:p w:rsidR="000B5C96" w:rsidRPr="00AF20D2" w:rsidRDefault="000B5C96" w:rsidP="00AF20D2">
            <w:pPr>
              <w:spacing w:before="114" w:beforeAutospacing="0" w:after="113" w:afterAutospacing="0"/>
              <w:jc w:val="left"/>
              <w:cnfStyle w:val="100000000000" w:firstRow="1" w:lastRow="0" w:firstColumn="0" w:lastColumn="0" w:oddVBand="0" w:evenVBand="0" w:oddHBand="0" w:evenHBand="0" w:firstRowFirstColumn="0" w:firstRowLastColumn="0" w:lastRowFirstColumn="0" w:lastRowLastColumn="0"/>
              <w:rPr>
                <w:b/>
                <w:sz w:val="22"/>
                <w:szCs w:val="22"/>
              </w:rPr>
            </w:pPr>
            <w:r w:rsidRPr="00AF20D2">
              <w:rPr>
                <w:b/>
                <w:sz w:val="22"/>
                <w:szCs w:val="22"/>
              </w:rPr>
              <w:t>Universities: Base Funding Lift</w:t>
            </w:r>
          </w:p>
        </w:tc>
      </w:tr>
      <w:tr w:rsidR="000B5C96" w:rsidRPr="000507BB" w:rsidTr="00AF2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AF20D2" w:rsidRDefault="000B5C96" w:rsidP="00AF20D2">
            <w:pPr>
              <w:spacing w:before="114" w:after="113"/>
              <w:rPr>
                <w:sz w:val="22"/>
                <w:szCs w:val="22"/>
              </w:rPr>
            </w:pPr>
            <w:r w:rsidRPr="00AF20D2">
              <w:rPr>
                <w:sz w:val="22"/>
                <w:szCs w:val="22"/>
              </w:rPr>
              <w:t>Summary of proposal:</w:t>
            </w:r>
          </w:p>
        </w:tc>
        <w:tc>
          <w:tcPr>
            <w:tcW w:w="5335" w:type="dxa"/>
            <w:vAlign w:val="top"/>
          </w:tcPr>
          <w:p w:rsidR="000B5C96" w:rsidRPr="00AF20D2" w:rsidRDefault="000B5C96" w:rsidP="00AF20D2">
            <w:pPr>
              <w:spacing w:before="114" w:after="113"/>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AF20D2">
              <w:rPr>
                <w:rFonts w:ascii="Calibri" w:hAnsi="Calibri"/>
                <w:sz w:val="22"/>
              </w:rPr>
              <w:t>The proposal would increase base funding for teaching and learning in tertiary education by 10 per cent.</w:t>
            </w:r>
          </w:p>
          <w:p w:rsidR="000B5C96" w:rsidRPr="00AF20D2" w:rsidRDefault="000B5C96" w:rsidP="00AF20D2">
            <w:pPr>
              <w:spacing w:before="114" w:after="113"/>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AF20D2">
              <w:rPr>
                <w:rFonts w:ascii="Calibri" w:hAnsi="Calibri"/>
                <w:sz w:val="22"/>
              </w:rPr>
              <w:t>The increase in funding would be phased in from 1 January 2017 to 2020 so that from 1 January 2020 universities have a 10 per cent increase in their base funding from current levels (appropriately indexed).</w:t>
            </w:r>
          </w:p>
          <w:p w:rsidR="000B5C96" w:rsidRPr="00AF20D2" w:rsidRDefault="000B5C96" w:rsidP="00AF20D2">
            <w:pPr>
              <w:spacing w:before="114" w:after="113"/>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AF20D2">
              <w:rPr>
                <w:rFonts w:ascii="Calibri" w:hAnsi="Calibri"/>
                <w:sz w:val="22"/>
              </w:rPr>
              <w:t>The proposal would also reverse cuts to higher education funding in the 2013</w:t>
            </w:r>
            <w:r w:rsidRPr="00AF20D2">
              <w:rPr>
                <w:rFonts w:ascii="Calibri" w:hAnsi="Calibri"/>
                <w:sz w:val="22"/>
              </w:rPr>
              <w:noBreakHyphen/>
              <w:t>14 and 2014</w:t>
            </w:r>
            <w:r w:rsidRPr="00AF20D2">
              <w:rPr>
                <w:rFonts w:ascii="Calibri" w:hAnsi="Calibri"/>
                <w:sz w:val="22"/>
              </w:rPr>
              <w:noBreakHyphen/>
              <w:t>15 Budgets.</w:t>
            </w:r>
          </w:p>
          <w:p w:rsidR="000B5C96" w:rsidRPr="00AF20D2" w:rsidRDefault="000B5C96" w:rsidP="00AF20D2">
            <w:pPr>
              <w:spacing w:before="114" w:after="113"/>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AF20D2">
              <w:rPr>
                <w:rFonts w:ascii="Calibri" w:hAnsi="Calibri"/>
                <w:sz w:val="22"/>
              </w:rPr>
              <w:t>The proposal would have effect from 1 January 2017.</w:t>
            </w:r>
          </w:p>
        </w:tc>
      </w:tr>
      <w:tr w:rsidR="000B5C96" w:rsidRPr="000507BB" w:rsidTr="00AF20D2">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AF20D2" w:rsidRDefault="000B5C96" w:rsidP="00AF20D2">
            <w:pPr>
              <w:spacing w:before="114" w:after="113"/>
              <w:rPr>
                <w:sz w:val="22"/>
                <w:szCs w:val="22"/>
              </w:rPr>
            </w:pPr>
            <w:r w:rsidRPr="00AF20D2">
              <w:rPr>
                <w:sz w:val="22"/>
                <w:szCs w:val="22"/>
              </w:rPr>
              <w:t>Person/party requesting costing:</w:t>
            </w:r>
          </w:p>
        </w:tc>
        <w:tc>
          <w:tcPr>
            <w:tcW w:w="5335" w:type="dxa"/>
            <w:vAlign w:val="top"/>
          </w:tcPr>
          <w:p w:rsidR="000B5C96" w:rsidRPr="00AF20D2" w:rsidRDefault="000B5C96" w:rsidP="00AF20D2">
            <w:pPr>
              <w:spacing w:before="114" w:after="113"/>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AF20D2">
              <w:rPr>
                <w:rFonts w:ascii="Calibri" w:hAnsi="Calibri"/>
                <w:sz w:val="22"/>
              </w:rPr>
              <w:t>Senator Richard Di Natale, Australian Greens</w:t>
            </w:r>
          </w:p>
        </w:tc>
      </w:tr>
      <w:tr w:rsidR="000B5C96" w:rsidRPr="000507BB" w:rsidTr="00AF2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AF20D2" w:rsidRDefault="000B5C96" w:rsidP="00AF20D2">
            <w:pPr>
              <w:spacing w:before="114" w:after="113"/>
              <w:rPr>
                <w:sz w:val="22"/>
                <w:szCs w:val="22"/>
              </w:rPr>
            </w:pPr>
            <w:r w:rsidRPr="00AF20D2">
              <w:rPr>
                <w:sz w:val="22"/>
                <w:szCs w:val="22"/>
              </w:rPr>
              <w:t>Date of public release of policy:</w:t>
            </w:r>
          </w:p>
        </w:tc>
        <w:tc>
          <w:tcPr>
            <w:tcW w:w="5335" w:type="dxa"/>
            <w:vAlign w:val="top"/>
          </w:tcPr>
          <w:p w:rsidR="000B5C96" w:rsidRPr="00AF20D2" w:rsidRDefault="000B5C96" w:rsidP="00AF20D2">
            <w:pPr>
              <w:spacing w:before="114" w:after="113"/>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AF20D2">
              <w:rPr>
                <w:rFonts w:ascii="Calibri" w:hAnsi="Calibri"/>
                <w:sz w:val="22"/>
              </w:rPr>
              <w:t>4 February 2016</w:t>
            </w:r>
          </w:p>
        </w:tc>
      </w:tr>
      <w:tr w:rsidR="000B5C96" w:rsidRPr="000507BB" w:rsidTr="00AF20D2">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AF20D2" w:rsidRDefault="000B5C96" w:rsidP="00AF20D2">
            <w:pPr>
              <w:spacing w:before="114" w:after="113"/>
              <w:rPr>
                <w:sz w:val="22"/>
                <w:szCs w:val="22"/>
              </w:rPr>
            </w:pPr>
            <w:r w:rsidRPr="00AF20D2">
              <w:rPr>
                <w:sz w:val="22"/>
                <w:szCs w:val="22"/>
              </w:rPr>
              <w:t>Date costing request received:</w:t>
            </w:r>
          </w:p>
        </w:tc>
        <w:tc>
          <w:tcPr>
            <w:tcW w:w="5335" w:type="dxa"/>
            <w:vAlign w:val="top"/>
          </w:tcPr>
          <w:p w:rsidR="000B5C96" w:rsidRPr="00AF20D2" w:rsidRDefault="000B5C96" w:rsidP="00AF20D2">
            <w:pPr>
              <w:spacing w:before="114" w:after="113"/>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AF20D2">
              <w:rPr>
                <w:rFonts w:ascii="Calibri" w:hAnsi="Calibri"/>
                <w:sz w:val="22"/>
              </w:rPr>
              <w:t>28 June 2016</w:t>
            </w:r>
          </w:p>
        </w:tc>
      </w:tr>
      <w:tr w:rsidR="000B5C96" w:rsidRPr="000507BB" w:rsidTr="00AF2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AF20D2" w:rsidRDefault="000B5C96" w:rsidP="00AF20D2">
            <w:pPr>
              <w:spacing w:before="114" w:after="113"/>
              <w:rPr>
                <w:sz w:val="22"/>
                <w:szCs w:val="22"/>
              </w:rPr>
            </w:pPr>
            <w:r w:rsidRPr="00AF20D2">
              <w:rPr>
                <w:sz w:val="22"/>
                <w:szCs w:val="22"/>
              </w:rPr>
              <w:t>Date costing completed</w:t>
            </w:r>
          </w:p>
        </w:tc>
        <w:tc>
          <w:tcPr>
            <w:tcW w:w="5335" w:type="dxa"/>
            <w:vAlign w:val="top"/>
          </w:tcPr>
          <w:p w:rsidR="000B5C96" w:rsidRPr="00AF20D2" w:rsidRDefault="000B5C96" w:rsidP="00AF20D2">
            <w:pPr>
              <w:spacing w:before="114" w:after="113"/>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AF20D2">
              <w:rPr>
                <w:rFonts w:ascii="Calibri" w:hAnsi="Calibri"/>
                <w:sz w:val="22"/>
              </w:rPr>
              <w:t>28 June 2016</w:t>
            </w:r>
          </w:p>
        </w:tc>
      </w:tr>
      <w:tr w:rsidR="000B5C96" w:rsidRPr="000507BB" w:rsidTr="00AF20D2">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AF20D2" w:rsidRDefault="000B5C96" w:rsidP="00AF20D2">
            <w:pPr>
              <w:spacing w:before="114" w:after="113"/>
              <w:rPr>
                <w:sz w:val="22"/>
                <w:szCs w:val="22"/>
              </w:rPr>
            </w:pPr>
            <w:r w:rsidRPr="00AF20D2">
              <w:rPr>
                <w:sz w:val="22"/>
                <w:szCs w:val="22"/>
              </w:rPr>
              <w:t>Expiry date for the costing:</w:t>
            </w:r>
          </w:p>
        </w:tc>
        <w:tc>
          <w:tcPr>
            <w:tcW w:w="5335" w:type="dxa"/>
            <w:vAlign w:val="top"/>
          </w:tcPr>
          <w:p w:rsidR="000B5C96" w:rsidRPr="00AF20D2" w:rsidRDefault="000B5C96" w:rsidP="00AF20D2">
            <w:pPr>
              <w:spacing w:before="114" w:after="113"/>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AF20D2">
              <w:rPr>
                <w:rFonts w:ascii="Calibri" w:hAnsi="Calibri"/>
                <w:sz w:val="22"/>
              </w:rPr>
              <w:t>Release of the next economic and fiscal outlook report</w:t>
            </w:r>
          </w:p>
        </w:tc>
      </w:tr>
    </w:tbl>
    <w:p w:rsidR="000B5C96" w:rsidRPr="00D7096D" w:rsidRDefault="000B5C96" w:rsidP="003F606A">
      <w:pPr>
        <w:pStyle w:val="CostingsH7"/>
      </w:pPr>
      <w:r w:rsidRPr="00D7096D">
        <w:t>Costing overview</w:t>
      </w:r>
    </w:p>
    <w:p w:rsidR="000B5C96" w:rsidRPr="000507BB" w:rsidRDefault="000B5C96" w:rsidP="003F606A">
      <w:pPr>
        <w:pStyle w:val="BodyText"/>
        <w:rPr>
          <w:u w:val="single"/>
        </w:rPr>
      </w:pPr>
      <w:r w:rsidRPr="000507BB">
        <w:t xml:space="preserve">This proposal would reverse measures announced in the 2013-14 and 2014-15 Budgets that affected base university funding and, after allowing for the effect of the reversal of these measures, increase base university funding by an additional 2.5 per cent per year for four years such that after four years there would be an ongoing increase in base funding of 10 per cent.  Details of the budget measures that would be reversed under this proposal are provided at </w:t>
      </w:r>
      <w:r w:rsidRPr="000507BB">
        <w:rPr>
          <w:u w:val="single"/>
        </w:rPr>
        <w:t>Attachment A</w:t>
      </w:r>
      <w:r w:rsidRPr="000507BB">
        <w:t>.</w:t>
      </w:r>
    </w:p>
    <w:p w:rsidR="000B5C96" w:rsidRPr="000507BB" w:rsidRDefault="000B5C96" w:rsidP="003F606A">
      <w:pPr>
        <w:pStyle w:val="BodyText"/>
      </w:pPr>
      <w:r w:rsidRPr="000507BB">
        <w:t>This proposal is expected to decrease the fiscal balance by $6,995 million, the underlying cash balance by $6,943 million and the headline cash balance by $7,051 million over the 2016</w:t>
      </w:r>
      <w:r w:rsidRPr="000507BB">
        <w:noBreakHyphen/>
        <w:t>17 Budget forward estimates period.</w:t>
      </w:r>
    </w:p>
    <w:p w:rsidR="000B5C96" w:rsidRPr="000507BB" w:rsidRDefault="000B5C96" w:rsidP="003F606A">
      <w:pPr>
        <w:pStyle w:val="BodyText"/>
      </w:pPr>
      <w:r w:rsidRPr="000507BB">
        <w:t>This proposal is not expected to require significant additional departmental expenses, as the proposal relates to an existing core function of the Department of Education and Training.</w:t>
      </w:r>
    </w:p>
    <w:p w:rsidR="000B5C96" w:rsidRPr="000507BB" w:rsidRDefault="000B5C96" w:rsidP="003F606A">
      <w:pPr>
        <w:pStyle w:val="BodyText"/>
      </w:pPr>
      <w:r w:rsidRPr="000507BB">
        <w:t xml:space="preserve">This proposal would have an ongoing impact that extends beyond the forward estimates period.  A breakdown of the cost of the proposal over the period 2016-17 to 2026-27 is provided at </w:t>
      </w:r>
      <w:r w:rsidRPr="008543BC">
        <w:rPr>
          <w:u w:val="single"/>
        </w:rPr>
        <w:t>Attachment B</w:t>
      </w:r>
      <w:r w:rsidRPr="000507BB">
        <w:t>.</w:t>
      </w:r>
    </w:p>
    <w:p w:rsidR="000B5C96" w:rsidRPr="000507BB" w:rsidRDefault="000B5C96" w:rsidP="003F606A">
      <w:pPr>
        <w:pStyle w:val="BodyText"/>
      </w:pPr>
      <w:r w:rsidRPr="000507BB">
        <w:t>The proposal has a different impact on the fiscal and underlying cash balances primarily due to the effect of the reversal of budget measures on the Higher Education Loan Program.</w:t>
      </w:r>
    </w:p>
    <w:p w:rsidR="000B5C96" w:rsidRPr="000507BB" w:rsidRDefault="000B5C96" w:rsidP="003F606A">
      <w:pPr>
        <w:pStyle w:val="BodyText"/>
      </w:pPr>
      <w:r w:rsidRPr="000507BB">
        <w:t>This costing is considered to be of medium reliability.  The base university funding figures and the impact of reversing budget measures are reliant on projections of student numbers and future indexation parameters which may, in fact, differ from current projections.</w:t>
      </w:r>
    </w:p>
    <w:p w:rsidR="000B5C96" w:rsidRPr="000507BB" w:rsidRDefault="000B5C96" w:rsidP="003F606A">
      <w:pPr>
        <w:pStyle w:val="Caption"/>
      </w:pPr>
      <w:r w:rsidRPr="000507BB">
        <w:t>Table 1: Financial implications (outturn prices)</w:t>
      </w:r>
      <w:r w:rsidRPr="000507BB">
        <w:rPr>
          <w:vertAlign w:val="superscript"/>
        </w:rPr>
        <w:t>(a)(b)</w:t>
      </w:r>
    </w:p>
    <w:tbl>
      <w:tblPr>
        <w:tblStyle w:val="TableGrid8"/>
        <w:tblW w:w="4993" w:type="pct"/>
        <w:tblInd w:w="0" w:type="dxa"/>
        <w:tblLook w:val="04A0" w:firstRow="1" w:lastRow="0" w:firstColumn="1" w:lastColumn="0" w:noHBand="0" w:noVBand="1"/>
      </w:tblPr>
      <w:tblGrid>
        <w:gridCol w:w="2645"/>
        <w:gridCol w:w="1134"/>
        <w:gridCol w:w="1133"/>
        <w:gridCol w:w="1133"/>
        <w:gridCol w:w="1133"/>
        <w:gridCol w:w="1132"/>
      </w:tblGrid>
      <w:tr w:rsidR="000B5C96" w:rsidRPr="000507BB"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0507BB" w:rsidRDefault="000B5C96" w:rsidP="003F606A">
            <w:pPr>
              <w:keepNext/>
              <w:keepLines/>
              <w:spacing w:before="0" w:after="0" w:line="240" w:lineRule="auto"/>
              <w:ind w:left="57" w:right="57"/>
            </w:pPr>
            <w:r w:rsidRPr="000507BB">
              <w:t>Impact on ($m)</w:t>
            </w:r>
          </w:p>
        </w:tc>
        <w:tc>
          <w:tcPr>
            <w:tcW w:w="682" w:type="pct"/>
            <w:vAlign w:val="center"/>
          </w:tcPr>
          <w:p w:rsidR="000B5C96" w:rsidRPr="000507B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0507BB">
              <w:t>2016–17</w:t>
            </w:r>
          </w:p>
        </w:tc>
        <w:tc>
          <w:tcPr>
            <w:tcW w:w="682" w:type="pct"/>
            <w:vAlign w:val="center"/>
          </w:tcPr>
          <w:p w:rsidR="000B5C96" w:rsidRPr="000507B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0507BB">
              <w:t>2017–18</w:t>
            </w:r>
          </w:p>
        </w:tc>
        <w:tc>
          <w:tcPr>
            <w:tcW w:w="682" w:type="pct"/>
            <w:vAlign w:val="center"/>
          </w:tcPr>
          <w:p w:rsidR="000B5C96" w:rsidRPr="000507B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0507BB">
              <w:t>2018–19</w:t>
            </w:r>
          </w:p>
        </w:tc>
        <w:tc>
          <w:tcPr>
            <w:tcW w:w="682" w:type="pct"/>
            <w:vAlign w:val="center"/>
          </w:tcPr>
          <w:p w:rsidR="000B5C96" w:rsidRPr="000507B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0507BB">
              <w:t>2019–20</w:t>
            </w:r>
          </w:p>
        </w:tc>
        <w:tc>
          <w:tcPr>
            <w:tcW w:w="681" w:type="pct"/>
            <w:vAlign w:val="center"/>
          </w:tcPr>
          <w:p w:rsidR="000B5C96" w:rsidRPr="000507B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0507BB">
              <w:t>Total</w:t>
            </w:r>
          </w:p>
        </w:tc>
      </w:tr>
      <w:tr w:rsidR="000B5C96" w:rsidRPr="000507B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0507BB" w:rsidRDefault="000B5C96" w:rsidP="003F606A">
            <w:pPr>
              <w:keepNext/>
              <w:keepLines/>
              <w:spacing w:before="0" w:after="0" w:line="240" w:lineRule="auto"/>
              <w:ind w:left="57" w:right="57"/>
            </w:pPr>
            <w:r w:rsidRPr="000507BB">
              <w:t>Fiscal balance</w:t>
            </w:r>
          </w:p>
        </w:tc>
        <w:tc>
          <w:tcPr>
            <w:tcW w:w="682" w:type="pct"/>
          </w:tcPr>
          <w:p w:rsidR="000B5C96" w:rsidRPr="000507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0507BB">
              <w:rPr>
                <w:rFonts w:ascii="Calibri" w:hAnsi="Calibri"/>
              </w:rPr>
              <w:t>-419</w:t>
            </w:r>
          </w:p>
        </w:tc>
        <w:tc>
          <w:tcPr>
            <w:tcW w:w="682" w:type="pct"/>
          </w:tcPr>
          <w:p w:rsidR="000B5C96" w:rsidRPr="000507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0507BB">
              <w:rPr>
                <w:rFonts w:ascii="Calibri" w:hAnsi="Calibri"/>
              </w:rPr>
              <w:t>-1,482</w:t>
            </w:r>
          </w:p>
        </w:tc>
        <w:tc>
          <w:tcPr>
            <w:tcW w:w="682" w:type="pct"/>
          </w:tcPr>
          <w:p w:rsidR="000B5C96" w:rsidRPr="000507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0507BB">
              <w:rPr>
                <w:rFonts w:ascii="Calibri" w:hAnsi="Calibri"/>
              </w:rPr>
              <w:t>-2,318</w:t>
            </w:r>
          </w:p>
        </w:tc>
        <w:tc>
          <w:tcPr>
            <w:tcW w:w="682" w:type="pct"/>
          </w:tcPr>
          <w:p w:rsidR="000B5C96" w:rsidRPr="000507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0507BB">
              <w:rPr>
                <w:rFonts w:ascii="Calibri" w:hAnsi="Calibri"/>
              </w:rPr>
              <w:t>-2,776</w:t>
            </w:r>
          </w:p>
        </w:tc>
        <w:tc>
          <w:tcPr>
            <w:tcW w:w="681" w:type="pct"/>
          </w:tcPr>
          <w:p w:rsidR="000B5C96" w:rsidRPr="000507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0507BB">
              <w:rPr>
                <w:rFonts w:ascii="Calibri" w:hAnsi="Calibri"/>
                <w:b/>
              </w:rPr>
              <w:t>-6,995</w:t>
            </w:r>
          </w:p>
        </w:tc>
      </w:tr>
      <w:tr w:rsidR="000B5C96" w:rsidRPr="000507BB"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0507BB" w:rsidRDefault="000B5C96" w:rsidP="003F606A">
            <w:pPr>
              <w:keepNext/>
              <w:keepLines/>
              <w:spacing w:before="0" w:after="0" w:line="240" w:lineRule="auto"/>
              <w:ind w:left="57" w:right="57"/>
            </w:pPr>
            <w:r w:rsidRPr="000507BB">
              <w:t>Underlying cash balance</w:t>
            </w:r>
          </w:p>
        </w:tc>
        <w:tc>
          <w:tcPr>
            <w:tcW w:w="682" w:type="pct"/>
          </w:tcPr>
          <w:p w:rsidR="000B5C96" w:rsidRPr="000507B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-408</w:t>
            </w:r>
          </w:p>
        </w:tc>
        <w:tc>
          <w:tcPr>
            <w:tcW w:w="682" w:type="pct"/>
          </w:tcPr>
          <w:p w:rsidR="000B5C96" w:rsidRPr="000507B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-1,459</w:t>
            </w:r>
          </w:p>
        </w:tc>
        <w:tc>
          <w:tcPr>
            <w:tcW w:w="682" w:type="pct"/>
          </w:tcPr>
          <w:p w:rsidR="000B5C96" w:rsidRPr="000507B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-2,303</w:t>
            </w:r>
          </w:p>
        </w:tc>
        <w:tc>
          <w:tcPr>
            <w:tcW w:w="682" w:type="pct"/>
          </w:tcPr>
          <w:p w:rsidR="000B5C96" w:rsidRPr="000507B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-2,773</w:t>
            </w:r>
          </w:p>
        </w:tc>
        <w:tc>
          <w:tcPr>
            <w:tcW w:w="681" w:type="pct"/>
          </w:tcPr>
          <w:p w:rsidR="000B5C96" w:rsidRPr="000507B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-6,943</w:t>
            </w:r>
          </w:p>
        </w:tc>
      </w:tr>
      <w:tr w:rsidR="000B5C96" w:rsidRPr="000507B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0507BB" w:rsidRDefault="000B5C96" w:rsidP="003F606A">
            <w:pPr>
              <w:keepNext/>
              <w:keepLines/>
              <w:spacing w:before="0" w:after="0" w:line="240" w:lineRule="auto"/>
              <w:ind w:left="57" w:right="57"/>
            </w:pPr>
            <w:r w:rsidRPr="000507BB">
              <w:t>Headline cash balance</w:t>
            </w:r>
          </w:p>
        </w:tc>
        <w:tc>
          <w:tcPr>
            <w:tcW w:w="682" w:type="pct"/>
          </w:tcPr>
          <w:p w:rsidR="000B5C96" w:rsidRPr="000507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0507BB">
              <w:rPr>
                <w:rFonts w:ascii="Calibri" w:hAnsi="Calibri"/>
              </w:rPr>
              <w:t>-408</w:t>
            </w:r>
          </w:p>
        </w:tc>
        <w:tc>
          <w:tcPr>
            <w:tcW w:w="682" w:type="pct"/>
          </w:tcPr>
          <w:p w:rsidR="000B5C96" w:rsidRPr="000507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0507BB">
              <w:rPr>
                <w:rFonts w:ascii="Calibri" w:hAnsi="Calibri"/>
              </w:rPr>
              <w:t>-1,504</w:t>
            </w:r>
          </w:p>
        </w:tc>
        <w:tc>
          <w:tcPr>
            <w:tcW w:w="682" w:type="pct"/>
          </w:tcPr>
          <w:p w:rsidR="000B5C96" w:rsidRPr="000507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0507BB">
              <w:rPr>
                <w:rFonts w:ascii="Calibri" w:hAnsi="Calibri"/>
              </w:rPr>
              <w:t>-2,364</w:t>
            </w:r>
          </w:p>
        </w:tc>
        <w:tc>
          <w:tcPr>
            <w:tcW w:w="682" w:type="pct"/>
          </w:tcPr>
          <w:p w:rsidR="000B5C96" w:rsidRPr="000507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0507BB">
              <w:rPr>
                <w:rFonts w:ascii="Calibri" w:hAnsi="Calibri"/>
              </w:rPr>
              <w:t>-2,776</w:t>
            </w:r>
          </w:p>
        </w:tc>
        <w:tc>
          <w:tcPr>
            <w:tcW w:w="681" w:type="pct"/>
          </w:tcPr>
          <w:p w:rsidR="000B5C96" w:rsidRPr="000507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0507BB">
              <w:rPr>
                <w:rFonts w:ascii="Calibri" w:hAnsi="Calibri"/>
                <w:b/>
              </w:rPr>
              <w:t>-7,051</w:t>
            </w:r>
          </w:p>
        </w:tc>
      </w:tr>
    </w:tbl>
    <w:p w:rsidR="000B5C96" w:rsidRPr="000507BB" w:rsidRDefault="000B5C96" w:rsidP="00AF20D2">
      <w:pPr>
        <w:pStyle w:val="Footnotes"/>
        <w:numPr>
          <w:ilvl w:val="0"/>
          <w:numId w:val="157"/>
        </w:numPr>
        <w:ind w:left="284" w:hanging="284"/>
      </w:pPr>
      <w:r w:rsidRPr="000507BB">
        <w:t>A positive number indicates an increase in the relevant budget balance, a negative a decrease.</w:t>
      </w:r>
    </w:p>
    <w:p w:rsidR="000B5C96" w:rsidRPr="000507BB" w:rsidRDefault="000B5C96" w:rsidP="00AF20D2">
      <w:pPr>
        <w:pStyle w:val="Footnotes"/>
        <w:numPr>
          <w:ilvl w:val="0"/>
          <w:numId w:val="157"/>
        </w:numPr>
        <w:ind w:left="284" w:hanging="284"/>
      </w:pPr>
      <w:r w:rsidRPr="000507BB">
        <w:t>Figures may not sum to totals due to rounding.</w:t>
      </w:r>
    </w:p>
    <w:p w:rsidR="000B5C96" w:rsidRPr="00D7096D" w:rsidRDefault="000B5C96" w:rsidP="003F606A">
      <w:pPr>
        <w:pStyle w:val="CostingsH7"/>
      </w:pPr>
      <w:r w:rsidRPr="00D7096D">
        <w:t>Key assumptions</w:t>
      </w:r>
    </w:p>
    <w:p w:rsidR="000B5C96" w:rsidRPr="000507BB" w:rsidRDefault="000B5C96" w:rsidP="003F606A">
      <w:pPr>
        <w:pStyle w:val="BodyText"/>
      </w:pPr>
      <w:r w:rsidRPr="000507BB">
        <w:t>In costing this proposal it has been assumed that university funding is grown by labour productivity and the consumer price index beyond the forward estimates period.</w:t>
      </w:r>
    </w:p>
    <w:p w:rsidR="000B5C96" w:rsidRPr="00D7096D" w:rsidRDefault="000B5C96" w:rsidP="003F606A">
      <w:pPr>
        <w:pStyle w:val="CostingsH7"/>
      </w:pPr>
      <w:r w:rsidRPr="00D7096D">
        <w:t>Methodology</w:t>
      </w:r>
    </w:p>
    <w:p w:rsidR="000B5C96" w:rsidRPr="000507BB" w:rsidRDefault="000B5C96" w:rsidP="003F606A">
      <w:pPr>
        <w:pStyle w:val="BodyText"/>
        <w:rPr>
          <w:bCs/>
        </w:rPr>
      </w:pPr>
      <w:r w:rsidRPr="000507BB">
        <w:t>As per the proposal, the costing applies the 10 per cent increase to the base funding estimates profile after reversing the effect of relevant measures in the 2013</w:t>
      </w:r>
      <w:r w:rsidRPr="000507BB">
        <w:noBreakHyphen/>
        <w:t>14 and 2014</w:t>
      </w:r>
      <w:r w:rsidRPr="000507BB">
        <w:noBreakHyphen/>
        <w:t xml:space="preserve">15 Budgets.  Consistent with the costing request </w:t>
      </w:r>
      <w:r w:rsidRPr="000507BB">
        <w:rPr>
          <w:bCs/>
        </w:rPr>
        <w:t>the 10 per cent increase was applied to the estimates</w:t>
      </w:r>
      <w:r w:rsidRPr="000507BB">
        <w:t xml:space="preserve"> in a phased approach at a rate of 2.5 per cent per calendar year from 1 January 2017 accumulatively up t</w:t>
      </w:r>
      <w:r w:rsidRPr="000507BB">
        <w:rPr>
          <w:bCs/>
        </w:rPr>
        <w:t>o 10 per cent by 1 January 2020.</w:t>
      </w:r>
    </w:p>
    <w:p w:rsidR="000B5C96" w:rsidRPr="000507BB" w:rsidRDefault="000B5C96" w:rsidP="003F606A">
      <w:pPr>
        <w:pStyle w:val="BodyText"/>
        <w:rPr>
          <w:bCs/>
        </w:rPr>
      </w:pPr>
      <w:r w:rsidRPr="000507BB">
        <w:rPr>
          <w:bCs/>
        </w:rPr>
        <w:t>Amounts have been rounded to the nearest $1 million.</w:t>
      </w:r>
    </w:p>
    <w:p w:rsidR="000B5C96" w:rsidRPr="00D7096D" w:rsidRDefault="000B5C96" w:rsidP="003F606A">
      <w:pPr>
        <w:pStyle w:val="CostingsH7"/>
      </w:pPr>
      <w:r w:rsidRPr="00D7096D">
        <w:t>Data sources</w:t>
      </w:r>
    </w:p>
    <w:p w:rsidR="000B5C96" w:rsidRPr="000507BB" w:rsidRDefault="000B5C96" w:rsidP="000B5C96">
      <w:pPr>
        <w:pStyle w:val="ListBullet"/>
        <w:keepLines w:val="0"/>
        <w:numPr>
          <w:ilvl w:val="0"/>
          <w:numId w:val="2"/>
        </w:numPr>
        <w:spacing w:before="113"/>
        <w:ind w:left="454" w:hanging="454"/>
      </w:pPr>
      <w:r w:rsidRPr="000507BB">
        <w:t>The 2013-14, 2014-15 and 2015-16 Budget papers and the 2015-16 Mid-Year Economic and Fiscal Outlook (MYEFO).</w:t>
      </w:r>
    </w:p>
    <w:p w:rsidR="000B5C96" w:rsidRDefault="000B5C96" w:rsidP="000B5C96">
      <w:pPr>
        <w:pStyle w:val="ListBullet"/>
        <w:keepLines w:val="0"/>
        <w:numPr>
          <w:ilvl w:val="0"/>
          <w:numId w:val="2"/>
        </w:numPr>
        <w:spacing w:before="113"/>
        <w:ind w:left="454" w:hanging="454"/>
        <w:sectPr w:rsidR="000B5C96" w:rsidSect="003F606A">
          <w:headerReference w:type="even" r:id="rId317"/>
          <w:headerReference w:type="default" r:id="rId318"/>
          <w:footerReference w:type="even" r:id="rId319"/>
          <w:footerReference w:type="default" r:id="rId320"/>
          <w:headerReference w:type="first" r:id="rId321"/>
          <w:footerReference w:type="first" r:id="rId322"/>
          <w:footnotePr>
            <w:numRestart w:val="eachSect"/>
          </w:footnotePr>
          <w:pgSz w:w="11906" w:h="16838"/>
          <w:pgMar w:top="1361" w:right="1797" w:bottom="1474" w:left="1797" w:header="283" w:footer="454" w:gutter="0"/>
          <w:cols w:space="708"/>
          <w:docGrid w:linePitch="360"/>
        </w:sectPr>
      </w:pPr>
      <w:r w:rsidRPr="000507BB">
        <w:t>The Treasury provided economic parameters as at the 2016-17 Budget.</w:t>
      </w:r>
    </w:p>
    <w:p w:rsidR="000B5C96" w:rsidRPr="000507BB" w:rsidRDefault="000B5C96" w:rsidP="000B5C96">
      <w:pPr>
        <w:pStyle w:val="Heading6"/>
        <w:numPr>
          <w:ilvl w:val="0"/>
          <w:numId w:val="5"/>
        </w:numPr>
        <w:tabs>
          <w:tab w:val="clear" w:pos="0"/>
          <w:tab w:val="num" w:pos="360"/>
          <w:tab w:val="right" w:pos="1418"/>
          <w:tab w:val="right" w:pos="1701"/>
          <w:tab w:val="right" w:pos="1985"/>
        </w:tabs>
      </w:pPr>
      <w:r w:rsidRPr="000507BB">
        <w:t>Attachment A: Higher Education measures from the 2013</w:t>
      </w:r>
      <w:r w:rsidRPr="000507BB">
        <w:noBreakHyphen/>
        <w:t>14 Budget and 2014-15 Budget that would be reversed under this proposal</w:t>
      </w:r>
    </w:p>
    <w:p w:rsidR="000B5C96" w:rsidRPr="000507BB" w:rsidRDefault="000B5C96" w:rsidP="003F606A">
      <w:pPr>
        <w:pStyle w:val="CostingsH7"/>
        <w:rPr>
          <w:rFonts w:eastAsia="Calibri"/>
        </w:rPr>
      </w:pPr>
      <w:r w:rsidRPr="000507BB">
        <w:rPr>
          <w:rFonts w:eastAsia="Calibri"/>
        </w:rPr>
        <w:t>2013-14 Budget</w:t>
      </w:r>
    </w:p>
    <w:p w:rsidR="000B5C96" w:rsidRPr="000507BB" w:rsidRDefault="000B5C96" w:rsidP="000B5C96">
      <w:pPr>
        <w:pStyle w:val="ListBullet"/>
        <w:keepLines w:val="0"/>
        <w:numPr>
          <w:ilvl w:val="0"/>
          <w:numId w:val="2"/>
        </w:numPr>
        <w:spacing w:before="113"/>
        <w:ind w:left="454" w:hanging="454"/>
      </w:pPr>
      <w:r w:rsidRPr="000507BB">
        <w:t>Student Start-up Scholarships - conversion to Income Contingent Loans</w:t>
      </w:r>
    </w:p>
    <w:p w:rsidR="000B5C96" w:rsidRPr="000507BB" w:rsidRDefault="000B5C96" w:rsidP="003F606A">
      <w:pPr>
        <w:pStyle w:val="CostingsH7"/>
        <w:rPr>
          <w:rFonts w:eastAsia="Calibri"/>
        </w:rPr>
      </w:pPr>
      <w:r w:rsidRPr="000507BB">
        <w:rPr>
          <w:rFonts w:eastAsia="Calibri"/>
        </w:rPr>
        <w:t>2014-15 Budget</w:t>
      </w:r>
    </w:p>
    <w:p w:rsidR="000B5C96" w:rsidRPr="000507BB" w:rsidRDefault="000B5C96" w:rsidP="000B5C96">
      <w:pPr>
        <w:pStyle w:val="ListBullet"/>
        <w:keepLines w:val="0"/>
        <w:numPr>
          <w:ilvl w:val="0"/>
          <w:numId w:val="2"/>
        </w:numPr>
        <w:spacing w:before="113"/>
        <w:ind w:left="454" w:hanging="454"/>
      </w:pPr>
      <w:r w:rsidRPr="000507BB">
        <w:t>Expanding Opportunity - Higher Education Indexation - revised arrangements</w:t>
      </w:r>
    </w:p>
    <w:p w:rsidR="000B5C96" w:rsidRPr="000507BB" w:rsidRDefault="000B5C96" w:rsidP="000B5C96">
      <w:pPr>
        <w:pStyle w:val="ListBullet"/>
        <w:keepLines w:val="0"/>
        <w:numPr>
          <w:ilvl w:val="0"/>
          <w:numId w:val="2"/>
        </w:numPr>
        <w:spacing w:before="113"/>
        <w:ind w:left="454" w:hanging="454"/>
      </w:pPr>
      <w:r w:rsidRPr="000507BB">
        <w:t>Expanding Opportunity - a more effective Higher Education Participation Programme</w:t>
      </w:r>
    </w:p>
    <w:p w:rsidR="000B5C96" w:rsidRPr="000507BB" w:rsidRDefault="000B5C96" w:rsidP="000B5C96">
      <w:pPr>
        <w:pStyle w:val="ListBullet"/>
        <w:keepLines w:val="0"/>
        <w:numPr>
          <w:ilvl w:val="0"/>
          <w:numId w:val="2"/>
        </w:numPr>
        <w:spacing w:before="113"/>
        <w:ind w:left="454" w:hanging="454"/>
      </w:pPr>
      <w:r w:rsidRPr="000507BB">
        <w:t>Expanding Opportunity - expansion of the demand driven system and sharing the cost fairly</w:t>
      </w:r>
    </w:p>
    <w:p w:rsidR="000B5C96" w:rsidRPr="000507BB" w:rsidRDefault="000B5C96" w:rsidP="000B5C96">
      <w:pPr>
        <w:pStyle w:val="ListBullet"/>
        <w:keepLines w:val="0"/>
        <w:numPr>
          <w:ilvl w:val="0"/>
          <w:numId w:val="2"/>
        </w:numPr>
        <w:spacing w:before="113"/>
        <w:ind w:left="454" w:hanging="454"/>
      </w:pPr>
      <w:r w:rsidRPr="000507BB">
        <w:t>A Sustainable Higher Education System - Higher Education Reward Funding – cessation</w:t>
      </w:r>
    </w:p>
    <w:p w:rsidR="000B5C96" w:rsidRPr="000507BB" w:rsidRDefault="000B5C96" w:rsidP="000B5C96">
      <w:pPr>
        <w:pStyle w:val="ListBullet"/>
        <w:keepLines w:val="0"/>
        <w:numPr>
          <w:ilvl w:val="0"/>
          <w:numId w:val="2"/>
        </w:numPr>
        <w:spacing w:before="113"/>
        <w:ind w:left="454" w:hanging="454"/>
      </w:pPr>
      <w:r w:rsidRPr="000507BB">
        <w:t>A Sustainable Higher Education System - Research Training Scheme - student contributions</w:t>
      </w:r>
    </w:p>
    <w:p w:rsidR="000B5C96" w:rsidRPr="000507BB" w:rsidRDefault="000B5C96" w:rsidP="000B5C96">
      <w:pPr>
        <w:pStyle w:val="ListBullet"/>
        <w:keepLines w:val="0"/>
        <w:numPr>
          <w:ilvl w:val="0"/>
          <w:numId w:val="2"/>
        </w:numPr>
        <w:spacing w:before="113"/>
        <w:ind w:left="454" w:hanging="454"/>
        <w:sectPr w:rsidR="000B5C96" w:rsidRPr="000507BB" w:rsidSect="003F606A">
          <w:footnotePr>
            <w:numRestart w:val="eachSect"/>
          </w:footnotePr>
          <w:pgSz w:w="11906" w:h="16838"/>
          <w:pgMar w:top="1361" w:right="1797" w:bottom="1474" w:left="1797" w:header="283" w:footer="454" w:gutter="0"/>
          <w:cols w:space="708"/>
          <w:docGrid w:linePitch="360"/>
        </w:sectPr>
      </w:pPr>
    </w:p>
    <w:p w:rsidR="000B5C96" w:rsidRPr="000507BB" w:rsidRDefault="000B5C96" w:rsidP="000B5C96">
      <w:pPr>
        <w:pStyle w:val="Heading6"/>
        <w:numPr>
          <w:ilvl w:val="0"/>
          <w:numId w:val="5"/>
        </w:numPr>
        <w:tabs>
          <w:tab w:val="clear" w:pos="0"/>
          <w:tab w:val="num" w:pos="360"/>
          <w:tab w:val="right" w:pos="1418"/>
          <w:tab w:val="right" w:pos="1701"/>
          <w:tab w:val="right" w:pos="1985"/>
        </w:tabs>
      </w:pPr>
      <w:r w:rsidRPr="000507BB">
        <w:t>Attachment B: Universities: Base Funding Lift — financial implications</w:t>
      </w:r>
    </w:p>
    <w:p w:rsidR="000B5C96" w:rsidRPr="000507BB" w:rsidRDefault="000B5C96" w:rsidP="003F606A">
      <w:pPr>
        <w:pStyle w:val="Caption"/>
        <w:rPr>
          <w:vertAlign w:val="superscript"/>
        </w:rPr>
      </w:pPr>
      <w:r w:rsidRPr="000507BB">
        <w:t>Table B1: Fiscal balance</w:t>
      </w:r>
      <w:r w:rsidRPr="000507BB">
        <w:rPr>
          <w:vertAlign w:val="superscript"/>
        </w:rPr>
        <w:t>(a)(b)</w:t>
      </w:r>
    </w:p>
    <w:tbl>
      <w:tblPr>
        <w:tblStyle w:val="TableGrid8"/>
        <w:tblW w:w="4948" w:type="pct"/>
        <w:tblInd w:w="0" w:type="dxa"/>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0507BB" w:rsidRDefault="000B5C96" w:rsidP="003F606A">
            <w:pPr>
              <w:keepNext/>
              <w:keepLines/>
              <w:spacing w:line="240" w:lineRule="auto"/>
              <w:ind w:left="57" w:right="57"/>
            </w:pPr>
            <w:r w:rsidRPr="000507BB">
              <w:t>($m)</w:t>
            </w:r>
          </w:p>
        </w:tc>
        <w:tc>
          <w:tcPr>
            <w:tcW w:w="326"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2016–17</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2017–18</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2018–19</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2019–20</w:t>
            </w:r>
          </w:p>
        </w:tc>
        <w:tc>
          <w:tcPr>
            <w:tcW w:w="327"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Total to 2019–20</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2020–21</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2021–22</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2022–23</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2023–24</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2024–25</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2025–26</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2026–27</w:t>
            </w:r>
          </w:p>
        </w:tc>
        <w:tc>
          <w:tcPr>
            <w:tcW w:w="326"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Total to 2026–27</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0507BB" w:rsidRDefault="000B5C96" w:rsidP="003F606A">
            <w:pPr>
              <w:keepNext/>
              <w:keepLines/>
              <w:spacing w:line="240" w:lineRule="auto"/>
              <w:ind w:left="57" w:right="57"/>
            </w:pPr>
            <w:r w:rsidRPr="000507BB">
              <w:t>Additional cost from proposed increase in university funding</w:t>
            </w:r>
            <w:r w:rsidRPr="000507BB">
              <w:rPr>
                <w:vertAlign w:val="superscript"/>
              </w:rPr>
              <w:t>(c)</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-397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-685</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-989</w:t>
            </w:r>
          </w:p>
        </w:tc>
        <w:tc>
          <w:tcPr>
            <w:tcW w:w="327"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-2,198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-1,161</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-1,193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-1,227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-1,263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-1,300</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-1,338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-1,377</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-11,056</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0507BB" w:rsidRDefault="000B5C96" w:rsidP="003F606A">
            <w:pPr>
              <w:keepNext/>
              <w:keepLines/>
              <w:spacing w:line="240" w:lineRule="auto"/>
              <w:ind w:left="57" w:right="57"/>
            </w:pPr>
            <w:r w:rsidRPr="000507BB">
              <w:t>Impact of reversing budget measures</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-291</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-1,091</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-1,657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-1,838</w:t>
            </w:r>
          </w:p>
        </w:tc>
        <w:tc>
          <w:tcPr>
            <w:tcW w:w="327"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-4,877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-2,047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-2,273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-2,512</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-2,767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-3,035</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-3,305</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-3,591</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-24,407</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0507BB" w:rsidRDefault="000B5C96" w:rsidP="003F606A">
            <w:pPr>
              <w:keepNext/>
              <w:keepLines/>
              <w:spacing w:line="240" w:lineRule="auto"/>
              <w:ind w:left="57" w:right="57"/>
            </w:pPr>
            <w:r w:rsidRPr="000507BB">
              <w:t>PDI</w:t>
            </w:r>
            <w:r w:rsidRPr="000507BB">
              <w:rPr>
                <w:vertAlign w:val="superscript"/>
              </w:rPr>
              <w:t>(d)</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6</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24</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50</w:t>
            </w:r>
          </w:p>
        </w:tc>
        <w:tc>
          <w:tcPr>
            <w:tcW w:w="327"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80</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104</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170</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247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333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430</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535</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652</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2,552</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0507BB" w:rsidRDefault="000B5C96" w:rsidP="003F606A">
            <w:pPr>
              <w:keepNext/>
              <w:keepLines/>
              <w:spacing w:line="240" w:lineRule="auto"/>
              <w:ind w:left="57" w:right="57"/>
              <w:rPr>
                <w:b/>
              </w:rPr>
            </w:pPr>
            <w:r w:rsidRPr="000507BB">
              <w:rPr>
                <w:b/>
              </w:rPr>
              <w:t>Total</w:t>
            </w:r>
          </w:p>
        </w:tc>
        <w:tc>
          <w:tcPr>
            <w:tcW w:w="326"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-419</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-1,482</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-2,318</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-2,776</w:t>
            </w:r>
          </w:p>
        </w:tc>
        <w:tc>
          <w:tcPr>
            <w:tcW w:w="327"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-6,995</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-3,104</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-3,296</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-3,493</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-3,696</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-3,904</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-4,107</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-4,316</w:t>
            </w:r>
          </w:p>
        </w:tc>
        <w:tc>
          <w:tcPr>
            <w:tcW w:w="326"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-32,911</w:t>
            </w:r>
          </w:p>
        </w:tc>
      </w:tr>
    </w:tbl>
    <w:p w:rsidR="000B5C96" w:rsidRPr="000507BB" w:rsidRDefault="000B5C96" w:rsidP="00045DB2">
      <w:pPr>
        <w:pStyle w:val="Footnotes"/>
        <w:keepNext/>
        <w:keepLines/>
        <w:numPr>
          <w:ilvl w:val="0"/>
          <w:numId w:val="158"/>
        </w:numPr>
        <w:ind w:left="284" w:hanging="284"/>
      </w:pPr>
      <w:r w:rsidRPr="000507BB">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0507BB" w:rsidRDefault="000B5C96" w:rsidP="00045DB2">
      <w:pPr>
        <w:pStyle w:val="Footnotes"/>
        <w:keepNext/>
        <w:keepLines/>
        <w:numPr>
          <w:ilvl w:val="0"/>
          <w:numId w:val="158"/>
        </w:numPr>
        <w:ind w:left="284" w:hanging="284"/>
      </w:pPr>
      <w:r w:rsidRPr="000507BB">
        <w:t>Figures may not sum to totals due to rounding.</w:t>
      </w:r>
    </w:p>
    <w:p w:rsidR="000B5C96" w:rsidRPr="000507BB" w:rsidRDefault="000B5C96" w:rsidP="00045DB2">
      <w:pPr>
        <w:pStyle w:val="Footnotes"/>
        <w:keepNext/>
        <w:keepLines/>
        <w:numPr>
          <w:ilvl w:val="0"/>
          <w:numId w:val="158"/>
        </w:numPr>
        <w:ind w:left="284" w:hanging="284"/>
      </w:pPr>
      <w:r w:rsidRPr="000507BB">
        <w:t>The increase in university spending has been phased at a rate of 2.5 per cent per calendar year from 1 January 2017 accumulatively up to 10 per cent by 1 January 2020.</w:t>
      </w:r>
    </w:p>
    <w:p w:rsidR="000B5C96" w:rsidRPr="000507BB" w:rsidRDefault="000B5C96" w:rsidP="00045DB2">
      <w:pPr>
        <w:pStyle w:val="Footnotes"/>
        <w:keepNext/>
        <w:keepLines/>
        <w:numPr>
          <w:ilvl w:val="0"/>
          <w:numId w:val="158"/>
        </w:numPr>
        <w:ind w:left="284" w:hanging="284"/>
      </w:pPr>
      <w:r w:rsidRPr="000507BB">
        <w:t xml:space="preserve">PDI is calculated only on the reversal of the measure: </w:t>
      </w:r>
      <w:r w:rsidRPr="008543BC">
        <w:rPr>
          <w:i/>
        </w:rPr>
        <w:t>Expanding Opportunity – expansion of the demand driven system and sharing the cost fairly</w:t>
      </w:r>
      <w:r w:rsidRPr="000507BB">
        <w:t>.</w:t>
      </w:r>
    </w:p>
    <w:p w:rsidR="000B5C96" w:rsidRPr="000507BB" w:rsidRDefault="000B5C96" w:rsidP="000B5C96">
      <w:pPr>
        <w:pStyle w:val="Footnotes"/>
        <w:numPr>
          <w:ilvl w:val="0"/>
          <w:numId w:val="114"/>
        </w:numPr>
        <w:ind w:left="284" w:hanging="284"/>
      </w:pPr>
      <w:r w:rsidRPr="000507BB">
        <w:t>Indicates nil.</w:t>
      </w:r>
    </w:p>
    <w:p w:rsidR="000B5C96" w:rsidRPr="000507BB" w:rsidRDefault="000B5C96" w:rsidP="003F606A">
      <w:pPr>
        <w:pStyle w:val="Caption"/>
        <w:rPr>
          <w:vertAlign w:val="superscript"/>
        </w:rPr>
      </w:pPr>
      <w:r w:rsidRPr="000507BB">
        <w:t>Table B2: Underlying cash balance</w:t>
      </w:r>
      <w:r w:rsidRPr="000507BB">
        <w:rPr>
          <w:vertAlign w:val="superscript"/>
        </w:rPr>
        <w:t>(a)(b)</w:t>
      </w:r>
    </w:p>
    <w:tbl>
      <w:tblPr>
        <w:tblStyle w:val="TableGrid8"/>
        <w:tblW w:w="4948" w:type="pct"/>
        <w:tblInd w:w="0" w:type="dxa"/>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0507BB" w:rsidRDefault="000B5C96" w:rsidP="003F606A">
            <w:pPr>
              <w:keepNext/>
              <w:keepLines/>
              <w:spacing w:line="240" w:lineRule="auto"/>
              <w:ind w:left="57" w:right="57"/>
            </w:pPr>
            <w:r w:rsidRPr="000507BB">
              <w:t>($m)</w:t>
            </w:r>
          </w:p>
        </w:tc>
        <w:tc>
          <w:tcPr>
            <w:tcW w:w="326"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2016–17</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2017–18</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2018–19</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2019–20</w:t>
            </w:r>
          </w:p>
        </w:tc>
        <w:tc>
          <w:tcPr>
            <w:tcW w:w="327"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Total to 2019–20</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2020–21</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2021–22</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2022–23</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2023–24</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2024–25</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2025–26</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2026–27</w:t>
            </w:r>
          </w:p>
        </w:tc>
        <w:tc>
          <w:tcPr>
            <w:tcW w:w="326"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Total to 2026–27</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0507BB" w:rsidRDefault="000B5C96" w:rsidP="003F606A">
            <w:pPr>
              <w:keepNext/>
              <w:keepLines/>
              <w:spacing w:line="240" w:lineRule="auto"/>
              <w:ind w:left="57" w:right="57"/>
            </w:pPr>
            <w:r w:rsidRPr="000507BB">
              <w:t>Additional cost from proposed increase in university funding</w:t>
            </w:r>
            <w:r w:rsidRPr="000507BB">
              <w:rPr>
                <w:vertAlign w:val="superscript"/>
              </w:rPr>
              <w:t>(c)</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-129</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-402</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-697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-1,008</w:t>
            </w:r>
          </w:p>
        </w:tc>
        <w:tc>
          <w:tcPr>
            <w:tcW w:w="327"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-2,237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-1,183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-1,215</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-1,249</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-1,284</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-1,321</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-1,358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-1,397</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-11,245</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0507BB" w:rsidRDefault="000B5C96" w:rsidP="003F606A">
            <w:pPr>
              <w:keepNext/>
              <w:keepLines/>
              <w:spacing w:line="240" w:lineRule="auto"/>
              <w:ind w:left="57" w:right="57"/>
            </w:pPr>
            <w:r w:rsidRPr="000507BB">
              <w:t>Impact of reversing budget measures</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-279</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-1,062</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-1,629</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-1,813</w:t>
            </w:r>
          </w:p>
        </w:tc>
        <w:tc>
          <w:tcPr>
            <w:tcW w:w="327"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-4,783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-2,021</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-2,244</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-2,475</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-2,718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-2,983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-3,248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-3,530</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-24,003</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0507BB" w:rsidRDefault="000B5C96" w:rsidP="003F606A">
            <w:pPr>
              <w:keepNext/>
              <w:keepLines/>
              <w:spacing w:line="240" w:lineRule="auto"/>
              <w:ind w:left="57" w:right="57"/>
            </w:pPr>
            <w:r w:rsidRPr="000507BB">
              <w:t>PDI</w:t>
            </w:r>
            <w:r w:rsidRPr="000507BB">
              <w:rPr>
                <w:vertAlign w:val="superscript"/>
              </w:rPr>
              <w:t>(d)</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5</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48</w:t>
            </w:r>
          </w:p>
        </w:tc>
        <w:tc>
          <w:tcPr>
            <w:tcW w:w="327"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77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100</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166</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241</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327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423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528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644</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2,506</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0507BB" w:rsidRDefault="000B5C96" w:rsidP="003F606A">
            <w:pPr>
              <w:keepNext/>
              <w:keepLines/>
              <w:spacing w:line="240" w:lineRule="auto"/>
              <w:ind w:left="57" w:right="57"/>
              <w:rPr>
                <w:b/>
              </w:rPr>
            </w:pPr>
            <w:r w:rsidRPr="000507BB">
              <w:rPr>
                <w:b/>
              </w:rPr>
              <w:t>Total</w:t>
            </w:r>
          </w:p>
        </w:tc>
        <w:tc>
          <w:tcPr>
            <w:tcW w:w="326"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-408</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-1,459</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-2,303</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-2,773</w:t>
            </w:r>
          </w:p>
        </w:tc>
        <w:tc>
          <w:tcPr>
            <w:tcW w:w="327"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-6,943</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-3,104</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-3,293</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-3,483</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-3,675</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-3,880</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-4,079</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-4,284</w:t>
            </w:r>
          </w:p>
        </w:tc>
        <w:tc>
          <w:tcPr>
            <w:tcW w:w="326"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-32,741</w:t>
            </w:r>
          </w:p>
        </w:tc>
      </w:tr>
    </w:tbl>
    <w:p w:rsidR="000B5C96" w:rsidRPr="000507BB" w:rsidRDefault="000B5C96" w:rsidP="00045DB2">
      <w:pPr>
        <w:pStyle w:val="Footnotes"/>
        <w:keepNext/>
        <w:keepLines/>
        <w:numPr>
          <w:ilvl w:val="0"/>
          <w:numId w:val="159"/>
        </w:numPr>
        <w:spacing w:before="0"/>
        <w:ind w:left="284" w:hanging="284"/>
      </w:pPr>
      <w:r w:rsidRPr="000507BB">
        <w:t>A positive number for the underlying cash balance indicates an increase in receipts or a decrease in outlays or net capital investment in cash terms. A negative number for the fiscal balance indicates a decrease in receipts or an increase in outlays or net capital investment in cash terms.</w:t>
      </w:r>
    </w:p>
    <w:p w:rsidR="000B5C96" w:rsidRPr="000507BB" w:rsidRDefault="000B5C96" w:rsidP="00045DB2">
      <w:pPr>
        <w:pStyle w:val="Footnotes"/>
        <w:keepNext/>
        <w:keepLines/>
        <w:numPr>
          <w:ilvl w:val="0"/>
          <w:numId w:val="159"/>
        </w:numPr>
        <w:spacing w:before="0"/>
        <w:ind w:left="284" w:hanging="284"/>
      </w:pPr>
      <w:r w:rsidRPr="000507BB">
        <w:t xml:space="preserve"> Figures may not sum to totals due to rounding.</w:t>
      </w:r>
    </w:p>
    <w:p w:rsidR="000B5C96" w:rsidRPr="000507BB" w:rsidRDefault="000B5C96" w:rsidP="00045DB2">
      <w:pPr>
        <w:pStyle w:val="Footnotes"/>
        <w:keepNext/>
        <w:keepLines/>
        <w:numPr>
          <w:ilvl w:val="0"/>
          <w:numId w:val="159"/>
        </w:numPr>
        <w:spacing w:before="0"/>
        <w:ind w:left="284" w:hanging="284"/>
      </w:pPr>
      <w:r w:rsidRPr="000507BB">
        <w:t>The increase in university spending has been phased at a rate of 2.5 per cent per calendar year from 1 January 2017 accumulatively up to 10 per cent by 1</w:t>
      </w:r>
      <w:r>
        <w:t> </w:t>
      </w:r>
      <w:r w:rsidRPr="000507BB">
        <w:t>January 2020.</w:t>
      </w:r>
    </w:p>
    <w:p w:rsidR="000B5C96" w:rsidRPr="000507BB" w:rsidRDefault="000B5C96" w:rsidP="00045DB2">
      <w:pPr>
        <w:pStyle w:val="Footnotes"/>
        <w:keepNext/>
        <w:keepLines/>
        <w:numPr>
          <w:ilvl w:val="0"/>
          <w:numId w:val="159"/>
        </w:numPr>
        <w:spacing w:before="0"/>
        <w:ind w:left="284" w:hanging="284"/>
      </w:pPr>
      <w:r w:rsidRPr="000507BB">
        <w:t xml:space="preserve">PDI is calculated only on the reversal of the measure: </w:t>
      </w:r>
      <w:r w:rsidRPr="008543BC">
        <w:rPr>
          <w:i/>
        </w:rPr>
        <w:t>Expanding Opportunity – expansion of the demand driven system and sharing the cost fairly</w:t>
      </w:r>
      <w:r w:rsidRPr="000507BB">
        <w:t>.</w:t>
      </w:r>
    </w:p>
    <w:p w:rsidR="000B5C96" w:rsidRPr="000507BB" w:rsidRDefault="000B5C96" w:rsidP="003F606A">
      <w:pPr>
        <w:pStyle w:val="Footnotes"/>
        <w:numPr>
          <w:ilvl w:val="0"/>
          <w:numId w:val="0"/>
        </w:numPr>
        <w:ind w:left="284" w:hanging="284"/>
      </w:pPr>
      <w:r w:rsidRPr="000507BB">
        <w:t>-</w:t>
      </w:r>
      <w:r w:rsidRPr="000507BB">
        <w:tab/>
        <w:t>Indicates nil.</w:t>
      </w:r>
    </w:p>
    <w:p w:rsidR="000B5C96" w:rsidRPr="000507BB" w:rsidRDefault="000B5C96" w:rsidP="003F606A">
      <w:pPr>
        <w:pStyle w:val="Caption"/>
        <w:rPr>
          <w:vertAlign w:val="superscript"/>
        </w:rPr>
      </w:pPr>
      <w:r w:rsidRPr="000507BB">
        <w:t>Table B3: Headline cash balance</w:t>
      </w:r>
      <w:r w:rsidRPr="000507BB">
        <w:rPr>
          <w:vertAlign w:val="superscript"/>
        </w:rPr>
        <w:t>(a)(b)</w:t>
      </w:r>
    </w:p>
    <w:tbl>
      <w:tblPr>
        <w:tblStyle w:val="TableGrid8"/>
        <w:tblW w:w="4948" w:type="pct"/>
        <w:tblInd w:w="0" w:type="dxa"/>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0507BB" w:rsidRDefault="000B5C96" w:rsidP="003F606A">
            <w:pPr>
              <w:keepNext/>
              <w:keepLines/>
              <w:spacing w:line="240" w:lineRule="auto"/>
              <w:ind w:left="57" w:right="57"/>
            </w:pPr>
            <w:r w:rsidRPr="000507BB">
              <w:t>($m)</w:t>
            </w:r>
          </w:p>
        </w:tc>
        <w:tc>
          <w:tcPr>
            <w:tcW w:w="326"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2016–17</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2017–18</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2018–19</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2019–20</w:t>
            </w:r>
          </w:p>
        </w:tc>
        <w:tc>
          <w:tcPr>
            <w:tcW w:w="327"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Total to 2019–20</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2020–21</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2021–22</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2022–23</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2023–24</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2024–25</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2025–26</w:t>
            </w:r>
          </w:p>
        </w:tc>
        <w:tc>
          <w:tcPr>
            <w:tcW w:w="325"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2026–27</w:t>
            </w:r>
          </w:p>
        </w:tc>
        <w:tc>
          <w:tcPr>
            <w:tcW w:w="326" w:type="pct"/>
            <w:shd w:val="clear" w:color="auto" w:fill="D7DDE9"/>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Total to 2026–27</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0507BB" w:rsidRDefault="000B5C96" w:rsidP="003F606A">
            <w:pPr>
              <w:keepNext/>
              <w:keepLines/>
              <w:spacing w:line="240" w:lineRule="auto"/>
              <w:ind w:left="57" w:right="57"/>
            </w:pPr>
            <w:r w:rsidRPr="000507BB">
              <w:t>Additional cost from proposed increase in university funding</w:t>
            </w:r>
            <w:r w:rsidRPr="000507BB">
              <w:rPr>
                <w:vertAlign w:val="superscript"/>
              </w:rPr>
              <w:t>(c)</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-129</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-402</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-697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-1,008</w:t>
            </w:r>
          </w:p>
        </w:tc>
        <w:tc>
          <w:tcPr>
            <w:tcW w:w="327"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-2,237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-1,183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-1,215</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-1,249</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-1,284</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-1,321</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-1,358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-1,397</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-11,245</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0507BB" w:rsidRDefault="000B5C96" w:rsidP="003F606A">
            <w:pPr>
              <w:keepNext/>
              <w:keepLines/>
              <w:spacing w:line="240" w:lineRule="auto"/>
              <w:ind w:left="57" w:right="57"/>
            </w:pPr>
            <w:r w:rsidRPr="000507BB">
              <w:t>Impact of reversing budget measures</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-279</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-1,062</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-1,629</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-1,813</w:t>
            </w:r>
          </w:p>
        </w:tc>
        <w:tc>
          <w:tcPr>
            <w:tcW w:w="327"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-4,783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-2,021</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-2,244</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-2,475</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-2,718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-2,983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-3,248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-3,530</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-24,003</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0507BB" w:rsidRDefault="000B5C96" w:rsidP="003F606A">
            <w:pPr>
              <w:keepNext/>
              <w:keepLines/>
              <w:spacing w:line="240" w:lineRule="auto"/>
              <w:ind w:left="57" w:right="57"/>
            </w:pPr>
            <w:r w:rsidRPr="000507BB">
              <w:t>Change in Higher Education Loan Program (HELP) loans issued</w:t>
            </w:r>
            <w:r w:rsidRPr="000507BB">
              <w:rPr>
                <w:vertAlign w:val="superscript"/>
              </w:rPr>
              <w:t>(d)</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0</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-44</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-61</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w:t>
            </w:r>
          </w:p>
        </w:tc>
        <w:tc>
          <w:tcPr>
            <w:tcW w:w="327"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-108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62</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-100</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-109</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-119</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-128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-138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-147</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-788</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0507BB" w:rsidRDefault="000B5C96" w:rsidP="003F606A">
            <w:pPr>
              <w:keepNext/>
              <w:keepLines/>
              <w:spacing w:line="240" w:lineRule="auto"/>
              <w:ind w:left="57" w:right="57"/>
            </w:pPr>
            <w:r w:rsidRPr="000507BB">
              <w:t>Change in repayments received</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w:t>
            </w:r>
          </w:p>
        </w:tc>
        <w:tc>
          <w:tcPr>
            <w:tcW w:w="327"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-6</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-10</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-16</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-25</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-62</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0507BB" w:rsidRDefault="000B5C96" w:rsidP="003F606A">
            <w:pPr>
              <w:keepNext/>
              <w:keepLines/>
              <w:spacing w:line="240" w:lineRule="auto"/>
              <w:ind w:left="57" w:right="57"/>
            </w:pPr>
            <w:r w:rsidRPr="000507BB">
              <w:t>PDI</w:t>
            </w:r>
            <w:r w:rsidRPr="000507BB">
              <w:rPr>
                <w:vertAlign w:val="superscript"/>
              </w:rPr>
              <w:t>(e)</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5</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48</w:t>
            </w:r>
          </w:p>
        </w:tc>
        <w:tc>
          <w:tcPr>
            <w:tcW w:w="327"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77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100</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166</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241</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327</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423</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528</w:t>
            </w:r>
          </w:p>
        </w:tc>
        <w:tc>
          <w:tcPr>
            <w:tcW w:w="325"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0507BB">
              <w:rPr>
                <w:rFonts w:ascii="Calibri" w:hAnsi="Calibri"/>
              </w:rPr>
              <w:t>644</w:t>
            </w:r>
          </w:p>
        </w:tc>
        <w:tc>
          <w:tcPr>
            <w:tcW w:w="326" w:type="pct"/>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2,506</w:t>
            </w:r>
          </w:p>
        </w:tc>
      </w:tr>
      <w:tr w:rsidR="000B5C96" w:rsidRPr="000507BB"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0507BB" w:rsidRDefault="000B5C96" w:rsidP="003F606A">
            <w:pPr>
              <w:keepNext/>
              <w:keepLines/>
              <w:spacing w:line="240" w:lineRule="auto"/>
              <w:ind w:left="57" w:right="57"/>
              <w:rPr>
                <w:b/>
              </w:rPr>
            </w:pPr>
            <w:r w:rsidRPr="000507BB">
              <w:rPr>
                <w:b/>
              </w:rPr>
              <w:t>Total</w:t>
            </w:r>
          </w:p>
        </w:tc>
        <w:tc>
          <w:tcPr>
            <w:tcW w:w="326"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-408</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-1,504</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-2,364</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-2,776</w:t>
            </w:r>
          </w:p>
        </w:tc>
        <w:tc>
          <w:tcPr>
            <w:tcW w:w="327"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-7,051</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-3,043</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-3,395</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-3,595</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-3,800</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-4,018</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-4,233</w:t>
            </w:r>
          </w:p>
        </w:tc>
        <w:tc>
          <w:tcPr>
            <w:tcW w:w="325"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-4,456</w:t>
            </w:r>
          </w:p>
        </w:tc>
        <w:tc>
          <w:tcPr>
            <w:tcW w:w="326" w:type="pct"/>
            <w:shd w:val="clear" w:color="auto" w:fill="E9ECF3"/>
          </w:tcPr>
          <w:p w:rsidR="000B5C96" w:rsidRPr="000507BB"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507BB">
              <w:rPr>
                <w:rFonts w:ascii="Calibri" w:hAnsi="Calibri"/>
                <w:b/>
              </w:rPr>
              <w:t>-33,591</w:t>
            </w:r>
          </w:p>
        </w:tc>
      </w:tr>
    </w:tbl>
    <w:p w:rsidR="000B5C96" w:rsidRPr="000507BB" w:rsidRDefault="000B5C96" w:rsidP="00045DB2">
      <w:pPr>
        <w:pStyle w:val="Footnotes"/>
        <w:keepNext/>
        <w:keepLines/>
        <w:numPr>
          <w:ilvl w:val="0"/>
          <w:numId w:val="160"/>
        </w:numPr>
        <w:spacing w:before="0"/>
        <w:ind w:left="284" w:hanging="284"/>
      </w:pPr>
      <w:r w:rsidRPr="000507BB">
        <w:t>A positive number for the headline cash balance indicates an increase in cash flows.  A negative number for the headline cash balance indicates a decrease in cash flows.</w:t>
      </w:r>
    </w:p>
    <w:p w:rsidR="000B5C96" w:rsidRPr="000507BB" w:rsidRDefault="000B5C96" w:rsidP="00045DB2">
      <w:pPr>
        <w:pStyle w:val="Footnotes"/>
        <w:keepNext/>
        <w:keepLines/>
        <w:numPr>
          <w:ilvl w:val="0"/>
          <w:numId w:val="160"/>
        </w:numPr>
        <w:spacing w:before="0"/>
        <w:ind w:left="284" w:hanging="284"/>
      </w:pPr>
      <w:r w:rsidRPr="000507BB">
        <w:t>Figures may not sum to totals due to rounding.</w:t>
      </w:r>
    </w:p>
    <w:p w:rsidR="000B5C96" w:rsidRPr="000507BB" w:rsidRDefault="000B5C96" w:rsidP="00045DB2">
      <w:pPr>
        <w:pStyle w:val="Footnotes"/>
        <w:keepNext/>
        <w:keepLines/>
        <w:numPr>
          <w:ilvl w:val="0"/>
          <w:numId w:val="160"/>
        </w:numPr>
        <w:spacing w:before="0"/>
        <w:ind w:left="284" w:hanging="284"/>
      </w:pPr>
      <w:r w:rsidRPr="000507BB">
        <w:t>The increase in university spending has been phased at a rate of 2.5 per cent per calendar year from 1 January 2017 accumulatively up to 10 per cent by 1 January 2020.</w:t>
      </w:r>
    </w:p>
    <w:p w:rsidR="000B5C96" w:rsidRPr="000507BB" w:rsidRDefault="000B5C96" w:rsidP="00045DB2">
      <w:pPr>
        <w:pStyle w:val="Footnotes"/>
        <w:keepNext/>
        <w:keepLines/>
        <w:numPr>
          <w:ilvl w:val="0"/>
          <w:numId w:val="160"/>
        </w:numPr>
        <w:spacing w:before="0"/>
        <w:ind w:left="284" w:hanging="284"/>
      </w:pPr>
      <w:r w:rsidRPr="000507BB">
        <w:t xml:space="preserve">The change in HELP loans issued is due to the inclusion of the HELP component of the measure: </w:t>
      </w:r>
      <w:r w:rsidRPr="00C55251">
        <w:rPr>
          <w:i/>
        </w:rPr>
        <w:t>Expanding Opportunity – expansion of the demand driven system and sharing the cost fairly</w:t>
      </w:r>
      <w:r w:rsidRPr="000507BB">
        <w:t xml:space="preserve">. </w:t>
      </w:r>
    </w:p>
    <w:p w:rsidR="000B5C96" w:rsidRPr="000507BB" w:rsidRDefault="000B5C96" w:rsidP="00045DB2">
      <w:pPr>
        <w:pStyle w:val="Footnotes"/>
        <w:keepNext/>
        <w:keepLines/>
        <w:numPr>
          <w:ilvl w:val="0"/>
          <w:numId w:val="160"/>
        </w:numPr>
        <w:spacing w:before="0"/>
        <w:ind w:left="284" w:hanging="284"/>
      </w:pPr>
      <w:r w:rsidRPr="000507BB">
        <w:t xml:space="preserve">PDI is calculated only on the reversal of the measure: </w:t>
      </w:r>
      <w:r w:rsidRPr="00C55251">
        <w:rPr>
          <w:i/>
        </w:rPr>
        <w:t>Expanding Opportunity – expansion of the demand driven system and sharing the cost fairly</w:t>
      </w:r>
      <w:r w:rsidRPr="000507BB">
        <w:t>.</w:t>
      </w:r>
    </w:p>
    <w:p w:rsidR="000B5C96" w:rsidRPr="000507BB" w:rsidRDefault="000B5C96" w:rsidP="003F606A">
      <w:pPr>
        <w:pStyle w:val="Footnotes"/>
        <w:keepNext/>
        <w:keepLines/>
        <w:numPr>
          <w:ilvl w:val="0"/>
          <w:numId w:val="0"/>
        </w:numPr>
        <w:ind w:left="284" w:hanging="284"/>
      </w:pPr>
      <w:r w:rsidRPr="000507BB">
        <w:t>..</w:t>
      </w:r>
      <w:r w:rsidRPr="000507BB">
        <w:tab/>
        <w:t>Not zero but rounded to zero.</w:t>
      </w:r>
    </w:p>
    <w:p w:rsidR="000B5C96" w:rsidRPr="000507BB" w:rsidRDefault="000B5C96" w:rsidP="000B5C96">
      <w:pPr>
        <w:pStyle w:val="Footnotes"/>
        <w:numPr>
          <w:ilvl w:val="0"/>
          <w:numId w:val="114"/>
        </w:numPr>
        <w:ind w:left="284" w:hanging="284"/>
      </w:pPr>
      <w:r w:rsidRPr="000507BB">
        <w:t>Indicates nil.</w:t>
      </w:r>
    </w:p>
    <w:p w:rsidR="000B5C96" w:rsidRDefault="000B5C96" w:rsidP="003F606A">
      <w:pPr>
        <w:pStyle w:val="BodyText"/>
      </w:pPr>
    </w:p>
    <w:p w:rsidR="000B5C96" w:rsidRDefault="000B5C96" w:rsidP="003F606A">
      <w:pPr>
        <w:pStyle w:val="BodyText"/>
        <w:sectPr w:rsidR="000B5C96" w:rsidSect="003F606A">
          <w:headerReference w:type="even" r:id="rId323"/>
          <w:headerReference w:type="default" r:id="rId324"/>
          <w:footerReference w:type="even" r:id="rId325"/>
          <w:footerReference w:type="default" r:id="rId326"/>
          <w:footnotePr>
            <w:numRestart w:val="eachSect"/>
          </w:footnotePr>
          <w:pgSz w:w="16839" w:h="11907" w:orient="landscape" w:code="9"/>
          <w:pgMar w:top="1361" w:right="1797" w:bottom="1474" w:left="1797" w:header="283" w:footer="454" w:gutter="0"/>
          <w:cols w:space="708"/>
          <w:docGrid w:linePitch="360"/>
        </w:sectPr>
      </w:pPr>
    </w:p>
    <w:p w:rsidR="000B5C96" w:rsidRDefault="000B5C96" w:rsidP="003F606A">
      <w:pPr>
        <w:pStyle w:val="Heading5"/>
        <w:spacing w:before="0"/>
      </w:pPr>
      <w:bookmarkStart w:id="127" w:name="_Toc457979351"/>
      <w:bookmarkStart w:id="128" w:name="_Toc458069209"/>
      <w:r>
        <w:t>GRN034: Reducing the HECS Burden</w:t>
      </w:r>
      <w:bookmarkEnd w:id="127"/>
      <w:bookmarkEnd w:id="128"/>
    </w:p>
    <w:p w:rsidR="000B5C96" w:rsidRPr="009C09D3" w:rsidRDefault="000B5C96" w:rsidP="003F606A">
      <w:pPr>
        <w:pStyle w:val="BodyText"/>
      </w:pPr>
      <w:r w:rsidRPr="009C09D3">
        <w:rPr>
          <w:noProof/>
          <w:lang w:eastAsia="en-AU"/>
        </w:rPr>
        <w:drawing>
          <wp:inline distT="0" distB="0" distL="0" distR="0" wp14:anchorId="548DBA56" wp14:editId="5C3262A3">
            <wp:extent cx="2696845" cy="572135"/>
            <wp:effectExtent l="0" t="0" r="8255" b="0"/>
            <wp:docPr id="23" name="Picture 2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4A1655" w:rsidRDefault="000B5C96" w:rsidP="000B5C96">
      <w:pPr>
        <w:pStyle w:val="Heading6"/>
        <w:numPr>
          <w:ilvl w:val="0"/>
          <w:numId w:val="5"/>
        </w:numPr>
        <w:tabs>
          <w:tab w:val="clear" w:pos="0"/>
          <w:tab w:val="num" w:pos="360"/>
          <w:tab w:val="right" w:pos="1418"/>
          <w:tab w:val="right" w:pos="1701"/>
          <w:tab w:val="right" w:pos="1985"/>
        </w:tabs>
      </w:pPr>
      <w:r w:rsidRPr="004A1655">
        <w:t>Policy costing—during the caretaker period for the 2016 general election</w:t>
      </w:r>
    </w:p>
    <w:tbl>
      <w:tblPr>
        <w:tblStyle w:val="Style11"/>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862AB8" w:rsidRDefault="000B5C96" w:rsidP="003F606A">
            <w:pPr>
              <w:pStyle w:val="PullOutBoxHeading"/>
              <w:rPr>
                <w:b/>
                <w:sz w:val="22"/>
              </w:rPr>
            </w:pPr>
            <w:r w:rsidRPr="00862AB8">
              <w:rPr>
                <w:b/>
                <w:sz w:val="22"/>
              </w:rPr>
              <w:t>Name of proposal:</w:t>
            </w:r>
          </w:p>
        </w:tc>
        <w:tc>
          <w:tcPr>
            <w:tcW w:w="5335" w:type="dxa"/>
          </w:tcPr>
          <w:p w:rsidR="000B5C96" w:rsidRPr="00862AB8" w:rsidRDefault="000B5C96" w:rsidP="003F606A">
            <w:pPr>
              <w:pStyle w:val="PullOutBoxHeading"/>
              <w:rPr>
                <w:b/>
                <w:sz w:val="22"/>
              </w:rPr>
            </w:pPr>
            <w:r w:rsidRPr="00862AB8">
              <w:rPr>
                <w:b/>
                <w:sz w:val="22"/>
              </w:rPr>
              <w:t>Reducing Student Debt</w:t>
            </w:r>
          </w:p>
        </w:tc>
      </w:tr>
      <w:tr w:rsidR="000B5C96" w:rsidRPr="004A1655" w:rsidTr="003F606A">
        <w:tc>
          <w:tcPr>
            <w:tcW w:w="3005" w:type="dxa"/>
          </w:tcPr>
          <w:p w:rsidR="000B5C96" w:rsidRPr="004A1655" w:rsidRDefault="000B5C96" w:rsidP="003F606A">
            <w:pPr>
              <w:pStyle w:val="PullOutBoxBodyText"/>
            </w:pPr>
            <w:r w:rsidRPr="004A1655">
              <w:t>Summary of proposal:</w:t>
            </w:r>
          </w:p>
        </w:tc>
        <w:tc>
          <w:tcPr>
            <w:tcW w:w="5335" w:type="dxa"/>
          </w:tcPr>
          <w:p w:rsidR="000B5C96" w:rsidRPr="004A1655" w:rsidRDefault="000B5C96" w:rsidP="003F606A">
            <w:pPr>
              <w:pStyle w:val="PullOutBoxBodyText"/>
            </w:pPr>
            <w:r w:rsidRPr="004A1655">
              <w:t>The proposal would amend the Higher Education Loan Program (HELP), with the intention of reducing the debt level of students accessing HECS-HELP.  Students eligible to pay their tuition fees through HECS-HELP would have their tuition fees reduced by 20 per cent, with the Government covering the shortfall by paying the universities directly, from 1 January 2017.</w:t>
            </w:r>
          </w:p>
        </w:tc>
      </w:tr>
      <w:tr w:rsidR="000B5C96" w:rsidRPr="004A1655" w:rsidTr="003F606A">
        <w:tc>
          <w:tcPr>
            <w:tcW w:w="3005" w:type="dxa"/>
          </w:tcPr>
          <w:p w:rsidR="000B5C96" w:rsidRPr="004A1655" w:rsidRDefault="000B5C96" w:rsidP="003F606A">
            <w:pPr>
              <w:pStyle w:val="PullOutBoxBodyText"/>
            </w:pPr>
            <w:r w:rsidRPr="004A1655">
              <w:t>Person/party requesting costing:</w:t>
            </w:r>
          </w:p>
        </w:tc>
        <w:tc>
          <w:tcPr>
            <w:tcW w:w="5335" w:type="dxa"/>
          </w:tcPr>
          <w:p w:rsidR="000B5C96" w:rsidRPr="004A1655" w:rsidRDefault="000B5C96" w:rsidP="003F606A">
            <w:pPr>
              <w:pStyle w:val="PullOutBoxBodyText"/>
            </w:pPr>
            <w:r w:rsidRPr="004A1655">
              <w:t>Senator Richard Di Natale, Australian Greens</w:t>
            </w:r>
          </w:p>
        </w:tc>
      </w:tr>
      <w:tr w:rsidR="000B5C96" w:rsidRPr="004A1655" w:rsidTr="003F606A">
        <w:tc>
          <w:tcPr>
            <w:tcW w:w="3005" w:type="dxa"/>
          </w:tcPr>
          <w:p w:rsidR="000B5C96" w:rsidRPr="004A1655" w:rsidRDefault="000B5C96" w:rsidP="003F606A">
            <w:pPr>
              <w:pStyle w:val="PullOutBoxBodyText"/>
            </w:pPr>
            <w:r w:rsidRPr="004A1655">
              <w:t>Date of public release of policy:</w:t>
            </w:r>
          </w:p>
        </w:tc>
        <w:tc>
          <w:tcPr>
            <w:tcW w:w="5335" w:type="dxa"/>
          </w:tcPr>
          <w:p w:rsidR="000B5C96" w:rsidRPr="004A1655" w:rsidRDefault="000B5C96" w:rsidP="003F606A">
            <w:pPr>
              <w:pStyle w:val="PullOutBoxBodyText"/>
            </w:pPr>
            <w:r w:rsidRPr="004A1655">
              <w:t>26 April 2016</w:t>
            </w:r>
          </w:p>
          <w:p w:rsidR="000B5C96" w:rsidRPr="004A1655" w:rsidRDefault="00E46526" w:rsidP="003F606A">
            <w:pPr>
              <w:pStyle w:val="PullOutBoxBodyText"/>
            </w:pPr>
            <w:hyperlink r:id="rId327" w:history="1">
              <w:r w:rsidR="000B5C96" w:rsidRPr="004A1655">
                <w:rPr>
                  <w:color w:val="0000FF"/>
                  <w:u w:val="single"/>
                </w:rPr>
                <w:t>http://greens.org.au/news/sa/greens-proposal-reduces-student-debt-burden</w:t>
              </w:r>
            </w:hyperlink>
          </w:p>
        </w:tc>
      </w:tr>
      <w:tr w:rsidR="000B5C96" w:rsidRPr="004A1655" w:rsidTr="003F606A">
        <w:tc>
          <w:tcPr>
            <w:tcW w:w="3005" w:type="dxa"/>
          </w:tcPr>
          <w:p w:rsidR="000B5C96" w:rsidRPr="004A1655" w:rsidRDefault="000B5C96" w:rsidP="003F606A">
            <w:pPr>
              <w:pStyle w:val="PullOutBoxBodyText"/>
            </w:pPr>
            <w:r w:rsidRPr="004A1655">
              <w:t>Date costing request received:</w:t>
            </w:r>
          </w:p>
        </w:tc>
        <w:tc>
          <w:tcPr>
            <w:tcW w:w="5335" w:type="dxa"/>
          </w:tcPr>
          <w:p w:rsidR="000B5C96" w:rsidRPr="004A1655" w:rsidRDefault="000B5C96" w:rsidP="003F606A">
            <w:pPr>
              <w:pStyle w:val="PullOutBoxBodyText"/>
            </w:pPr>
            <w:r w:rsidRPr="004A1655">
              <w:t>28 June 2016</w:t>
            </w:r>
          </w:p>
        </w:tc>
      </w:tr>
      <w:tr w:rsidR="000B5C96" w:rsidRPr="004A1655" w:rsidTr="003F606A">
        <w:tc>
          <w:tcPr>
            <w:tcW w:w="3005" w:type="dxa"/>
          </w:tcPr>
          <w:p w:rsidR="000B5C96" w:rsidRPr="004A1655" w:rsidRDefault="000B5C96" w:rsidP="003F606A">
            <w:pPr>
              <w:pStyle w:val="PullOutBoxBodyText"/>
            </w:pPr>
            <w:r w:rsidRPr="004A1655">
              <w:t>Date costing completed:</w:t>
            </w:r>
          </w:p>
        </w:tc>
        <w:tc>
          <w:tcPr>
            <w:tcW w:w="5335" w:type="dxa"/>
          </w:tcPr>
          <w:p w:rsidR="000B5C96" w:rsidRPr="004A1655" w:rsidRDefault="000B5C96" w:rsidP="003F606A">
            <w:pPr>
              <w:pStyle w:val="PullOutBoxBodyText"/>
            </w:pPr>
            <w:r w:rsidRPr="004A1655">
              <w:t>28 June 2016</w:t>
            </w:r>
          </w:p>
        </w:tc>
      </w:tr>
      <w:tr w:rsidR="000B5C96" w:rsidRPr="004A1655" w:rsidTr="003F606A">
        <w:tc>
          <w:tcPr>
            <w:tcW w:w="3005" w:type="dxa"/>
          </w:tcPr>
          <w:p w:rsidR="000B5C96" w:rsidRPr="004A1655" w:rsidRDefault="000B5C96" w:rsidP="003F606A">
            <w:pPr>
              <w:pStyle w:val="PullOutBoxBodyText"/>
            </w:pPr>
            <w:r w:rsidRPr="004A1655">
              <w:t>Expiry date for the costing:</w:t>
            </w:r>
          </w:p>
        </w:tc>
        <w:tc>
          <w:tcPr>
            <w:tcW w:w="5335" w:type="dxa"/>
          </w:tcPr>
          <w:p w:rsidR="000B5C96" w:rsidRPr="004A1655" w:rsidRDefault="000B5C96" w:rsidP="003F606A">
            <w:pPr>
              <w:pStyle w:val="PullOutBoxBodyText"/>
            </w:pPr>
            <w:r w:rsidRPr="004A1655">
              <w:t>Release of the next economic and fiscal outlook report</w:t>
            </w:r>
          </w:p>
        </w:tc>
      </w:tr>
    </w:tbl>
    <w:p w:rsidR="000B5C96" w:rsidRPr="00D7096D" w:rsidRDefault="000B5C96" w:rsidP="003F606A">
      <w:pPr>
        <w:pStyle w:val="CostingsH7"/>
      </w:pPr>
      <w:r w:rsidRPr="00D7096D">
        <w:t>Costing overview</w:t>
      </w:r>
    </w:p>
    <w:p w:rsidR="000B5C96" w:rsidRPr="004A1655" w:rsidRDefault="000B5C96" w:rsidP="003F606A">
      <w:pPr>
        <w:pStyle w:val="BodyText"/>
      </w:pPr>
      <w:r w:rsidRPr="004A1655">
        <w:t>The proposal would be expected to decrease the fiscal balance by $3,330 million, decrease the underlying cash balance by $3,580 million, and decrease the headline cash balanc</w:t>
      </w:r>
      <w:r>
        <w:t>e by $60 </w:t>
      </w:r>
      <w:r w:rsidRPr="004A1655">
        <w:t>million over the 2016</w:t>
      </w:r>
      <w:r>
        <w:t>-</w:t>
      </w:r>
      <w:r w:rsidRPr="004A1655">
        <w:t>17 Budget forward estimates period.  The impact is entirely due to an increase in administered expenses.</w:t>
      </w:r>
    </w:p>
    <w:p w:rsidR="000B5C96" w:rsidRPr="004A1655" w:rsidRDefault="000B5C96" w:rsidP="003F606A">
      <w:pPr>
        <w:pStyle w:val="BodyText"/>
      </w:pPr>
      <w:r w:rsidRPr="004A1655">
        <w:t>The proposal would not be expected to result in additional departmental expenditures because the administration of HELP and the Commonwealth Grant Scheme (CGS) would remain largely unchanged.</w:t>
      </w:r>
    </w:p>
    <w:p w:rsidR="000B5C96" w:rsidRPr="004A1655" w:rsidRDefault="000B5C96" w:rsidP="003F606A">
      <w:pPr>
        <w:pStyle w:val="BodyText"/>
      </w:pPr>
      <w:r w:rsidRPr="004A1655">
        <w:t>The disaggregated financial impacts of the proposal over the period 2016</w:t>
      </w:r>
      <w:r w:rsidRPr="004A1655">
        <w:noBreakHyphen/>
        <w:t>17 to 2026</w:t>
      </w:r>
      <w:r w:rsidRPr="004A1655">
        <w:noBreakHyphen/>
        <w:t xml:space="preserve">27 are provided at </w:t>
      </w:r>
      <w:r w:rsidRPr="004A1655">
        <w:rPr>
          <w:u w:val="single"/>
        </w:rPr>
        <w:t>Attachment A</w:t>
      </w:r>
      <w:r w:rsidRPr="004A1655">
        <w:t>.</w:t>
      </w:r>
    </w:p>
    <w:p w:rsidR="000B5C96" w:rsidRPr="004A1655" w:rsidRDefault="000B5C96" w:rsidP="003F606A">
      <w:pPr>
        <w:pStyle w:val="BodyText"/>
        <w:keepNext/>
        <w:keepLines/>
      </w:pPr>
      <w:r w:rsidRPr="004A1655">
        <w:t xml:space="preserve">As the proposal involves the transaction of financial assets in the form of a lower value of HELP loans being issued, the Public Debt Interest (PDI) impact of the proposal has been included in the overall financial impacts of the proposal.  The Methodology section outlines how impacts on each budget balance are estimated, and a note on the accounting treatment of income contingent loans is included at </w:t>
      </w:r>
      <w:r w:rsidRPr="004A1655">
        <w:rPr>
          <w:u w:val="single"/>
        </w:rPr>
        <w:t>Attachment B</w:t>
      </w:r>
      <w:r w:rsidRPr="004A1655">
        <w:t>.</w:t>
      </w:r>
    </w:p>
    <w:p w:rsidR="000B5C96" w:rsidRPr="004A1655" w:rsidRDefault="000B5C96" w:rsidP="003F606A">
      <w:pPr>
        <w:pStyle w:val="BodyText"/>
        <w:rPr>
          <w:b/>
          <w:bCs/>
        </w:rPr>
      </w:pPr>
      <w:r w:rsidRPr="004A1655">
        <w:t>This costing is considered to be of low to medium reliability as the behavioural responses of students to this proposal are uncertain.  The reliability of estimates diminishes the further out projections are made, as the forecast becomes more uncertain.</w:t>
      </w:r>
    </w:p>
    <w:p w:rsidR="000B5C96" w:rsidRPr="004A1655" w:rsidRDefault="000B5C96" w:rsidP="003F606A">
      <w:pPr>
        <w:pStyle w:val="Caption"/>
      </w:pPr>
      <w:r w:rsidRPr="004A1655">
        <w:t>Table 1: Financial implications (outturn prices)</w:t>
      </w:r>
      <w:r w:rsidRPr="004A1655">
        <w:rPr>
          <w:vertAlign w:val="superscript"/>
        </w:rPr>
        <w:t>(a)(b)</w:t>
      </w:r>
    </w:p>
    <w:tbl>
      <w:tblPr>
        <w:tblStyle w:val="TableGrid9"/>
        <w:tblW w:w="4993" w:type="pct"/>
        <w:tblInd w:w="0" w:type="dxa"/>
        <w:tblLook w:val="04A0" w:firstRow="1" w:lastRow="0" w:firstColumn="1" w:lastColumn="0" w:noHBand="0" w:noVBand="1"/>
      </w:tblPr>
      <w:tblGrid>
        <w:gridCol w:w="2645"/>
        <w:gridCol w:w="1134"/>
        <w:gridCol w:w="1133"/>
        <w:gridCol w:w="1133"/>
        <w:gridCol w:w="1133"/>
        <w:gridCol w:w="1132"/>
      </w:tblGrid>
      <w:tr w:rsidR="000B5C96" w:rsidRPr="004A1655"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4A1655" w:rsidRDefault="000B5C96" w:rsidP="003F606A">
            <w:pPr>
              <w:keepNext/>
              <w:keepLines/>
              <w:spacing w:line="240" w:lineRule="auto"/>
              <w:ind w:left="57" w:right="57"/>
            </w:pPr>
            <w:r w:rsidRPr="004A1655">
              <w:t>Impact on ($m)</w:t>
            </w:r>
          </w:p>
        </w:tc>
        <w:tc>
          <w:tcPr>
            <w:tcW w:w="682" w:type="pct"/>
          </w:tcPr>
          <w:p w:rsidR="000B5C96" w:rsidRPr="004A1655"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4A1655">
              <w:t>2016–17</w:t>
            </w:r>
          </w:p>
        </w:tc>
        <w:tc>
          <w:tcPr>
            <w:tcW w:w="682" w:type="pct"/>
          </w:tcPr>
          <w:p w:rsidR="000B5C96" w:rsidRPr="004A1655"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4A1655">
              <w:t>2017–18</w:t>
            </w:r>
          </w:p>
        </w:tc>
        <w:tc>
          <w:tcPr>
            <w:tcW w:w="682" w:type="pct"/>
          </w:tcPr>
          <w:p w:rsidR="000B5C96" w:rsidRPr="004A1655"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4A1655">
              <w:t>2018–19</w:t>
            </w:r>
          </w:p>
        </w:tc>
        <w:tc>
          <w:tcPr>
            <w:tcW w:w="682" w:type="pct"/>
          </w:tcPr>
          <w:p w:rsidR="000B5C96" w:rsidRPr="004A1655"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rPr>
            </w:pPr>
            <w:r w:rsidRPr="004A1655">
              <w:t>2019–20</w:t>
            </w:r>
          </w:p>
        </w:tc>
        <w:tc>
          <w:tcPr>
            <w:tcW w:w="681" w:type="pct"/>
          </w:tcPr>
          <w:p w:rsidR="000B5C96" w:rsidRPr="004A1655"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rPr>
            </w:pPr>
            <w:r w:rsidRPr="004A1655">
              <w:rPr>
                <w:b/>
              </w:rPr>
              <w:t>Total</w:t>
            </w:r>
          </w:p>
        </w:tc>
      </w:tr>
      <w:tr w:rsidR="000B5C96" w:rsidRPr="004A1655"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4A1655" w:rsidRDefault="000B5C96" w:rsidP="003F606A">
            <w:pPr>
              <w:ind w:left="57" w:right="57"/>
            </w:pPr>
            <w:r w:rsidRPr="004A1655">
              <w:t>Fiscal balance ($m)</w:t>
            </w:r>
          </w:p>
        </w:tc>
        <w:tc>
          <w:tcPr>
            <w:tcW w:w="682" w:type="pct"/>
          </w:tcPr>
          <w:p w:rsidR="000B5C96" w:rsidRPr="004A1655"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A1655">
              <w:rPr>
                <w:rFonts w:ascii="Calibri" w:hAnsi="Calibri"/>
              </w:rPr>
              <w:t>-410.0</w:t>
            </w:r>
          </w:p>
        </w:tc>
        <w:tc>
          <w:tcPr>
            <w:tcW w:w="682" w:type="pct"/>
          </w:tcPr>
          <w:p w:rsidR="000B5C96" w:rsidRPr="004A1655"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A1655">
              <w:rPr>
                <w:rFonts w:ascii="Calibri" w:hAnsi="Calibri"/>
              </w:rPr>
              <w:t>-880.0</w:t>
            </w:r>
          </w:p>
        </w:tc>
        <w:tc>
          <w:tcPr>
            <w:tcW w:w="682" w:type="pct"/>
          </w:tcPr>
          <w:p w:rsidR="000B5C96" w:rsidRPr="004A1655"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A1655">
              <w:rPr>
                <w:rFonts w:ascii="Calibri" w:hAnsi="Calibri"/>
              </w:rPr>
              <w:t>-980.0</w:t>
            </w:r>
          </w:p>
        </w:tc>
        <w:tc>
          <w:tcPr>
            <w:tcW w:w="682" w:type="pct"/>
          </w:tcPr>
          <w:p w:rsidR="000B5C96" w:rsidRPr="004A1655"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A1655">
              <w:rPr>
                <w:rFonts w:ascii="Calibri" w:hAnsi="Calibri"/>
              </w:rPr>
              <w:t>-1,060.0</w:t>
            </w:r>
          </w:p>
        </w:tc>
        <w:tc>
          <w:tcPr>
            <w:tcW w:w="681" w:type="pct"/>
          </w:tcPr>
          <w:p w:rsidR="000B5C96" w:rsidRPr="004A1655"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A1655">
              <w:rPr>
                <w:rFonts w:ascii="Calibri" w:hAnsi="Calibri"/>
                <w:b/>
              </w:rPr>
              <w:t>-3,330.0</w:t>
            </w:r>
          </w:p>
        </w:tc>
      </w:tr>
      <w:tr w:rsidR="000B5C96" w:rsidRPr="004A1655"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4A1655" w:rsidRDefault="000B5C96" w:rsidP="003F606A">
            <w:pPr>
              <w:ind w:left="57" w:right="57"/>
            </w:pPr>
            <w:r w:rsidRPr="004A1655">
              <w:t>Underlying cash balance ($m)</w:t>
            </w:r>
          </w:p>
        </w:tc>
        <w:tc>
          <w:tcPr>
            <w:tcW w:w="682" w:type="pct"/>
          </w:tcPr>
          <w:p w:rsidR="000B5C96" w:rsidRPr="004A1655"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-460.0</w:t>
            </w:r>
          </w:p>
        </w:tc>
        <w:tc>
          <w:tcPr>
            <w:tcW w:w="682" w:type="pct"/>
          </w:tcPr>
          <w:p w:rsidR="000B5C96" w:rsidRPr="004A1655"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-960.0</w:t>
            </w:r>
          </w:p>
        </w:tc>
        <w:tc>
          <w:tcPr>
            <w:tcW w:w="682" w:type="pct"/>
          </w:tcPr>
          <w:p w:rsidR="000B5C96" w:rsidRPr="004A1655"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-1,050.0</w:t>
            </w:r>
          </w:p>
        </w:tc>
        <w:tc>
          <w:tcPr>
            <w:tcW w:w="682" w:type="pct"/>
          </w:tcPr>
          <w:p w:rsidR="000B5C96" w:rsidRPr="004A1655"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-1,110.0</w:t>
            </w:r>
          </w:p>
        </w:tc>
        <w:tc>
          <w:tcPr>
            <w:tcW w:w="681" w:type="pct"/>
          </w:tcPr>
          <w:p w:rsidR="000B5C96" w:rsidRPr="004A1655"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-3,580.0</w:t>
            </w:r>
          </w:p>
        </w:tc>
      </w:tr>
      <w:tr w:rsidR="000B5C96" w:rsidRPr="004A1655"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4A1655" w:rsidRDefault="000B5C96" w:rsidP="003F606A">
            <w:pPr>
              <w:ind w:left="57" w:right="57"/>
            </w:pPr>
            <w:r w:rsidRPr="004A1655">
              <w:t>Headline cash balance ($m)</w:t>
            </w:r>
          </w:p>
        </w:tc>
        <w:tc>
          <w:tcPr>
            <w:tcW w:w="682" w:type="pct"/>
          </w:tcPr>
          <w:p w:rsidR="000B5C96" w:rsidRPr="004A1655"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A1655">
              <w:rPr>
                <w:rFonts w:ascii="Calibri" w:hAnsi="Calibri"/>
              </w:rPr>
              <w:t>-</w:t>
            </w:r>
          </w:p>
        </w:tc>
        <w:tc>
          <w:tcPr>
            <w:tcW w:w="682" w:type="pct"/>
          </w:tcPr>
          <w:p w:rsidR="000B5C96" w:rsidRPr="004A1655"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A1655">
              <w:rPr>
                <w:rFonts w:ascii="Calibri" w:hAnsi="Calibri"/>
              </w:rPr>
              <w:t>-</w:t>
            </w:r>
          </w:p>
        </w:tc>
        <w:tc>
          <w:tcPr>
            <w:tcW w:w="682" w:type="pct"/>
          </w:tcPr>
          <w:p w:rsidR="000B5C96" w:rsidRPr="004A1655"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A1655">
              <w:rPr>
                <w:rFonts w:ascii="Calibri" w:hAnsi="Calibri"/>
              </w:rPr>
              <w:t>-10.0</w:t>
            </w:r>
          </w:p>
        </w:tc>
        <w:tc>
          <w:tcPr>
            <w:tcW w:w="682" w:type="pct"/>
          </w:tcPr>
          <w:p w:rsidR="000B5C96" w:rsidRPr="004A1655"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A1655">
              <w:rPr>
                <w:rFonts w:ascii="Calibri" w:hAnsi="Calibri"/>
              </w:rPr>
              <w:t>-50.0</w:t>
            </w:r>
          </w:p>
        </w:tc>
        <w:tc>
          <w:tcPr>
            <w:tcW w:w="681" w:type="pct"/>
          </w:tcPr>
          <w:p w:rsidR="000B5C96" w:rsidRPr="004A1655"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A1655">
              <w:rPr>
                <w:rFonts w:ascii="Calibri" w:hAnsi="Calibri"/>
                <w:b/>
              </w:rPr>
              <w:t>-60.0</w:t>
            </w:r>
          </w:p>
        </w:tc>
      </w:tr>
    </w:tbl>
    <w:p w:rsidR="000B5C96" w:rsidRPr="004A1655" w:rsidRDefault="000B5C96" w:rsidP="0045016F">
      <w:pPr>
        <w:pStyle w:val="Footnotes"/>
        <w:numPr>
          <w:ilvl w:val="0"/>
          <w:numId w:val="161"/>
        </w:numPr>
        <w:ind w:left="284" w:hanging="284"/>
      </w:pPr>
      <w:r w:rsidRPr="004A1655">
        <w:t>A positive number represents an increase in the relevant budget balance, a negative number represents a decrease.</w:t>
      </w:r>
    </w:p>
    <w:p w:rsidR="000B5C96" w:rsidRDefault="000B5C96" w:rsidP="0045016F">
      <w:pPr>
        <w:pStyle w:val="Footnotes"/>
        <w:numPr>
          <w:ilvl w:val="0"/>
          <w:numId w:val="161"/>
        </w:numPr>
        <w:ind w:left="284" w:hanging="284"/>
      </w:pPr>
      <w:r w:rsidRPr="004A1655">
        <w:t>Figures may not sum to totals due to rounding.</w:t>
      </w:r>
    </w:p>
    <w:p w:rsidR="000B5C96" w:rsidRPr="004A1655" w:rsidRDefault="000B5C96" w:rsidP="000B5C96">
      <w:pPr>
        <w:pStyle w:val="Footnotes"/>
        <w:numPr>
          <w:ilvl w:val="0"/>
          <w:numId w:val="114"/>
        </w:numPr>
        <w:ind w:left="284" w:hanging="284"/>
      </w:pPr>
      <w:r>
        <w:t>Indicates nil.</w:t>
      </w:r>
    </w:p>
    <w:p w:rsidR="000B5C96" w:rsidRPr="00D7096D" w:rsidRDefault="000B5C96" w:rsidP="003F606A">
      <w:pPr>
        <w:pStyle w:val="CostingsH7"/>
      </w:pPr>
      <w:r w:rsidRPr="00D7096D">
        <w:t>Key assumptions</w:t>
      </w:r>
    </w:p>
    <w:p w:rsidR="000B5C96" w:rsidRPr="004A1655" w:rsidRDefault="000B5C96" w:rsidP="003F606A">
      <w:pPr>
        <w:pStyle w:val="BodyText"/>
      </w:pPr>
      <w:r w:rsidRPr="004A1655">
        <w:t>In costing this proposal, the following assumptions have been made:</w:t>
      </w:r>
    </w:p>
    <w:p w:rsidR="000B5C96" w:rsidRPr="00422621" w:rsidRDefault="000B5C96" w:rsidP="000B5C96">
      <w:pPr>
        <w:pStyle w:val="ListBullet"/>
        <w:keepLines w:val="0"/>
        <w:numPr>
          <w:ilvl w:val="0"/>
          <w:numId w:val="2"/>
        </w:numPr>
        <w:spacing w:before="113"/>
        <w:ind w:left="454" w:hanging="454"/>
        <w:rPr>
          <w:lang w:eastAsia="en-AU"/>
        </w:rPr>
      </w:pPr>
      <w:r w:rsidRPr="00422621">
        <w:rPr>
          <w:lang w:eastAsia="en-AU"/>
        </w:rPr>
        <w:t>The proposal would not impact on the number of students undertaking higher education.  If the proposal did cause student numbers to increase, the cost of this proposal would increase, due to both an increase in higher education funding and other related government expenses which are driven, in part, by the number of higher education students.</w:t>
      </w:r>
    </w:p>
    <w:p w:rsidR="000B5C96" w:rsidRPr="00422621" w:rsidRDefault="000B5C96" w:rsidP="000B5C96">
      <w:pPr>
        <w:pStyle w:val="ListBullet"/>
        <w:keepLines w:val="0"/>
        <w:numPr>
          <w:ilvl w:val="0"/>
          <w:numId w:val="2"/>
        </w:numPr>
        <w:spacing w:before="113"/>
        <w:ind w:left="454" w:hanging="454"/>
        <w:rPr>
          <w:lang w:eastAsia="en-AU"/>
        </w:rPr>
      </w:pPr>
      <w:r w:rsidRPr="00422621">
        <w:rPr>
          <w:lang w:eastAsia="en-AU"/>
        </w:rPr>
        <w:t>Students currently projected to make upfront payments for their studies have been adjusted to reflect that a proportion of them would instead take out a HECS-HELP loan to take advantage of the proposal.</w:t>
      </w:r>
    </w:p>
    <w:p w:rsidR="000B5C96" w:rsidRPr="00D7096D" w:rsidRDefault="000B5C96" w:rsidP="003F606A">
      <w:pPr>
        <w:pStyle w:val="CostingsH7"/>
      </w:pPr>
      <w:r w:rsidRPr="00D7096D">
        <w:t>Methodology</w:t>
      </w:r>
    </w:p>
    <w:p w:rsidR="000B5C96" w:rsidRPr="004A1655" w:rsidRDefault="000B5C96" w:rsidP="003F606A">
      <w:pPr>
        <w:pStyle w:val="BodyText"/>
      </w:pPr>
      <w:r w:rsidRPr="004A1655">
        <w:t>The Department of Education and Training’s 2016</w:t>
      </w:r>
      <w:r w:rsidRPr="004A1655">
        <w:noBreakHyphen/>
        <w:t>17 Budget forward estimates model for HELP was used to cost the proposal.  This model takes account of the decision of the Government in the 2016</w:t>
      </w:r>
      <w:r w:rsidRPr="004A1655">
        <w:noBreakHyphen/>
        <w:t>17 Budget not to proceed with the deregulation of university fees announced in the 2014</w:t>
      </w:r>
      <w:r w:rsidRPr="004A1655">
        <w:noBreakHyphen/>
        <w:t>15 Budget.</w:t>
      </w:r>
    </w:p>
    <w:p w:rsidR="000B5C96" w:rsidRPr="004A1655" w:rsidRDefault="000B5C96" w:rsidP="003F606A">
      <w:pPr>
        <w:pStyle w:val="BodyText"/>
      </w:pPr>
      <w:r w:rsidRPr="004A1655">
        <w:t>As per the proposal, reductions in HECS-HELP student contributions are offset exactly by an increase in CGS payments that are paid by the Government to universities.  The increase in CGS payments decreases the fiscal, underlying cash and headline cash balances.</w:t>
      </w:r>
    </w:p>
    <w:p w:rsidR="000B5C96" w:rsidRPr="004A1655" w:rsidRDefault="000B5C96" w:rsidP="003F606A">
      <w:pPr>
        <w:pStyle w:val="BodyText"/>
      </w:pPr>
      <w:r w:rsidRPr="004A1655">
        <w:t>The costing applies the reduction in HECS-HELP student contribution to the base funding estimates profile in the HELP model.  The HELP component of the proposal has the following impacts on budget balances:</w:t>
      </w:r>
    </w:p>
    <w:p w:rsidR="000B5C96" w:rsidRPr="004A1655" w:rsidRDefault="000B5C96" w:rsidP="003F606A">
      <w:pPr>
        <w:pStyle w:val="CostingsH8"/>
        <w:rPr>
          <w:rFonts w:eastAsia="Calibri"/>
        </w:rPr>
      </w:pPr>
      <w:r w:rsidRPr="004A1655">
        <w:rPr>
          <w:rFonts w:eastAsia="Calibri"/>
        </w:rPr>
        <w:t>Fiscal balance impact – components</w:t>
      </w:r>
    </w:p>
    <w:p w:rsidR="000B5C96" w:rsidRPr="00422621" w:rsidRDefault="000B5C96" w:rsidP="000B5C96">
      <w:pPr>
        <w:pStyle w:val="ListBullet"/>
        <w:keepLines w:val="0"/>
        <w:numPr>
          <w:ilvl w:val="0"/>
          <w:numId w:val="2"/>
        </w:numPr>
        <w:spacing w:before="113"/>
        <w:ind w:left="454" w:hanging="454"/>
        <w:rPr>
          <w:lang w:eastAsia="en-AU"/>
        </w:rPr>
      </w:pPr>
      <w:r w:rsidRPr="00422621">
        <w:rPr>
          <w:lang w:eastAsia="en-AU"/>
        </w:rPr>
        <w:t>Lower interest revenue from smaller HECS-HELP loans being issued has a negative impact on the fiscal balance.</w:t>
      </w:r>
    </w:p>
    <w:p w:rsidR="000B5C96" w:rsidRPr="00422621" w:rsidRDefault="000B5C96" w:rsidP="000B5C96">
      <w:pPr>
        <w:pStyle w:val="ListBullet"/>
        <w:keepLines w:val="0"/>
        <w:numPr>
          <w:ilvl w:val="0"/>
          <w:numId w:val="2"/>
        </w:numPr>
        <w:spacing w:before="113"/>
        <w:ind w:left="454" w:hanging="454"/>
        <w:rPr>
          <w:lang w:eastAsia="en-AU"/>
        </w:rPr>
      </w:pPr>
      <w:r w:rsidRPr="00422621">
        <w:rPr>
          <w:lang w:eastAsia="en-AU"/>
        </w:rPr>
        <w:t>Lower concessional loan discount expenses due to smaller HECS-HELP loans being issued have a positive impact on the fiscal balance.</w:t>
      </w:r>
    </w:p>
    <w:p w:rsidR="000B5C96" w:rsidRPr="00422621" w:rsidRDefault="000B5C96" w:rsidP="000B5C96">
      <w:pPr>
        <w:pStyle w:val="ListBullet"/>
        <w:keepLines w:val="0"/>
        <w:numPr>
          <w:ilvl w:val="0"/>
          <w:numId w:val="2"/>
        </w:numPr>
        <w:spacing w:before="113"/>
        <w:ind w:left="454" w:hanging="454"/>
        <w:rPr>
          <w:lang w:eastAsia="en-AU"/>
        </w:rPr>
      </w:pPr>
      <w:r w:rsidRPr="00422621">
        <w:rPr>
          <w:lang w:eastAsia="en-AU"/>
        </w:rPr>
        <w:t>Concessional loan discount unwinding revenue in later years offsets the reduced concessional loan discount expenses and has a negative impact on the fiscal balance.  Over the life of an individual loan, the concessional loan discount unwinding revenue is equal to the concessional loan discount expenses and results in a nil impact on the fiscal balance</w:t>
      </w:r>
      <w:r w:rsidRPr="004A1655">
        <w:rPr>
          <w:vertAlign w:val="superscript"/>
          <w:lang w:eastAsia="en-AU"/>
        </w:rPr>
        <w:footnoteReference w:id="8"/>
      </w:r>
      <w:r w:rsidRPr="00422621">
        <w:rPr>
          <w:lang w:eastAsia="en-AU"/>
        </w:rPr>
        <w:t>.</w:t>
      </w:r>
    </w:p>
    <w:p w:rsidR="000B5C96" w:rsidRPr="00422621" w:rsidRDefault="000B5C96" w:rsidP="000B5C96">
      <w:pPr>
        <w:pStyle w:val="ListBullet"/>
        <w:keepLines w:val="0"/>
        <w:numPr>
          <w:ilvl w:val="0"/>
          <w:numId w:val="2"/>
        </w:numPr>
        <w:spacing w:before="113"/>
        <w:ind w:left="454" w:hanging="454"/>
        <w:rPr>
          <w:lang w:eastAsia="en-AU"/>
        </w:rPr>
      </w:pPr>
      <w:r w:rsidRPr="00422621">
        <w:rPr>
          <w:lang w:eastAsia="en-AU"/>
        </w:rPr>
        <w:t>Reductions in write-downs of bad debts (due to smaller HECS-HELP loans being issued) have a positive impact on the fiscal balance.</w:t>
      </w:r>
    </w:p>
    <w:p w:rsidR="000B5C96" w:rsidRPr="00422621" w:rsidRDefault="000B5C96" w:rsidP="000B5C96">
      <w:pPr>
        <w:pStyle w:val="ListBullet"/>
        <w:keepLines w:val="0"/>
        <w:numPr>
          <w:ilvl w:val="0"/>
          <w:numId w:val="2"/>
        </w:numPr>
        <w:spacing w:before="113"/>
        <w:ind w:left="454" w:hanging="454"/>
        <w:rPr>
          <w:lang w:eastAsia="en-AU"/>
        </w:rPr>
      </w:pPr>
      <w:r w:rsidRPr="00422621">
        <w:rPr>
          <w:lang w:eastAsia="en-AU"/>
        </w:rPr>
        <w:t>Lower PDI expenses have a positive impact on the fiscal balance.</w:t>
      </w:r>
    </w:p>
    <w:p w:rsidR="000B5C96" w:rsidRPr="004A1655" w:rsidRDefault="000B5C96" w:rsidP="003F606A">
      <w:pPr>
        <w:pStyle w:val="CostingsH8"/>
        <w:rPr>
          <w:rFonts w:eastAsia="Calibri"/>
        </w:rPr>
      </w:pPr>
      <w:r w:rsidRPr="004A1655">
        <w:rPr>
          <w:rFonts w:eastAsia="Calibri"/>
        </w:rPr>
        <w:t>Underlying cash balance impact – components</w:t>
      </w:r>
    </w:p>
    <w:p w:rsidR="000B5C96" w:rsidRPr="004A1655" w:rsidRDefault="000B5C96" w:rsidP="000B5C96">
      <w:pPr>
        <w:pStyle w:val="ListBullet"/>
        <w:keepLines w:val="0"/>
        <w:numPr>
          <w:ilvl w:val="0"/>
          <w:numId w:val="2"/>
        </w:numPr>
        <w:spacing w:before="113"/>
        <w:ind w:left="454" w:hanging="454"/>
        <w:rPr>
          <w:lang w:eastAsia="en-AU"/>
        </w:rPr>
      </w:pPr>
      <w:r w:rsidRPr="004A1655">
        <w:rPr>
          <w:lang w:eastAsia="en-AU"/>
        </w:rPr>
        <w:t>Lower interest receipts from smaller HECS-HELP loans being issued have a negative impact on the underlying cash balance.</w:t>
      </w:r>
    </w:p>
    <w:p w:rsidR="000B5C96" w:rsidRPr="004A1655" w:rsidRDefault="000B5C96" w:rsidP="000B5C96">
      <w:pPr>
        <w:pStyle w:val="ListBullet"/>
        <w:keepLines w:val="0"/>
        <w:numPr>
          <w:ilvl w:val="0"/>
          <w:numId w:val="2"/>
        </w:numPr>
        <w:spacing w:before="113"/>
        <w:ind w:left="454" w:hanging="454"/>
        <w:rPr>
          <w:lang w:eastAsia="en-AU"/>
        </w:rPr>
      </w:pPr>
      <w:r w:rsidRPr="004A1655">
        <w:rPr>
          <w:lang w:eastAsia="en-AU"/>
        </w:rPr>
        <w:t>Lower PDI payments have a positive impact on the underlying cash balance.</w:t>
      </w:r>
    </w:p>
    <w:p w:rsidR="000B5C96" w:rsidRPr="004A1655" w:rsidRDefault="000B5C96" w:rsidP="003F606A">
      <w:pPr>
        <w:pStyle w:val="CostingsH8"/>
        <w:rPr>
          <w:rFonts w:eastAsia="Calibri"/>
        </w:rPr>
      </w:pPr>
      <w:r w:rsidRPr="004A1655">
        <w:rPr>
          <w:rFonts w:eastAsia="Calibri"/>
        </w:rPr>
        <w:t>Headline cash balance impact – components</w:t>
      </w:r>
    </w:p>
    <w:p w:rsidR="000B5C96" w:rsidRPr="004A1655" w:rsidRDefault="000B5C96" w:rsidP="000B5C96">
      <w:pPr>
        <w:pStyle w:val="ListBullet"/>
        <w:keepLines w:val="0"/>
        <w:numPr>
          <w:ilvl w:val="0"/>
          <w:numId w:val="2"/>
        </w:numPr>
        <w:spacing w:before="113"/>
        <w:ind w:left="454" w:hanging="454"/>
        <w:rPr>
          <w:lang w:eastAsia="en-AU"/>
        </w:rPr>
      </w:pPr>
      <w:r w:rsidRPr="004A1655">
        <w:rPr>
          <w:lang w:eastAsia="en-AU"/>
        </w:rPr>
        <w:t>Reduced borrowings by HECS-HELP students have a positive impact on the headline cash balance.</w:t>
      </w:r>
    </w:p>
    <w:p w:rsidR="000B5C96" w:rsidRPr="004A1655" w:rsidRDefault="000B5C96" w:rsidP="000B5C96">
      <w:pPr>
        <w:pStyle w:val="ListBullet"/>
        <w:keepLines w:val="0"/>
        <w:numPr>
          <w:ilvl w:val="0"/>
          <w:numId w:val="2"/>
        </w:numPr>
        <w:spacing w:before="113"/>
        <w:ind w:left="454" w:hanging="454"/>
        <w:rPr>
          <w:lang w:eastAsia="en-AU"/>
        </w:rPr>
      </w:pPr>
      <w:r w:rsidRPr="004A1655">
        <w:rPr>
          <w:lang w:eastAsia="en-AU"/>
        </w:rPr>
        <w:t>Lower principal repayments by HECS-HELP students have a negative impact on the headline cash balance.</w:t>
      </w:r>
    </w:p>
    <w:p w:rsidR="000B5C96" w:rsidRPr="004A1655" w:rsidRDefault="000B5C96" w:rsidP="000B5C96">
      <w:pPr>
        <w:pStyle w:val="ListBullet"/>
        <w:keepLines w:val="0"/>
        <w:numPr>
          <w:ilvl w:val="0"/>
          <w:numId w:val="2"/>
        </w:numPr>
        <w:spacing w:before="113"/>
        <w:ind w:left="454" w:hanging="454"/>
        <w:rPr>
          <w:lang w:eastAsia="en-AU"/>
        </w:rPr>
      </w:pPr>
      <w:r w:rsidRPr="004A1655">
        <w:rPr>
          <w:lang w:eastAsia="en-AU"/>
        </w:rPr>
        <w:t>Lower interest receipts from smaller HECS-HELP loans being issued have a negative impact on the headline cash balance.</w:t>
      </w:r>
    </w:p>
    <w:p w:rsidR="000B5C96" w:rsidRPr="004A1655" w:rsidRDefault="000B5C96" w:rsidP="000B5C96">
      <w:pPr>
        <w:pStyle w:val="ListBullet"/>
        <w:keepLines w:val="0"/>
        <w:numPr>
          <w:ilvl w:val="0"/>
          <w:numId w:val="2"/>
        </w:numPr>
        <w:spacing w:before="113"/>
        <w:ind w:left="454" w:hanging="454"/>
        <w:rPr>
          <w:lang w:eastAsia="en-AU"/>
        </w:rPr>
      </w:pPr>
      <w:r w:rsidRPr="004A1655">
        <w:rPr>
          <w:lang w:eastAsia="en-AU"/>
        </w:rPr>
        <w:t>Lower PDI payments have a positive impact on the headline cash balance.</w:t>
      </w:r>
    </w:p>
    <w:p w:rsidR="000B5C96" w:rsidRPr="004A1655" w:rsidRDefault="000B5C96" w:rsidP="003F606A">
      <w:pPr>
        <w:pStyle w:val="BodyText"/>
      </w:pPr>
      <w:r w:rsidRPr="004A1655">
        <w:t>The financial implication of the proposal is the total financial impact of its HELP and CGS components.  All estimates are rounded to the nearest $10 million.</w:t>
      </w:r>
    </w:p>
    <w:p w:rsidR="000B5C96" w:rsidRPr="004A1655" w:rsidRDefault="000B5C96" w:rsidP="003F606A">
      <w:pPr>
        <w:pStyle w:val="CostingsH7"/>
        <w:rPr>
          <w:rFonts w:eastAsia="Calibri"/>
        </w:rPr>
      </w:pPr>
      <w:r w:rsidRPr="004A1655">
        <w:rPr>
          <w:rFonts w:eastAsia="Calibri"/>
        </w:rPr>
        <w:t>Data sources</w:t>
      </w:r>
    </w:p>
    <w:p w:rsidR="000B5C96" w:rsidRPr="004A1655" w:rsidRDefault="000B5C96" w:rsidP="003F606A">
      <w:pPr>
        <w:pStyle w:val="BodyText"/>
      </w:pPr>
      <w:r w:rsidRPr="004A1655">
        <w:t>The Department of Education and Training provided the 2016</w:t>
      </w:r>
      <w:r w:rsidRPr="004A1655">
        <w:noBreakHyphen/>
        <w:t>17 HELP forward estimates model.</w:t>
      </w:r>
    </w:p>
    <w:p w:rsidR="000B5C96" w:rsidRPr="004A1655" w:rsidRDefault="000B5C96" w:rsidP="003F606A">
      <w:pPr>
        <w:spacing w:before="114" w:after="114"/>
        <w:rPr>
          <w:rFonts w:ascii="Calibri" w:eastAsia="Calibri" w:hAnsi="Calibri" w:cs="Times New Roman"/>
        </w:rPr>
      </w:pPr>
    </w:p>
    <w:p w:rsidR="000B5C96" w:rsidRPr="004A1655" w:rsidRDefault="000B5C96" w:rsidP="003F606A">
      <w:pPr>
        <w:spacing w:before="114" w:after="114"/>
        <w:rPr>
          <w:rFonts w:ascii="Calibri" w:eastAsia="Calibri" w:hAnsi="Calibri" w:cs="Times New Roman"/>
          <w:highlight w:val="yellow"/>
        </w:rPr>
        <w:sectPr w:rsidR="000B5C96" w:rsidRPr="004A1655" w:rsidSect="003F606A">
          <w:headerReference w:type="even" r:id="rId328"/>
          <w:headerReference w:type="default" r:id="rId329"/>
          <w:footerReference w:type="even" r:id="rId330"/>
          <w:footerReference w:type="default" r:id="rId331"/>
          <w:headerReference w:type="first" r:id="rId332"/>
          <w:footerReference w:type="first" r:id="rId333"/>
          <w:footnotePr>
            <w:numRestart w:val="eachSect"/>
          </w:footnotePr>
          <w:pgSz w:w="11906" w:h="16838"/>
          <w:pgMar w:top="1361" w:right="1797" w:bottom="1474" w:left="1797" w:header="283" w:footer="454" w:gutter="0"/>
          <w:cols w:space="708"/>
          <w:docGrid w:linePitch="360"/>
        </w:sectPr>
      </w:pPr>
    </w:p>
    <w:p w:rsidR="000B5C96" w:rsidRPr="004A1655" w:rsidRDefault="000B5C96" w:rsidP="000B5C96">
      <w:pPr>
        <w:pStyle w:val="Heading6"/>
        <w:numPr>
          <w:ilvl w:val="0"/>
          <w:numId w:val="5"/>
        </w:numPr>
        <w:tabs>
          <w:tab w:val="clear" w:pos="0"/>
          <w:tab w:val="num" w:pos="360"/>
          <w:tab w:val="right" w:pos="1418"/>
          <w:tab w:val="right" w:pos="1701"/>
          <w:tab w:val="right" w:pos="1985"/>
        </w:tabs>
      </w:pPr>
      <w:r w:rsidRPr="004A1655">
        <w:t>Attachment A: Reducing higher education contribution scheme (HECS) burden—financial implications</w:t>
      </w:r>
    </w:p>
    <w:p w:rsidR="000B5C96" w:rsidRPr="004A1655" w:rsidRDefault="000B5C96" w:rsidP="003F606A">
      <w:pPr>
        <w:pStyle w:val="Caption"/>
      </w:pPr>
      <w:r w:rsidRPr="004A1655">
        <w:t>Table A1: Reducing HECS-HELP student contributions by 20 per cent from 1 January 2017—Fiscal balance</w:t>
      </w:r>
      <w:r w:rsidRPr="004A1655">
        <w:rPr>
          <w:vertAlign w:val="superscript"/>
        </w:rPr>
        <w:t>(a)(b)</w:t>
      </w:r>
    </w:p>
    <w:tbl>
      <w:tblPr>
        <w:tblStyle w:val="TableGrid9"/>
        <w:tblW w:w="4967" w:type="pct"/>
        <w:tblInd w:w="0" w:type="dxa"/>
        <w:tblLook w:val="0680" w:firstRow="0" w:lastRow="0" w:firstColumn="1" w:lastColumn="0" w:noHBand="1" w:noVBand="1"/>
      </w:tblPr>
      <w:tblGrid>
        <w:gridCol w:w="2775"/>
        <w:gridCol w:w="798"/>
        <w:gridCol w:w="793"/>
        <w:gridCol w:w="795"/>
        <w:gridCol w:w="795"/>
        <w:gridCol w:w="793"/>
        <w:gridCol w:w="793"/>
        <w:gridCol w:w="795"/>
        <w:gridCol w:w="793"/>
        <w:gridCol w:w="793"/>
        <w:gridCol w:w="793"/>
        <w:gridCol w:w="793"/>
        <w:gridCol w:w="793"/>
        <w:gridCol w:w="866"/>
      </w:tblGrid>
      <w:tr w:rsidR="000B5C96" w:rsidRPr="004A1655" w:rsidTr="003F606A">
        <w:trPr>
          <w:cantSplit/>
          <w:tblHeader/>
        </w:trPr>
        <w:tc>
          <w:tcPr>
            <w:cnfStyle w:val="001000000000" w:firstRow="0" w:lastRow="0" w:firstColumn="1" w:lastColumn="0" w:oddVBand="0" w:evenVBand="0" w:oddHBand="0" w:evenHBand="0" w:firstRowFirstColumn="0" w:firstRowLastColumn="0" w:lastRowFirstColumn="0" w:lastRowLastColumn="0"/>
            <w:tcW w:w="1054" w:type="pct"/>
            <w:shd w:val="clear" w:color="auto" w:fill="D7DDE9"/>
          </w:tcPr>
          <w:p w:rsidR="000B5C96" w:rsidRPr="004A1655" w:rsidRDefault="000B5C96" w:rsidP="003F606A">
            <w:pPr>
              <w:keepNext/>
              <w:keepLines/>
              <w:ind w:left="57" w:right="57"/>
            </w:pPr>
            <w:r w:rsidRPr="004A1655">
              <w:t>($m)</w:t>
            </w:r>
          </w:p>
        </w:tc>
        <w:tc>
          <w:tcPr>
            <w:tcW w:w="303"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2016–17</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2017–18</w:t>
            </w:r>
          </w:p>
        </w:tc>
        <w:tc>
          <w:tcPr>
            <w:tcW w:w="302"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2018–19</w:t>
            </w:r>
          </w:p>
        </w:tc>
        <w:tc>
          <w:tcPr>
            <w:tcW w:w="302"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2019–20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Total to 2019–20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2020–21</w:t>
            </w:r>
          </w:p>
        </w:tc>
        <w:tc>
          <w:tcPr>
            <w:tcW w:w="302"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2021–22</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2022–23</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2023–24</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2024–25</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2025–26</w:t>
            </w:r>
          </w:p>
        </w:tc>
        <w:tc>
          <w:tcPr>
            <w:tcW w:w="300"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2026–27</w:t>
            </w:r>
          </w:p>
        </w:tc>
        <w:tc>
          <w:tcPr>
            <w:tcW w:w="332"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Total to 2026–27</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4" w:type="pct"/>
          </w:tcPr>
          <w:p w:rsidR="000B5C96" w:rsidRPr="004A1655" w:rsidRDefault="000B5C96" w:rsidP="003F606A">
            <w:pPr>
              <w:keepNext/>
              <w:keepLines/>
              <w:ind w:left="57" w:right="57"/>
            </w:pPr>
            <w:r w:rsidRPr="004A1655">
              <w:t>Commonwealth Grant Scheme expenses</w:t>
            </w:r>
          </w:p>
        </w:tc>
        <w:tc>
          <w:tcPr>
            <w:tcW w:w="303"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-460.0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-960.0</w:t>
            </w:r>
          </w:p>
        </w:tc>
        <w:tc>
          <w:tcPr>
            <w:tcW w:w="302"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-1,040.0</w:t>
            </w:r>
          </w:p>
        </w:tc>
        <w:tc>
          <w:tcPr>
            <w:tcW w:w="302"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-1,100.0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-3,570.0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-1,160.0</w:t>
            </w:r>
          </w:p>
        </w:tc>
        <w:tc>
          <w:tcPr>
            <w:tcW w:w="302"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-1,210.0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-1,270.0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-1,320.0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-1,380.0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-1,440.0</w:t>
            </w:r>
          </w:p>
        </w:tc>
        <w:tc>
          <w:tcPr>
            <w:tcW w:w="300"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-1,500.0</w:t>
            </w:r>
          </w:p>
        </w:tc>
        <w:tc>
          <w:tcPr>
            <w:tcW w:w="332"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-12,840.0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4994" w:type="pct"/>
            <w:gridSpan w:val="14"/>
          </w:tcPr>
          <w:p w:rsidR="000B5C96" w:rsidRPr="004A1655" w:rsidRDefault="000B5C96" w:rsidP="003F606A">
            <w:pPr>
              <w:keepNext/>
              <w:keepLines/>
              <w:ind w:left="57"/>
              <w:rPr>
                <w:i/>
              </w:rPr>
            </w:pPr>
            <w:r w:rsidRPr="004A1655">
              <w:t>Higher Education Loan Programme</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4" w:type="pct"/>
          </w:tcPr>
          <w:p w:rsidR="000B5C96" w:rsidRPr="004A1655" w:rsidRDefault="000B5C96" w:rsidP="003F606A">
            <w:pPr>
              <w:keepNext/>
              <w:keepLines/>
              <w:ind w:left="454" w:right="57"/>
              <w:rPr>
                <w:i/>
              </w:rPr>
            </w:pPr>
            <w:r w:rsidRPr="004A1655">
              <w:rPr>
                <w:i/>
              </w:rPr>
              <w:t>Concessional loan discount expense</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50.0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90.0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330.0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110.0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110.0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120.0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120.0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130.0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130.0</w:t>
            </w:r>
          </w:p>
        </w:tc>
        <w:tc>
          <w:tcPr>
            <w:tcW w:w="326"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1,140.0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4" w:type="pct"/>
          </w:tcPr>
          <w:p w:rsidR="000B5C96" w:rsidRPr="004A1655" w:rsidRDefault="000B5C96" w:rsidP="003F606A">
            <w:pPr>
              <w:keepNext/>
              <w:keepLines/>
              <w:ind w:left="454" w:right="57"/>
              <w:rPr>
                <w:i/>
              </w:rPr>
            </w:pPr>
            <w:r w:rsidRPr="004A1655">
              <w:rPr>
                <w:i/>
              </w:rPr>
              <w:t>Concessional loan discount unwinding revenue</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-20.0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-20.0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-30.0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-40.0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-50.0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-70.0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-80.0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-80.0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-90.0</w:t>
            </w:r>
          </w:p>
        </w:tc>
        <w:tc>
          <w:tcPr>
            <w:tcW w:w="326"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-470.0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4" w:type="pct"/>
          </w:tcPr>
          <w:p w:rsidR="000B5C96" w:rsidRPr="004A1655" w:rsidRDefault="000B5C96" w:rsidP="003F606A">
            <w:pPr>
              <w:keepNext/>
              <w:keepLines/>
              <w:ind w:left="227" w:right="57"/>
              <w:rPr>
                <w:i/>
              </w:rPr>
            </w:pPr>
            <w:r w:rsidRPr="004A1655">
              <w:rPr>
                <w:i/>
              </w:rPr>
              <w:t>Net concessional loan discount</w:t>
            </w:r>
            <w:r w:rsidRPr="004A1655">
              <w:rPr>
                <w:i/>
                <w:vertAlign w:val="superscript"/>
              </w:rPr>
              <w:t>(c)</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50.0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90.0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90.0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80.0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310.0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70.0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60.0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60.0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50.0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40.0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40.0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40.0</w:t>
            </w:r>
          </w:p>
        </w:tc>
        <w:tc>
          <w:tcPr>
            <w:tcW w:w="326"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670.0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4" w:type="pct"/>
          </w:tcPr>
          <w:p w:rsidR="000B5C96" w:rsidRPr="004A1655" w:rsidRDefault="000B5C96" w:rsidP="003F606A">
            <w:pPr>
              <w:keepNext/>
              <w:keepLines/>
              <w:ind w:left="227" w:right="57"/>
              <w:rPr>
                <w:i/>
              </w:rPr>
            </w:pPr>
            <w:r w:rsidRPr="004A1655">
              <w:rPr>
                <w:i/>
              </w:rPr>
              <w:t>Interest revenue accrued</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-20.0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-50.0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-80.0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-70.0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-90.0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-110.0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-130.0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-160.0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-180.0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-210.0</w:t>
            </w:r>
          </w:p>
        </w:tc>
        <w:tc>
          <w:tcPr>
            <w:tcW w:w="326"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-1,010.0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4" w:type="pct"/>
          </w:tcPr>
          <w:p w:rsidR="000B5C96" w:rsidRPr="004A1655" w:rsidRDefault="000B5C96" w:rsidP="003F606A">
            <w:pPr>
              <w:keepNext/>
              <w:keepLines/>
              <w:ind w:left="227" w:right="57"/>
              <w:rPr>
                <w:i/>
              </w:rPr>
            </w:pPr>
            <w:r w:rsidRPr="004A1655">
              <w:rPr>
                <w:i/>
              </w:rPr>
              <w:t>Loan write-downs</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26"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20.0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4" w:type="pct"/>
          </w:tcPr>
          <w:p w:rsidR="000B5C96" w:rsidRPr="004A1655" w:rsidRDefault="000B5C96" w:rsidP="003F606A">
            <w:pPr>
              <w:keepNext/>
              <w:keepLines/>
              <w:ind w:left="57" w:right="57"/>
            </w:pPr>
            <w:r w:rsidRPr="004A1655">
              <w:t>Public Debt Interest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-20.0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-40.0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-60.0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-80.0</w:t>
            </w:r>
          </w:p>
        </w:tc>
        <w:tc>
          <w:tcPr>
            <w:tcW w:w="301"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-110.0</w:t>
            </w:r>
          </w:p>
        </w:tc>
        <w:tc>
          <w:tcPr>
            <w:tcW w:w="326" w:type="pct"/>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-330.0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4" w:type="pct"/>
            <w:shd w:val="clear" w:color="auto" w:fill="D7DDE9"/>
          </w:tcPr>
          <w:p w:rsidR="000B5C96" w:rsidRPr="004A1655" w:rsidRDefault="000B5C96" w:rsidP="003F606A">
            <w:pPr>
              <w:keepNext/>
              <w:keepLines/>
              <w:ind w:left="57" w:right="57"/>
              <w:rPr>
                <w:b/>
              </w:rPr>
            </w:pPr>
            <w:r w:rsidRPr="004A1655">
              <w:rPr>
                <w:b/>
              </w:rPr>
              <w:t>Total impact</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-410.0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-880.0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-980.0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-1,060.0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-3,330.0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-1,160.0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-1,250.0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-1,340.0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-1,440.0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-1,540.0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-1,660.0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-1,780.0</w:t>
            </w:r>
          </w:p>
        </w:tc>
        <w:tc>
          <w:tcPr>
            <w:tcW w:w="326"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-13,500.0</w:t>
            </w:r>
          </w:p>
        </w:tc>
      </w:tr>
    </w:tbl>
    <w:p w:rsidR="000B5C96" w:rsidRPr="004A1655" w:rsidRDefault="000B5C96" w:rsidP="00D35174">
      <w:pPr>
        <w:pStyle w:val="Footnotes"/>
        <w:keepNext/>
        <w:keepLines/>
        <w:numPr>
          <w:ilvl w:val="0"/>
          <w:numId w:val="162"/>
        </w:numPr>
        <w:ind w:left="284" w:hanging="284"/>
      </w:pPr>
      <w:r w:rsidRPr="004A1655">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4A1655" w:rsidRDefault="000B5C96" w:rsidP="00D35174">
      <w:pPr>
        <w:pStyle w:val="Footnotes"/>
        <w:keepNext/>
        <w:keepLines/>
        <w:numPr>
          <w:ilvl w:val="0"/>
          <w:numId w:val="162"/>
        </w:numPr>
        <w:ind w:left="284" w:hanging="284"/>
      </w:pPr>
      <w:r w:rsidRPr="004A1655">
        <w:t>Figures may not sum to totals due to rounding.</w:t>
      </w:r>
    </w:p>
    <w:p w:rsidR="000B5C96" w:rsidRPr="004A1655" w:rsidRDefault="000B5C96" w:rsidP="00D35174">
      <w:pPr>
        <w:pStyle w:val="Footnotes"/>
        <w:keepNext/>
        <w:keepLines/>
        <w:numPr>
          <w:ilvl w:val="0"/>
          <w:numId w:val="162"/>
        </w:numPr>
        <w:ind w:left="284" w:hanging="284"/>
      </w:pPr>
      <w:r w:rsidRPr="004A1655">
        <w:t xml:space="preserve">Net concessional loan discount comprises the Concessional loan discount expense </w:t>
      </w:r>
      <w:r w:rsidRPr="004A1655">
        <w:rPr>
          <w:i/>
        </w:rPr>
        <w:t>less</w:t>
      </w:r>
      <w:r w:rsidRPr="004A1655">
        <w:t xml:space="preserve"> the Concessional loan discount unwinding revenue.</w:t>
      </w:r>
    </w:p>
    <w:p w:rsidR="000B5C96" w:rsidRPr="004A1655" w:rsidRDefault="000B5C96" w:rsidP="003F606A">
      <w:pPr>
        <w:pStyle w:val="Footnotes"/>
        <w:keepNext/>
        <w:keepLines/>
        <w:numPr>
          <w:ilvl w:val="0"/>
          <w:numId w:val="0"/>
        </w:numPr>
        <w:ind w:left="284" w:hanging="284"/>
      </w:pPr>
      <w:r w:rsidRPr="004A1655">
        <w:t>..</w:t>
      </w:r>
      <w:r w:rsidRPr="004A1655">
        <w:tab/>
        <w:t>Not zero but rounded to zero.</w:t>
      </w:r>
    </w:p>
    <w:p w:rsidR="000B5C96" w:rsidRPr="004A1655" w:rsidRDefault="000B5C96" w:rsidP="003F606A">
      <w:pPr>
        <w:pStyle w:val="Footnotes"/>
        <w:numPr>
          <w:ilvl w:val="0"/>
          <w:numId w:val="0"/>
        </w:numPr>
        <w:ind w:left="284" w:hanging="284"/>
      </w:pPr>
      <w:r w:rsidRPr="004A1655">
        <w:t>-</w:t>
      </w:r>
      <w:r w:rsidRPr="004A1655">
        <w:tab/>
        <w:t>Indicates nil.</w:t>
      </w:r>
    </w:p>
    <w:p w:rsidR="000B5C96" w:rsidRPr="004A1655" w:rsidRDefault="000B5C96" w:rsidP="003F606A">
      <w:pPr>
        <w:pStyle w:val="Caption"/>
      </w:pPr>
      <w:r w:rsidRPr="004A1655">
        <w:t xml:space="preserve">Table A2: Reducing HECS-HELP student contributions by 20 per cent from 1 January 2017 – Underlying cash balance </w:t>
      </w:r>
      <w:r w:rsidRPr="004A1655">
        <w:rPr>
          <w:vertAlign w:val="superscript"/>
        </w:rPr>
        <w:t>(a)(b)</w:t>
      </w:r>
    </w:p>
    <w:tbl>
      <w:tblPr>
        <w:tblStyle w:val="TableGrid9"/>
        <w:tblW w:w="4957" w:type="pct"/>
        <w:tblInd w:w="0" w:type="dxa"/>
        <w:tblLook w:val="0680" w:firstRow="0" w:lastRow="0" w:firstColumn="1" w:lastColumn="0" w:noHBand="1" w:noVBand="1"/>
      </w:tblPr>
      <w:tblGrid>
        <w:gridCol w:w="2774"/>
        <w:gridCol w:w="790"/>
        <w:gridCol w:w="791"/>
        <w:gridCol w:w="791"/>
        <w:gridCol w:w="791"/>
        <w:gridCol w:w="794"/>
        <w:gridCol w:w="794"/>
        <w:gridCol w:w="794"/>
        <w:gridCol w:w="794"/>
        <w:gridCol w:w="794"/>
        <w:gridCol w:w="794"/>
        <w:gridCol w:w="794"/>
        <w:gridCol w:w="794"/>
        <w:gridCol w:w="852"/>
      </w:tblGrid>
      <w:tr w:rsidR="000B5C96" w:rsidRPr="004A1655" w:rsidTr="003F606A">
        <w:trPr>
          <w:cantSplit/>
          <w:tblHeader/>
        </w:trPr>
        <w:tc>
          <w:tcPr>
            <w:cnfStyle w:val="001000000000" w:firstRow="0" w:lastRow="0" w:firstColumn="1" w:lastColumn="0" w:oddVBand="0" w:evenVBand="0" w:oddHBand="0" w:evenHBand="0" w:firstRowFirstColumn="0" w:firstRowLastColumn="0" w:lastRowFirstColumn="0" w:lastRowLastColumn="0"/>
            <w:tcW w:w="1056" w:type="pct"/>
            <w:shd w:val="clear" w:color="auto" w:fill="D7DDE9"/>
          </w:tcPr>
          <w:p w:rsidR="000B5C96" w:rsidRPr="004A1655" w:rsidRDefault="000B5C96" w:rsidP="003F606A">
            <w:pPr>
              <w:ind w:left="57" w:right="57"/>
            </w:pPr>
            <w:r w:rsidRPr="004A1655">
              <w:t>($m)</w:t>
            </w:r>
          </w:p>
        </w:tc>
        <w:tc>
          <w:tcPr>
            <w:tcW w:w="301"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2016–17</w:t>
            </w:r>
          </w:p>
        </w:tc>
        <w:tc>
          <w:tcPr>
            <w:tcW w:w="301"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2017–18</w:t>
            </w:r>
          </w:p>
        </w:tc>
        <w:tc>
          <w:tcPr>
            <w:tcW w:w="301"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2018–19</w:t>
            </w:r>
          </w:p>
        </w:tc>
        <w:tc>
          <w:tcPr>
            <w:tcW w:w="301"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2019–20</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Total to 2019–20</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2020–21</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2021–22</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2022–23</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2023–24</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2024–25</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2025–26</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2026–27</w:t>
            </w:r>
          </w:p>
        </w:tc>
        <w:tc>
          <w:tcPr>
            <w:tcW w:w="326"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Total to 2026–27</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6" w:type="pct"/>
          </w:tcPr>
          <w:p w:rsidR="000B5C96" w:rsidRPr="004A1655" w:rsidRDefault="000B5C96" w:rsidP="003F606A">
            <w:pPr>
              <w:ind w:left="57" w:right="57"/>
            </w:pPr>
            <w:r w:rsidRPr="004A1655">
              <w:t>Commonwealth Grant Scheme payments</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-460.0</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-960.0</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-1,040.0</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-1,100.0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-3,570.0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-1,160.0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-1,210.0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-1,270.0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-1,320.0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-1,380.0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-1,440.0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-1,500.0</w:t>
            </w:r>
          </w:p>
        </w:tc>
        <w:tc>
          <w:tcPr>
            <w:tcW w:w="326"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-12,840.0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4999" w:type="pct"/>
            <w:gridSpan w:val="14"/>
          </w:tcPr>
          <w:p w:rsidR="000B5C96" w:rsidRPr="004A1655" w:rsidRDefault="000B5C96" w:rsidP="003F606A">
            <w:pPr>
              <w:ind w:left="57" w:right="57"/>
            </w:pPr>
            <w:r w:rsidRPr="004A1655">
              <w:t>Higher Education Loan Programme</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6" w:type="pct"/>
          </w:tcPr>
          <w:p w:rsidR="000B5C96" w:rsidRPr="004A1655" w:rsidRDefault="000B5C96" w:rsidP="003F606A">
            <w:pPr>
              <w:ind w:left="227" w:right="57"/>
              <w:rPr>
                <w:i/>
              </w:rPr>
            </w:pPr>
            <w:r w:rsidRPr="004A1655">
              <w:rPr>
                <w:i/>
              </w:rPr>
              <w:t>Interest received</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-30.0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-40.0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-60.0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-70.0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-80.0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-90.0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-100.0</w:t>
            </w:r>
          </w:p>
        </w:tc>
        <w:tc>
          <w:tcPr>
            <w:tcW w:w="326"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-490.0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6" w:type="pct"/>
          </w:tcPr>
          <w:p w:rsidR="000B5C96" w:rsidRPr="004A1655" w:rsidRDefault="000B5C96" w:rsidP="003F606A">
            <w:pPr>
              <w:ind w:left="57" w:right="57"/>
            </w:pPr>
            <w:r w:rsidRPr="004A1655">
              <w:t>Public Debt Interest</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w:t>
            </w:r>
          </w:p>
        </w:tc>
        <w:tc>
          <w:tcPr>
            <w:tcW w:w="301"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-40.0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-60.0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-80.0</w:t>
            </w:r>
          </w:p>
        </w:tc>
        <w:tc>
          <w:tcPr>
            <w:tcW w:w="302"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-110.0</w:t>
            </w:r>
          </w:p>
        </w:tc>
        <w:tc>
          <w:tcPr>
            <w:tcW w:w="326" w:type="pct"/>
            <w:vAlign w:val="top"/>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-320.0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6" w:type="pct"/>
            <w:shd w:val="clear" w:color="auto" w:fill="D7DDE9"/>
          </w:tcPr>
          <w:p w:rsidR="000B5C96" w:rsidRPr="004A1655" w:rsidRDefault="000B5C96" w:rsidP="003F606A">
            <w:pPr>
              <w:ind w:left="57" w:right="57"/>
              <w:rPr>
                <w:b/>
              </w:rPr>
            </w:pPr>
            <w:r w:rsidRPr="004A1655">
              <w:rPr>
                <w:b/>
              </w:rPr>
              <w:t>Total impact</w:t>
            </w:r>
          </w:p>
        </w:tc>
        <w:tc>
          <w:tcPr>
            <w:tcW w:w="301"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-460.0</w:t>
            </w:r>
          </w:p>
        </w:tc>
        <w:tc>
          <w:tcPr>
            <w:tcW w:w="301"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-960.0</w:t>
            </w:r>
          </w:p>
        </w:tc>
        <w:tc>
          <w:tcPr>
            <w:tcW w:w="301"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-1,050.0</w:t>
            </w:r>
          </w:p>
        </w:tc>
        <w:tc>
          <w:tcPr>
            <w:tcW w:w="301"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-1,110.0</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-3,580.0</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-1,190.0</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-1,270.0</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-1,350.0</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-1,430.0</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-1,520.0</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-1,610.0</w:t>
            </w:r>
          </w:p>
        </w:tc>
        <w:tc>
          <w:tcPr>
            <w:tcW w:w="302"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-1,710.0</w:t>
            </w:r>
          </w:p>
        </w:tc>
        <w:tc>
          <w:tcPr>
            <w:tcW w:w="326" w:type="pct"/>
            <w:shd w:val="clear" w:color="auto" w:fill="D7DDE9"/>
          </w:tcPr>
          <w:p w:rsidR="000B5C96" w:rsidRPr="004A1655" w:rsidRDefault="000B5C96" w:rsidP="003F606A">
            <w:pPr>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-13,650.0</w:t>
            </w:r>
          </w:p>
        </w:tc>
      </w:tr>
    </w:tbl>
    <w:p w:rsidR="000B5C96" w:rsidRPr="004A1655" w:rsidRDefault="000B5C96" w:rsidP="00D35174">
      <w:pPr>
        <w:pStyle w:val="Footnotes"/>
        <w:numPr>
          <w:ilvl w:val="0"/>
          <w:numId w:val="163"/>
        </w:numPr>
        <w:ind w:left="284" w:hanging="284"/>
      </w:pPr>
      <w:r w:rsidRPr="004A1655">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4A1655" w:rsidRDefault="000B5C96" w:rsidP="00D35174">
      <w:pPr>
        <w:pStyle w:val="Footnotes"/>
        <w:numPr>
          <w:ilvl w:val="0"/>
          <w:numId w:val="163"/>
        </w:numPr>
        <w:ind w:left="284" w:hanging="284"/>
      </w:pPr>
      <w:r w:rsidRPr="004A1655">
        <w:t>Figures may not sum to totals due to rounding.</w:t>
      </w:r>
    </w:p>
    <w:p w:rsidR="000B5C96" w:rsidRPr="004A1655" w:rsidRDefault="000B5C96" w:rsidP="003F606A">
      <w:pPr>
        <w:pStyle w:val="Footnotes"/>
        <w:numPr>
          <w:ilvl w:val="0"/>
          <w:numId w:val="0"/>
        </w:numPr>
        <w:ind w:left="284" w:hanging="284"/>
      </w:pPr>
      <w:r w:rsidRPr="004A1655">
        <w:t>..</w:t>
      </w:r>
      <w:r w:rsidRPr="004A1655">
        <w:tab/>
        <w:t>Not zero but rounded to zero.</w:t>
      </w:r>
    </w:p>
    <w:p w:rsidR="000B5C96" w:rsidRPr="004A1655" w:rsidRDefault="000B5C96" w:rsidP="003F606A">
      <w:pPr>
        <w:pStyle w:val="Footnotes"/>
        <w:numPr>
          <w:ilvl w:val="0"/>
          <w:numId w:val="0"/>
        </w:numPr>
        <w:ind w:left="284" w:hanging="284"/>
      </w:pPr>
      <w:r w:rsidRPr="004A1655">
        <w:t>-</w:t>
      </w:r>
      <w:r w:rsidRPr="004A1655">
        <w:tab/>
        <w:t>Indicates nil.</w:t>
      </w:r>
    </w:p>
    <w:p w:rsidR="000B5C96" w:rsidRPr="004A1655" w:rsidRDefault="000B5C96" w:rsidP="003F606A">
      <w:pPr>
        <w:pStyle w:val="Caption"/>
      </w:pPr>
      <w:r w:rsidRPr="004A1655">
        <w:t xml:space="preserve">Table A3: Reducing HECS-HELP student contributions by 20 per cent from 1 January 2017 – Headline cash balance </w:t>
      </w:r>
      <w:r w:rsidRPr="004A1655">
        <w:rPr>
          <w:vertAlign w:val="superscript"/>
        </w:rPr>
        <w:t>(a)(b)</w:t>
      </w:r>
    </w:p>
    <w:tbl>
      <w:tblPr>
        <w:tblStyle w:val="TableGrid9"/>
        <w:tblW w:w="4966" w:type="pct"/>
        <w:tblInd w:w="0" w:type="dxa"/>
        <w:tblLook w:val="0680" w:firstRow="0" w:lastRow="0" w:firstColumn="1" w:lastColumn="0" w:noHBand="1" w:noVBand="1"/>
      </w:tblPr>
      <w:tblGrid>
        <w:gridCol w:w="2782"/>
        <w:gridCol w:w="792"/>
        <w:gridCol w:w="792"/>
        <w:gridCol w:w="792"/>
        <w:gridCol w:w="792"/>
        <w:gridCol w:w="792"/>
        <w:gridCol w:w="793"/>
        <w:gridCol w:w="793"/>
        <w:gridCol w:w="793"/>
        <w:gridCol w:w="793"/>
        <w:gridCol w:w="793"/>
        <w:gridCol w:w="793"/>
        <w:gridCol w:w="793"/>
        <w:gridCol w:w="872"/>
      </w:tblGrid>
      <w:tr w:rsidR="000B5C96" w:rsidRPr="004A1655" w:rsidTr="003F606A">
        <w:trPr>
          <w:cantSplit/>
          <w:tblHeader/>
        </w:trPr>
        <w:tc>
          <w:tcPr>
            <w:cnfStyle w:val="001000000000" w:firstRow="0" w:lastRow="0" w:firstColumn="1" w:lastColumn="0" w:oddVBand="0" w:evenVBand="0" w:oddHBand="0" w:evenHBand="0" w:firstRowFirstColumn="0" w:firstRowLastColumn="0" w:lastRowFirstColumn="0" w:lastRowLastColumn="0"/>
            <w:tcW w:w="1057" w:type="pct"/>
            <w:shd w:val="clear" w:color="auto" w:fill="D7DDE9"/>
          </w:tcPr>
          <w:p w:rsidR="000B5C96" w:rsidRPr="004A1655" w:rsidRDefault="000B5C96" w:rsidP="003F606A">
            <w:pPr>
              <w:keepNext/>
              <w:keepLines/>
              <w:ind w:left="57" w:right="57"/>
            </w:pPr>
            <w:r w:rsidRPr="004A1655">
              <w:t>($m)</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2016–17</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2017–18</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2018–19</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2019–20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Total to 2019–20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2020–21</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2021–22</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2022–23</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2023–24</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2024–25</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2025–26</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2026–27</w:t>
            </w:r>
          </w:p>
        </w:tc>
        <w:tc>
          <w:tcPr>
            <w:tcW w:w="33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Total to 2026–27</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7" w:type="pct"/>
          </w:tcPr>
          <w:p w:rsidR="000B5C96" w:rsidRPr="004A1655" w:rsidRDefault="000B5C96" w:rsidP="003F606A">
            <w:pPr>
              <w:keepNext/>
              <w:keepLines/>
              <w:ind w:left="57" w:right="57"/>
            </w:pPr>
            <w:r w:rsidRPr="004A1655">
              <w:t>Commonwealth Grant Scheme expenses</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-460.0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-960.0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-1,040.0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-1,100.0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-3,570.0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-1,160.0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-1,210.0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-1,270.0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-1,320.0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-1,380.0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-1,440.0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-1,500.0</w:t>
            </w:r>
          </w:p>
        </w:tc>
        <w:tc>
          <w:tcPr>
            <w:tcW w:w="33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-12,840.0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Pr>
          <w:p w:rsidR="000B5C96" w:rsidRPr="004A1655" w:rsidRDefault="000B5C96" w:rsidP="003F606A">
            <w:pPr>
              <w:keepNext/>
              <w:keepLines/>
              <w:ind w:left="57" w:right="57"/>
            </w:pPr>
            <w:r w:rsidRPr="004A1655">
              <w:t xml:space="preserve">Higher Education Loan Programme </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7" w:type="pct"/>
          </w:tcPr>
          <w:p w:rsidR="000B5C96" w:rsidRPr="004A1655" w:rsidRDefault="000B5C96" w:rsidP="003F606A">
            <w:pPr>
              <w:keepNext/>
              <w:keepLines/>
              <w:ind w:left="227" w:right="57"/>
              <w:rPr>
                <w:i/>
              </w:rPr>
            </w:pPr>
            <w:r w:rsidRPr="004A1655">
              <w:rPr>
                <w:i/>
              </w:rPr>
              <w:t>Loans issued</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460.0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960.0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1,040.0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1,100.0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3,570.0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1,160.0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1,210.0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1,270.0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1,320.0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1,380.0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1,440.0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1,500.0</w:t>
            </w:r>
          </w:p>
        </w:tc>
        <w:tc>
          <w:tcPr>
            <w:tcW w:w="33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12,840.0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7" w:type="pct"/>
          </w:tcPr>
          <w:p w:rsidR="000B5C96" w:rsidRPr="004A1655" w:rsidRDefault="000B5C96" w:rsidP="003F606A">
            <w:pPr>
              <w:keepNext/>
              <w:keepLines/>
              <w:ind w:left="227" w:right="57"/>
              <w:rPr>
                <w:i/>
              </w:rPr>
            </w:pPr>
            <w:r w:rsidRPr="004A1655">
              <w:rPr>
                <w:i/>
              </w:rPr>
              <w:t>Repayments and interest received</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-50.0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-60.0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-110.0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-180.0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-240.0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-300.0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-350.0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-400.0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A1655">
              <w:rPr>
                <w:rFonts w:ascii="Calibri" w:hAnsi="Calibri"/>
                <w:i/>
              </w:rPr>
              <w:t>-450.0</w:t>
            </w:r>
          </w:p>
        </w:tc>
        <w:tc>
          <w:tcPr>
            <w:tcW w:w="33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A1655">
              <w:rPr>
                <w:rFonts w:ascii="Calibri" w:hAnsi="Calibri"/>
                <w:b/>
                <w:i/>
              </w:rPr>
              <w:t>-2,080.0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7" w:type="pct"/>
          </w:tcPr>
          <w:p w:rsidR="000B5C96" w:rsidRPr="004A1655" w:rsidRDefault="000B5C96" w:rsidP="003F606A">
            <w:pPr>
              <w:keepNext/>
              <w:keepLines/>
              <w:ind w:left="57" w:right="57"/>
            </w:pPr>
            <w:r w:rsidRPr="004A1655">
              <w:t>Public Debt Interest</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-20.0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-40.0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-60.0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-80.0</w:t>
            </w:r>
          </w:p>
        </w:tc>
        <w:tc>
          <w:tcPr>
            <w:tcW w:w="30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A1655">
              <w:rPr>
                <w:rFonts w:ascii="Calibri" w:hAnsi="Calibri"/>
              </w:rPr>
              <w:t>-110.0</w:t>
            </w:r>
          </w:p>
        </w:tc>
        <w:tc>
          <w:tcPr>
            <w:tcW w:w="331" w:type="pct"/>
            <w:vAlign w:val="top"/>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-320.0</w:t>
            </w:r>
          </w:p>
        </w:tc>
      </w:tr>
      <w:tr w:rsidR="000B5C96" w:rsidRPr="004A1655" w:rsidTr="003F606A">
        <w:trPr>
          <w:cantSplit/>
        </w:trPr>
        <w:tc>
          <w:tcPr>
            <w:cnfStyle w:val="001000000000" w:firstRow="0" w:lastRow="0" w:firstColumn="1" w:lastColumn="0" w:oddVBand="0" w:evenVBand="0" w:oddHBand="0" w:evenHBand="0" w:firstRowFirstColumn="0" w:firstRowLastColumn="0" w:lastRowFirstColumn="0" w:lastRowLastColumn="0"/>
            <w:tcW w:w="1057" w:type="pct"/>
            <w:shd w:val="clear" w:color="auto" w:fill="D7DDE9"/>
          </w:tcPr>
          <w:p w:rsidR="000B5C96" w:rsidRPr="004A1655" w:rsidRDefault="000B5C96" w:rsidP="003F606A">
            <w:pPr>
              <w:keepNext/>
              <w:keepLines/>
              <w:ind w:left="57" w:right="57"/>
              <w:rPr>
                <w:b/>
              </w:rPr>
            </w:pPr>
            <w:r w:rsidRPr="004A1655">
              <w:rPr>
                <w:b/>
              </w:rPr>
              <w:t>Total impact</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-50.0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-60.0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-110.0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-190.0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-260.0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-330.0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-410.0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-480.0</w:t>
            </w:r>
          </w:p>
        </w:tc>
        <w:tc>
          <w:tcPr>
            <w:tcW w:w="30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-560.0</w:t>
            </w:r>
          </w:p>
        </w:tc>
        <w:tc>
          <w:tcPr>
            <w:tcW w:w="331" w:type="pct"/>
            <w:shd w:val="clear" w:color="auto" w:fill="D7DDE9"/>
          </w:tcPr>
          <w:p w:rsidR="000B5C96" w:rsidRPr="004A1655" w:rsidRDefault="000B5C96" w:rsidP="003F606A">
            <w:pPr>
              <w:keepNext/>
              <w:keepLines/>
              <w:ind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A1655">
              <w:rPr>
                <w:rFonts w:ascii="Calibri" w:hAnsi="Calibri"/>
                <w:b/>
              </w:rPr>
              <w:t>-2,400.0</w:t>
            </w:r>
          </w:p>
        </w:tc>
      </w:tr>
    </w:tbl>
    <w:p w:rsidR="000B5C96" w:rsidRPr="004A1655" w:rsidRDefault="000B5C96" w:rsidP="00D35174">
      <w:pPr>
        <w:pStyle w:val="Footnotes"/>
        <w:keepNext/>
        <w:keepLines/>
        <w:numPr>
          <w:ilvl w:val="0"/>
          <w:numId w:val="164"/>
        </w:numPr>
        <w:ind w:left="284" w:hanging="284"/>
      </w:pPr>
      <w:r w:rsidRPr="004A1655">
        <w:t>A positive number for the headline cash balance indicates an increase in cash flow. A negative number for the headline cash balance indi</w:t>
      </w:r>
      <w:r>
        <w:t>cates a decrease in cash flow.</w:t>
      </w:r>
    </w:p>
    <w:p w:rsidR="000B5C96" w:rsidRPr="004A1655" w:rsidRDefault="000B5C96" w:rsidP="00D35174">
      <w:pPr>
        <w:pStyle w:val="Footnotes"/>
        <w:keepNext/>
        <w:keepLines/>
        <w:numPr>
          <w:ilvl w:val="0"/>
          <w:numId w:val="164"/>
        </w:numPr>
        <w:ind w:left="284" w:hanging="284"/>
      </w:pPr>
      <w:r w:rsidRPr="004A1655">
        <w:t>Figures may not sum to totals due to rounding.</w:t>
      </w:r>
    </w:p>
    <w:p w:rsidR="000B5C96" w:rsidRPr="004A1655" w:rsidRDefault="000B5C96" w:rsidP="003F606A">
      <w:pPr>
        <w:pStyle w:val="Footnotes"/>
        <w:keepNext/>
        <w:keepLines/>
        <w:numPr>
          <w:ilvl w:val="0"/>
          <w:numId w:val="0"/>
        </w:numPr>
        <w:ind w:left="284" w:hanging="284"/>
      </w:pPr>
      <w:r w:rsidRPr="004A1655">
        <w:t>..</w:t>
      </w:r>
      <w:r w:rsidRPr="004A1655">
        <w:tab/>
        <w:t>Not zero but rounded to zero.</w:t>
      </w:r>
    </w:p>
    <w:p w:rsidR="000B5C96" w:rsidRPr="004A1655" w:rsidRDefault="000B5C96" w:rsidP="003F606A">
      <w:pPr>
        <w:pStyle w:val="Footnotes"/>
        <w:numPr>
          <w:ilvl w:val="0"/>
          <w:numId w:val="0"/>
        </w:numPr>
        <w:ind w:left="284" w:hanging="284"/>
      </w:pPr>
      <w:r w:rsidRPr="004A1655">
        <w:t>-</w:t>
      </w:r>
      <w:r w:rsidRPr="004A1655">
        <w:tab/>
        <w:t>Indicates nil.</w:t>
      </w:r>
    </w:p>
    <w:p w:rsidR="000B5C96" w:rsidRPr="004A1655" w:rsidRDefault="000B5C96" w:rsidP="00D35174">
      <w:pPr>
        <w:pStyle w:val="Footnotes"/>
        <w:numPr>
          <w:ilvl w:val="0"/>
          <w:numId w:val="164"/>
        </w:numPr>
        <w:sectPr w:rsidR="000B5C96" w:rsidRPr="004A1655" w:rsidSect="003F606A">
          <w:headerReference w:type="even" r:id="rId334"/>
          <w:headerReference w:type="default" r:id="rId335"/>
          <w:footerReference w:type="even" r:id="rId336"/>
          <w:footerReference w:type="default" r:id="rId337"/>
          <w:headerReference w:type="first" r:id="rId338"/>
          <w:footerReference w:type="first" r:id="rId339"/>
          <w:footnotePr>
            <w:numRestart w:val="eachSect"/>
          </w:footnotePr>
          <w:pgSz w:w="16839" w:h="11907" w:orient="landscape" w:code="9"/>
          <w:pgMar w:top="1361" w:right="1797" w:bottom="1474" w:left="1797" w:header="283" w:footer="454" w:gutter="0"/>
          <w:cols w:space="708"/>
          <w:docGrid w:linePitch="360"/>
        </w:sectPr>
      </w:pPr>
    </w:p>
    <w:p w:rsidR="000B5C96" w:rsidRPr="004A1655" w:rsidRDefault="000B5C96" w:rsidP="000B5C96">
      <w:pPr>
        <w:pStyle w:val="Heading6"/>
        <w:numPr>
          <w:ilvl w:val="0"/>
          <w:numId w:val="5"/>
        </w:numPr>
        <w:tabs>
          <w:tab w:val="clear" w:pos="0"/>
          <w:tab w:val="num" w:pos="360"/>
          <w:tab w:val="right" w:pos="1418"/>
          <w:tab w:val="right" w:pos="1701"/>
          <w:tab w:val="right" w:pos="1985"/>
        </w:tabs>
      </w:pPr>
      <w:r w:rsidRPr="004A1655">
        <w:t>Attachment B: Accounting treatment of HELP loans</w:t>
      </w:r>
    </w:p>
    <w:p w:rsidR="000B5C96" w:rsidRPr="004A1655" w:rsidRDefault="000B5C96" w:rsidP="003F606A">
      <w:pPr>
        <w:pStyle w:val="BodyText"/>
      </w:pPr>
      <w:r w:rsidRPr="004A1655">
        <w:t>The issuing of HELP loans and repayments of principal are not included in either the underlying cash balance or the fiscal balance as they are treated as investments.</w:t>
      </w:r>
    </w:p>
    <w:p w:rsidR="000B5C96" w:rsidRPr="004A1655" w:rsidRDefault="000B5C96" w:rsidP="003F606A">
      <w:pPr>
        <w:pStyle w:val="BodyText"/>
      </w:pPr>
      <w:r w:rsidRPr="004A1655">
        <w:t>However, the component of repayments that is considered interest is included as revenue in underlying cash balance terms.  As repayment amounts are linked to income levels, it is difficult to separate interest repayments from principal repayments.  In the forward estimates, a fixed proportion of all repayments is taken to be interest repayments.  This is based on the average amount of interest paid over the life of HELP loans.</w:t>
      </w:r>
    </w:p>
    <w:p w:rsidR="000B5C96" w:rsidRPr="004A1655" w:rsidRDefault="000B5C96" w:rsidP="003F606A">
      <w:pPr>
        <w:pStyle w:val="BodyText"/>
      </w:pPr>
      <w:r w:rsidRPr="004A1655">
        <w:t>Interest is also accounted for in fiscal balance terms.  This is the increase in the value of the debt due to indexation by the Consumer Price Index (CPI) each financial year (moving to the 10 year bond rate, capped at six per cent, under this measure).  Fiscal balance interest income is assessed on the “fair value” of the HELP debt, consistent with relevant accounting standards, as it is unreasonable to claim interest income on a debt that is not expected to be repaid.</w:t>
      </w:r>
    </w:p>
    <w:p w:rsidR="000B5C96" w:rsidRPr="004A1655" w:rsidRDefault="000B5C96" w:rsidP="003F606A">
      <w:pPr>
        <w:pStyle w:val="BodyText"/>
      </w:pPr>
      <w:r w:rsidRPr="004A1655">
        <w:t>HELP loans are concessional as they are indexed to CPI rather than the market interest rate.  The Budget accounts for this as an expense in fiscal balance terms.  As loans are repaid, the amount of forgone interest income reduces, so this expense is “unwound”, having a positive impact on the fiscal balance.</w:t>
      </w:r>
    </w:p>
    <w:p w:rsidR="000B5C96" w:rsidRPr="004A1655" w:rsidRDefault="000B5C96" w:rsidP="003F606A">
      <w:pPr>
        <w:pStyle w:val="BodyText"/>
      </w:pPr>
      <w:r w:rsidRPr="004A1655">
        <w:t>When the Commonwealth agrees to forgo the repayment of some or all of a debtor’s debt this also has a negative impact on Budget aggregates.  Mutua</w:t>
      </w:r>
      <w:r>
        <w:t>lly agreed write-downs or write</w:t>
      </w:r>
      <w:r>
        <w:noBreakHyphen/>
      </w:r>
      <w:r w:rsidRPr="004A1655">
        <w:t>offs (for example in the case of death) have no impact on the underlying cash balance, but are an expense in fiscal balance terms.</w:t>
      </w:r>
    </w:p>
    <w:p w:rsidR="000B5C96" w:rsidRPr="004A1655" w:rsidRDefault="000B5C96" w:rsidP="003F606A">
      <w:pPr>
        <w:pStyle w:val="BodyText"/>
      </w:pPr>
      <w:r w:rsidRPr="004A1655">
        <w:t>The headline cash balance adjusts the underlying cash balance to include earnings from the Future Fund and the net cash flow from investments for policy purposes.  An example of such an investment is the issuing of loans to achieve policy goals, as is the case with HELP.</w:t>
      </w:r>
    </w:p>
    <w:p w:rsidR="000B5C96" w:rsidRPr="004A1655" w:rsidRDefault="000B5C96" w:rsidP="003F606A">
      <w:pPr>
        <w:pStyle w:val="BodyText"/>
      </w:pPr>
      <w:r w:rsidRPr="004A1655">
        <w:t>The headline cash balance impact on HELP resulting from a policy change would be:</w:t>
      </w:r>
    </w:p>
    <w:p w:rsidR="000B5C96" w:rsidRPr="00422621" w:rsidRDefault="000B5C96" w:rsidP="000B5C96">
      <w:pPr>
        <w:pStyle w:val="ListBullet"/>
        <w:keepLines w:val="0"/>
        <w:numPr>
          <w:ilvl w:val="0"/>
          <w:numId w:val="2"/>
        </w:numPr>
        <w:spacing w:before="113"/>
        <w:ind w:left="454" w:hanging="454"/>
        <w:rPr>
          <w:lang w:eastAsia="en-AU"/>
        </w:rPr>
      </w:pPr>
      <w:r w:rsidRPr="00422621">
        <w:rPr>
          <w:lang w:eastAsia="en-AU"/>
        </w:rPr>
        <w:t>the underlying cash balance impact</w:t>
      </w:r>
    </w:p>
    <w:p w:rsidR="000B5C96" w:rsidRPr="00422621" w:rsidRDefault="000B5C96" w:rsidP="000B5C96">
      <w:pPr>
        <w:pStyle w:val="ListBullet"/>
        <w:keepLines w:val="0"/>
        <w:numPr>
          <w:ilvl w:val="0"/>
          <w:numId w:val="2"/>
        </w:numPr>
        <w:spacing w:before="113"/>
        <w:ind w:left="454" w:hanging="454"/>
        <w:rPr>
          <w:lang w:eastAsia="en-AU"/>
        </w:rPr>
      </w:pPr>
      <w:r w:rsidRPr="00422621">
        <w:rPr>
          <w:b/>
          <w:lang w:eastAsia="en-AU"/>
        </w:rPr>
        <w:t>less</w:t>
      </w:r>
      <w:r w:rsidRPr="00422621">
        <w:rPr>
          <w:lang w:eastAsia="en-AU"/>
        </w:rPr>
        <w:t xml:space="preserve"> the positive impact on the underlying cash balance from interest</w:t>
      </w:r>
    </w:p>
    <w:p w:rsidR="000B5C96" w:rsidRPr="00422621" w:rsidRDefault="000B5C96" w:rsidP="000B5C96">
      <w:pPr>
        <w:pStyle w:val="ListBullet"/>
        <w:keepLines w:val="0"/>
        <w:numPr>
          <w:ilvl w:val="0"/>
          <w:numId w:val="2"/>
        </w:numPr>
        <w:spacing w:before="113"/>
        <w:ind w:left="454" w:hanging="454"/>
        <w:rPr>
          <w:lang w:eastAsia="en-AU"/>
        </w:rPr>
      </w:pPr>
      <w:r w:rsidRPr="00422621">
        <w:rPr>
          <w:b/>
          <w:lang w:eastAsia="en-AU"/>
        </w:rPr>
        <w:t>plus</w:t>
      </w:r>
      <w:r w:rsidRPr="00422621">
        <w:rPr>
          <w:lang w:eastAsia="en-AU"/>
        </w:rPr>
        <w:t xml:space="preserve"> the value of HELP repayments, and</w:t>
      </w:r>
    </w:p>
    <w:p w:rsidR="000B5C96" w:rsidRPr="00422621" w:rsidRDefault="000B5C96" w:rsidP="000B5C96">
      <w:pPr>
        <w:pStyle w:val="ListBullet"/>
        <w:keepLines w:val="0"/>
        <w:numPr>
          <w:ilvl w:val="0"/>
          <w:numId w:val="2"/>
        </w:numPr>
        <w:spacing w:before="113"/>
        <w:ind w:left="454" w:hanging="454"/>
        <w:rPr>
          <w:lang w:eastAsia="en-AU"/>
        </w:rPr>
      </w:pPr>
      <w:r w:rsidRPr="00422621">
        <w:rPr>
          <w:b/>
          <w:lang w:eastAsia="en-AU"/>
        </w:rPr>
        <w:t>less</w:t>
      </w:r>
      <w:r w:rsidRPr="00422621">
        <w:rPr>
          <w:lang w:eastAsia="en-AU"/>
        </w:rPr>
        <w:t xml:space="preserve"> the value of new HELP loans issued.</w:t>
      </w:r>
    </w:p>
    <w:p w:rsidR="000B5C96" w:rsidRPr="004A1655" w:rsidRDefault="000B5C96" w:rsidP="003F606A">
      <w:pPr>
        <w:pStyle w:val="BodyText"/>
      </w:pPr>
      <w:r w:rsidRPr="004A1655">
        <w:t>The headline cash balance is tracked in Budget papers, and is normally reported in policy costings when it differs from the underlying cash balance.</w:t>
      </w:r>
    </w:p>
    <w:p w:rsidR="000B5C96" w:rsidRPr="004A1655" w:rsidRDefault="000B5C96" w:rsidP="003F606A">
      <w:pPr>
        <w:pStyle w:val="BodyText"/>
      </w:pPr>
      <w:r w:rsidRPr="004A1655">
        <w:t>The fair value of the debt is a positive contributor to the Government’s net financial worth.</w:t>
      </w:r>
    </w:p>
    <w:p w:rsidR="000B5C96" w:rsidRDefault="000B5C96" w:rsidP="003F606A">
      <w:pPr>
        <w:pStyle w:val="BodyText"/>
        <w:keepNext/>
        <w:keepLines/>
      </w:pPr>
      <w:r w:rsidRPr="004A1655">
        <w:t xml:space="preserve">In accordance with PBO Guidance 02/2015 and the </w:t>
      </w:r>
      <w:r w:rsidRPr="004A1655">
        <w:rPr>
          <w:i/>
        </w:rPr>
        <w:t>Charter of Budget Honesty Policy Costing Guidelines</w:t>
      </w:r>
      <w:r w:rsidRPr="004A1655">
        <w:t>, proposals that impact on HELP “involves transactions of financial assets” and thus the flow on impact to Public Debt Interest (PDI) payments would need to be taken into account.  When estimating the proposal’s impact on PDI payments, the net headline cash balance impact is used.  The net headline cash balance impact includes not only the HELP component of the proposal, but all associated components that are considered integral to the overall proposal.</w:t>
      </w:r>
    </w:p>
    <w:p w:rsidR="000B5C96" w:rsidRDefault="000B5C96" w:rsidP="003F606A">
      <w:pPr>
        <w:pStyle w:val="BodyText"/>
        <w:sectPr w:rsidR="000B5C96" w:rsidSect="003F606A">
          <w:headerReference w:type="even" r:id="rId340"/>
          <w:headerReference w:type="default" r:id="rId341"/>
          <w:footerReference w:type="even" r:id="rId342"/>
          <w:footerReference w:type="default" r:id="rId343"/>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29" w:name="_Toc457979352"/>
      <w:bookmarkStart w:id="130" w:name="_Toc458069210"/>
      <w:r>
        <w:t>GRN035: Boosting TAFE funding and VET Ombudsman</w:t>
      </w:r>
      <w:bookmarkEnd w:id="129"/>
      <w:bookmarkEnd w:id="130"/>
    </w:p>
    <w:p w:rsidR="000B5C96" w:rsidRPr="009C09D3" w:rsidRDefault="000B5C96" w:rsidP="003F606A">
      <w:pPr>
        <w:pStyle w:val="BodyText"/>
      </w:pPr>
      <w:r w:rsidRPr="009C09D3">
        <w:rPr>
          <w:noProof/>
          <w:lang w:eastAsia="en-AU"/>
        </w:rPr>
        <w:drawing>
          <wp:inline distT="0" distB="0" distL="0" distR="0" wp14:anchorId="13FEE88D" wp14:editId="352C1AD4">
            <wp:extent cx="2696845" cy="572135"/>
            <wp:effectExtent l="0" t="0" r="8255" b="0"/>
            <wp:docPr id="24" name="Picture 2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E1008A" w:rsidRDefault="000B5C96" w:rsidP="000B5C96">
      <w:pPr>
        <w:pStyle w:val="Heading6"/>
        <w:numPr>
          <w:ilvl w:val="0"/>
          <w:numId w:val="5"/>
        </w:numPr>
        <w:tabs>
          <w:tab w:val="clear" w:pos="0"/>
          <w:tab w:val="num" w:pos="360"/>
          <w:tab w:val="right" w:pos="1418"/>
          <w:tab w:val="right" w:pos="1701"/>
          <w:tab w:val="right" w:pos="1985"/>
        </w:tabs>
      </w:pPr>
      <w:r w:rsidRPr="00E1008A">
        <w:t>Policy costing—during the caretaker period for the 2016 general election</w:t>
      </w:r>
    </w:p>
    <w:tbl>
      <w:tblPr>
        <w:tblStyle w:val="Style12"/>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862AB8" w:rsidRDefault="000B5C96" w:rsidP="003F606A">
            <w:pPr>
              <w:pStyle w:val="PullOutBoxHeading"/>
              <w:rPr>
                <w:b/>
                <w:sz w:val="22"/>
              </w:rPr>
            </w:pPr>
            <w:r w:rsidRPr="00862AB8">
              <w:rPr>
                <w:b/>
                <w:sz w:val="22"/>
              </w:rPr>
              <w:t>Name of proposal:</w:t>
            </w:r>
          </w:p>
        </w:tc>
        <w:tc>
          <w:tcPr>
            <w:tcW w:w="5335" w:type="dxa"/>
          </w:tcPr>
          <w:p w:rsidR="000B5C96" w:rsidRPr="00862AB8" w:rsidRDefault="000B5C96" w:rsidP="003F606A">
            <w:pPr>
              <w:pStyle w:val="PullOutBoxHeading"/>
              <w:rPr>
                <w:b/>
                <w:sz w:val="22"/>
              </w:rPr>
            </w:pPr>
            <w:r w:rsidRPr="00862AB8">
              <w:rPr>
                <w:b/>
                <w:sz w:val="22"/>
              </w:rPr>
              <w:t>Boost TAFE Funding and establish VET Ombudsman</w:t>
            </w:r>
          </w:p>
        </w:tc>
      </w:tr>
      <w:tr w:rsidR="000B5C96" w:rsidRPr="00E1008A" w:rsidTr="003F606A">
        <w:tc>
          <w:tcPr>
            <w:tcW w:w="3005" w:type="dxa"/>
          </w:tcPr>
          <w:p w:rsidR="000B5C96" w:rsidRPr="00E1008A" w:rsidRDefault="000B5C96" w:rsidP="003F606A">
            <w:pPr>
              <w:pStyle w:val="PullOutBoxBodyText"/>
            </w:pPr>
            <w:r w:rsidRPr="00E1008A">
              <w:t>Summary of proposal:</w:t>
            </w:r>
          </w:p>
        </w:tc>
        <w:tc>
          <w:tcPr>
            <w:tcW w:w="5335" w:type="dxa"/>
          </w:tcPr>
          <w:p w:rsidR="000B5C96" w:rsidRPr="00E1008A" w:rsidRDefault="000B5C96" w:rsidP="003F606A">
            <w:pPr>
              <w:pStyle w:val="PullOutBoxBodyText"/>
            </w:pPr>
            <w:r w:rsidRPr="00E1008A">
              <w:t>The proposal would have two components:</w:t>
            </w:r>
          </w:p>
          <w:p w:rsidR="000B5C96" w:rsidRPr="00E1008A" w:rsidRDefault="000B5C96" w:rsidP="003F606A">
            <w:pPr>
              <w:pStyle w:val="PullOutBoxBodyText"/>
            </w:pPr>
            <w:r w:rsidRPr="00E1008A">
              <w:rPr>
                <w:u w:val="single"/>
              </w:rPr>
              <w:t>Component 1</w:t>
            </w:r>
            <w:r w:rsidRPr="00E1008A">
              <w:t>: provide an extra $400 million per year for TAFE to increase the proportion of the population that would attain a higher education qualification.</w:t>
            </w:r>
          </w:p>
          <w:p w:rsidR="000B5C96" w:rsidRPr="00E1008A" w:rsidRDefault="000B5C96" w:rsidP="003F606A">
            <w:pPr>
              <w:pStyle w:val="PullOutBoxBodyText"/>
            </w:pPr>
            <w:r w:rsidRPr="00E1008A">
              <w:t>The funding would be indexed annually by the Consumer Price Index (CPI).</w:t>
            </w:r>
          </w:p>
          <w:p w:rsidR="000B5C96" w:rsidRPr="00E1008A" w:rsidRDefault="000B5C96" w:rsidP="003F606A">
            <w:pPr>
              <w:pStyle w:val="PullOutBoxBodyText"/>
            </w:pPr>
            <w:r w:rsidRPr="00E1008A">
              <w:rPr>
                <w:u w:val="single"/>
              </w:rPr>
              <w:t>Component 2</w:t>
            </w:r>
            <w:r w:rsidRPr="00E1008A">
              <w:t>: provide $10 million evenly split over two years as seed funding to establish a VET Ombudsman to facilitate student complaints against private education providers.</w:t>
            </w:r>
          </w:p>
          <w:p w:rsidR="000B5C96" w:rsidRPr="00E1008A" w:rsidRDefault="000B5C96" w:rsidP="003F606A">
            <w:pPr>
              <w:pStyle w:val="PullOutBoxBodyText"/>
            </w:pPr>
            <w:r w:rsidRPr="00E1008A">
              <w:t>The proposal would have effect from 1 September 2016 with funding for 2016-17 to be based on pro-rating the first year of funding over the remaining 10 months of the financial year.</w:t>
            </w:r>
          </w:p>
        </w:tc>
      </w:tr>
      <w:tr w:rsidR="000B5C96" w:rsidRPr="00E1008A" w:rsidTr="003F606A">
        <w:tc>
          <w:tcPr>
            <w:tcW w:w="3005" w:type="dxa"/>
          </w:tcPr>
          <w:p w:rsidR="000B5C96" w:rsidRPr="00E1008A" w:rsidRDefault="000B5C96" w:rsidP="003F606A">
            <w:pPr>
              <w:pStyle w:val="PullOutBoxBodyText"/>
            </w:pPr>
            <w:r w:rsidRPr="00E1008A">
              <w:t>Person/party requesting costing:</w:t>
            </w:r>
          </w:p>
        </w:tc>
        <w:tc>
          <w:tcPr>
            <w:tcW w:w="5335" w:type="dxa"/>
          </w:tcPr>
          <w:p w:rsidR="000B5C96" w:rsidRPr="00E1008A" w:rsidRDefault="000B5C96" w:rsidP="003F606A">
            <w:pPr>
              <w:pStyle w:val="PullOutBoxBodyText"/>
            </w:pPr>
            <w:r w:rsidRPr="00E1008A">
              <w:t>Senator Richard Di Natale, Australian Greens</w:t>
            </w:r>
          </w:p>
        </w:tc>
      </w:tr>
      <w:tr w:rsidR="000B5C96" w:rsidRPr="00E1008A" w:rsidTr="003F606A">
        <w:tc>
          <w:tcPr>
            <w:tcW w:w="3005" w:type="dxa"/>
          </w:tcPr>
          <w:p w:rsidR="000B5C96" w:rsidRPr="00E1008A" w:rsidRDefault="000B5C96" w:rsidP="003F606A">
            <w:pPr>
              <w:pStyle w:val="PullOutBoxBodyText"/>
            </w:pPr>
            <w:r w:rsidRPr="00E1008A">
              <w:t>Date of public release of policy:</w:t>
            </w:r>
          </w:p>
        </w:tc>
        <w:tc>
          <w:tcPr>
            <w:tcW w:w="5335" w:type="dxa"/>
          </w:tcPr>
          <w:p w:rsidR="000B5C96" w:rsidRPr="00E1008A" w:rsidRDefault="000B5C96" w:rsidP="003F606A">
            <w:pPr>
              <w:pStyle w:val="PullOutBoxBodyText"/>
            </w:pPr>
            <w:r w:rsidRPr="00E1008A">
              <w:t>15 June 2016</w:t>
            </w:r>
          </w:p>
        </w:tc>
      </w:tr>
      <w:tr w:rsidR="000B5C96" w:rsidRPr="00E1008A" w:rsidTr="003F606A">
        <w:tc>
          <w:tcPr>
            <w:tcW w:w="3005" w:type="dxa"/>
          </w:tcPr>
          <w:p w:rsidR="000B5C96" w:rsidRPr="00E1008A" w:rsidRDefault="000B5C96" w:rsidP="003F606A">
            <w:pPr>
              <w:pStyle w:val="PullOutBoxBodyText"/>
            </w:pPr>
            <w:r w:rsidRPr="00E1008A">
              <w:t>Date costing request received:</w:t>
            </w:r>
          </w:p>
        </w:tc>
        <w:tc>
          <w:tcPr>
            <w:tcW w:w="5335" w:type="dxa"/>
          </w:tcPr>
          <w:p w:rsidR="000B5C96" w:rsidRPr="00E1008A" w:rsidRDefault="000B5C96" w:rsidP="003F606A">
            <w:pPr>
              <w:pStyle w:val="PullOutBoxBodyText"/>
            </w:pPr>
            <w:r w:rsidRPr="00E1008A">
              <w:t>28 June 2016</w:t>
            </w:r>
          </w:p>
        </w:tc>
      </w:tr>
      <w:tr w:rsidR="000B5C96" w:rsidRPr="00E1008A" w:rsidTr="003F606A">
        <w:tc>
          <w:tcPr>
            <w:tcW w:w="3005" w:type="dxa"/>
          </w:tcPr>
          <w:p w:rsidR="000B5C96" w:rsidRPr="00E1008A" w:rsidRDefault="000B5C96" w:rsidP="003F606A">
            <w:pPr>
              <w:pStyle w:val="PullOutBoxBodyText"/>
            </w:pPr>
            <w:r w:rsidRPr="00E1008A">
              <w:t>Date costing completed</w:t>
            </w:r>
          </w:p>
        </w:tc>
        <w:tc>
          <w:tcPr>
            <w:tcW w:w="5335" w:type="dxa"/>
          </w:tcPr>
          <w:p w:rsidR="000B5C96" w:rsidRPr="00E1008A" w:rsidRDefault="000B5C96" w:rsidP="003F606A">
            <w:pPr>
              <w:pStyle w:val="PullOutBoxBodyText"/>
            </w:pPr>
            <w:r w:rsidRPr="00E1008A">
              <w:t>28 June 2016</w:t>
            </w:r>
          </w:p>
        </w:tc>
      </w:tr>
      <w:tr w:rsidR="000B5C96" w:rsidRPr="00E1008A" w:rsidTr="003F606A">
        <w:tc>
          <w:tcPr>
            <w:tcW w:w="3005" w:type="dxa"/>
          </w:tcPr>
          <w:p w:rsidR="000B5C96" w:rsidRPr="00E1008A" w:rsidRDefault="000B5C96" w:rsidP="003F606A">
            <w:pPr>
              <w:pStyle w:val="PullOutBoxBodyText"/>
            </w:pPr>
            <w:r w:rsidRPr="00E1008A">
              <w:t>Expiry date for the costing:</w:t>
            </w:r>
          </w:p>
        </w:tc>
        <w:tc>
          <w:tcPr>
            <w:tcW w:w="5335" w:type="dxa"/>
          </w:tcPr>
          <w:p w:rsidR="000B5C96" w:rsidRPr="00E1008A" w:rsidRDefault="000B5C96" w:rsidP="003F606A">
            <w:pPr>
              <w:pStyle w:val="PullOutBoxBodyText"/>
            </w:pPr>
            <w:r w:rsidRPr="00E1008A">
              <w:t>Release of the next economic and fiscal outlook report</w:t>
            </w:r>
          </w:p>
        </w:tc>
      </w:tr>
    </w:tbl>
    <w:p w:rsidR="000B5C96" w:rsidRPr="00D7096D" w:rsidRDefault="000B5C96" w:rsidP="003F606A">
      <w:pPr>
        <w:pStyle w:val="CostingsH7"/>
      </w:pPr>
      <w:r w:rsidRPr="00D7096D">
        <w:t>Costing overview</w:t>
      </w:r>
    </w:p>
    <w:p w:rsidR="000B5C96" w:rsidRPr="00E1008A" w:rsidRDefault="000B5C96" w:rsidP="003F606A">
      <w:pPr>
        <w:pStyle w:val="BodyText"/>
      </w:pPr>
      <w:r w:rsidRPr="00E1008A">
        <w:t>This proposal would be expected to decrease the underlying cash and fiscal balances by $1,598.1 million over the 2016-17 Budget forward estimates period.  This impact is due to an increase in administered expenses of $1,588.1 million and an increase in departmental expenses of $10 million over this period.</w:t>
      </w:r>
    </w:p>
    <w:p w:rsidR="000B5C96" w:rsidRPr="00E1008A" w:rsidRDefault="000B5C96" w:rsidP="003F606A">
      <w:pPr>
        <w:pStyle w:val="BodyText"/>
        <w:keepNext/>
        <w:keepLines/>
      </w:pPr>
      <w:r w:rsidRPr="00E1008A">
        <w:t xml:space="preserve">The proposal would have financial implications beyond the 2016-17 Budget forward estimates period, with the annual impact after 2019-20 growing in line with growth in CPI.  A detailed breakdown of the financial impacts for the total (Table A1) and by component (Tables A2-3) is provided at </w:t>
      </w:r>
      <w:r w:rsidRPr="00E1008A">
        <w:rPr>
          <w:u w:val="single"/>
        </w:rPr>
        <w:t>Attachment A</w:t>
      </w:r>
      <w:r w:rsidRPr="00E1008A">
        <w:t>.</w:t>
      </w:r>
    </w:p>
    <w:p w:rsidR="000B5C96" w:rsidRPr="00E1008A" w:rsidRDefault="000B5C96" w:rsidP="003F606A">
      <w:pPr>
        <w:pStyle w:val="BodyText"/>
      </w:pPr>
      <w:r w:rsidRPr="00E1008A">
        <w:t>In relation to Component 1 departmental costs are not expected to be material as the funding would be administered by state and territory governments.  Funding for Component 2 is considered to be entirely departmental funding.</w:t>
      </w:r>
    </w:p>
    <w:p w:rsidR="000B5C96" w:rsidRPr="00E1008A" w:rsidRDefault="000B5C96" w:rsidP="003F606A">
      <w:pPr>
        <w:pStyle w:val="BodyText"/>
        <w:rPr>
          <w:highlight w:val="yellow"/>
        </w:rPr>
      </w:pPr>
      <w:r w:rsidRPr="00E1008A">
        <w:t>This costing is considered to be of high reliability as it is based on specified capped amounts.</w:t>
      </w:r>
    </w:p>
    <w:p w:rsidR="000B5C96" w:rsidRPr="00E1008A" w:rsidRDefault="000B5C96" w:rsidP="003F606A">
      <w:pPr>
        <w:pStyle w:val="Caption"/>
      </w:pPr>
      <w:r w:rsidRPr="00E1008A">
        <w:t>Table 1: Financial implications (outturn prices)</w:t>
      </w:r>
      <w:r w:rsidRPr="00E1008A">
        <w:rPr>
          <w:vertAlign w:val="superscript"/>
        </w:rPr>
        <w:t>(a)</w:t>
      </w:r>
      <w:r>
        <w:rPr>
          <w:vertAlign w:val="superscript"/>
        </w:rPr>
        <w:t>(b)</w:t>
      </w:r>
    </w:p>
    <w:tbl>
      <w:tblPr>
        <w:tblStyle w:val="TableGrid10"/>
        <w:tblW w:w="4993" w:type="pct"/>
        <w:tblInd w:w="0" w:type="dxa"/>
        <w:tblLook w:val="04A0" w:firstRow="1" w:lastRow="0" w:firstColumn="1" w:lastColumn="0" w:noHBand="0" w:noVBand="1"/>
      </w:tblPr>
      <w:tblGrid>
        <w:gridCol w:w="2645"/>
        <w:gridCol w:w="1134"/>
        <w:gridCol w:w="1133"/>
        <w:gridCol w:w="1133"/>
        <w:gridCol w:w="1133"/>
        <w:gridCol w:w="1132"/>
      </w:tblGrid>
      <w:tr w:rsidR="000B5C96" w:rsidRPr="00E1008A"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E1008A" w:rsidRDefault="000B5C96" w:rsidP="003F606A">
            <w:pPr>
              <w:keepNext/>
              <w:keepLines/>
              <w:spacing w:line="240" w:lineRule="auto"/>
              <w:ind w:left="57" w:right="57"/>
            </w:pPr>
            <w:r w:rsidRPr="00E1008A">
              <w:t>Impact on ($m)</w:t>
            </w:r>
          </w:p>
        </w:tc>
        <w:tc>
          <w:tcPr>
            <w:tcW w:w="682" w:type="pct"/>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2016–17</w:t>
            </w:r>
          </w:p>
        </w:tc>
        <w:tc>
          <w:tcPr>
            <w:tcW w:w="682" w:type="pct"/>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2017–18</w:t>
            </w:r>
          </w:p>
        </w:tc>
        <w:tc>
          <w:tcPr>
            <w:tcW w:w="682" w:type="pct"/>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2018–19</w:t>
            </w:r>
          </w:p>
        </w:tc>
        <w:tc>
          <w:tcPr>
            <w:tcW w:w="682" w:type="pct"/>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rPr>
            </w:pPr>
            <w:r w:rsidRPr="00E1008A">
              <w:t>2019–20</w:t>
            </w:r>
          </w:p>
        </w:tc>
        <w:tc>
          <w:tcPr>
            <w:tcW w:w="681" w:type="pct"/>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rPr>
            </w:pPr>
            <w:r w:rsidRPr="00E1008A">
              <w:rPr>
                <w:b/>
              </w:rPr>
              <w:t>Total</w:t>
            </w:r>
          </w:p>
        </w:tc>
      </w:tr>
      <w:tr w:rsidR="000B5C96" w:rsidRPr="00E1008A"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E1008A" w:rsidRDefault="000B5C96" w:rsidP="003F606A">
            <w:pPr>
              <w:keepNext/>
              <w:keepLines/>
              <w:ind w:left="57" w:right="57"/>
            </w:pPr>
            <w:r w:rsidRPr="00E1008A">
              <w:t>Fiscal balance</w:t>
            </w:r>
          </w:p>
        </w:tc>
        <w:tc>
          <w:tcPr>
            <w:tcW w:w="682" w:type="pct"/>
          </w:tcPr>
          <w:p w:rsidR="000B5C96" w:rsidRPr="00E1008A"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1008A">
              <w:rPr>
                <w:rFonts w:ascii="Calibri" w:hAnsi="Calibri"/>
                <w:szCs w:val="20"/>
              </w:rPr>
              <w:t>-333.3</w:t>
            </w:r>
          </w:p>
        </w:tc>
        <w:tc>
          <w:tcPr>
            <w:tcW w:w="682" w:type="pct"/>
          </w:tcPr>
          <w:p w:rsidR="000B5C96" w:rsidRPr="00E1008A"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1008A">
              <w:rPr>
                <w:rFonts w:ascii="Calibri" w:hAnsi="Calibri"/>
                <w:szCs w:val="20"/>
              </w:rPr>
              <w:t>-413.0</w:t>
            </w:r>
          </w:p>
        </w:tc>
        <w:tc>
          <w:tcPr>
            <w:tcW w:w="682" w:type="pct"/>
          </w:tcPr>
          <w:p w:rsidR="000B5C96" w:rsidRPr="00E1008A"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1008A">
              <w:rPr>
                <w:rFonts w:ascii="Calibri" w:hAnsi="Calibri"/>
                <w:szCs w:val="20"/>
              </w:rPr>
              <w:t>-423.1</w:t>
            </w:r>
          </w:p>
        </w:tc>
        <w:tc>
          <w:tcPr>
            <w:tcW w:w="682" w:type="pct"/>
          </w:tcPr>
          <w:p w:rsidR="000B5C96" w:rsidRPr="00E1008A"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1008A">
              <w:rPr>
                <w:rFonts w:ascii="Calibri" w:hAnsi="Calibri"/>
                <w:szCs w:val="20"/>
              </w:rPr>
              <w:t>-428.6</w:t>
            </w:r>
          </w:p>
        </w:tc>
        <w:tc>
          <w:tcPr>
            <w:tcW w:w="681" w:type="pct"/>
          </w:tcPr>
          <w:p w:rsidR="000B5C96" w:rsidRPr="00E1008A"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E1008A">
              <w:rPr>
                <w:rFonts w:ascii="Calibri" w:hAnsi="Calibri"/>
                <w:b/>
                <w:szCs w:val="20"/>
              </w:rPr>
              <w:t>-1,598.1</w:t>
            </w:r>
          </w:p>
        </w:tc>
      </w:tr>
      <w:tr w:rsidR="000B5C96" w:rsidRPr="00E1008A"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E1008A" w:rsidRDefault="000B5C96" w:rsidP="003F606A">
            <w:pPr>
              <w:keepNext/>
              <w:keepLines/>
              <w:ind w:left="57" w:right="57"/>
            </w:pPr>
            <w:r w:rsidRPr="00E1008A">
              <w:t>Underlying cash balance</w:t>
            </w:r>
          </w:p>
        </w:tc>
        <w:tc>
          <w:tcPr>
            <w:tcW w:w="682" w:type="pct"/>
          </w:tcPr>
          <w:p w:rsidR="000B5C96" w:rsidRPr="00E1008A"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1008A">
              <w:rPr>
                <w:rFonts w:ascii="Calibri" w:hAnsi="Calibri"/>
                <w:szCs w:val="20"/>
              </w:rPr>
              <w:t>-333.3</w:t>
            </w:r>
          </w:p>
        </w:tc>
        <w:tc>
          <w:tcPr>
            <w:tcW w:w="682" w:type="pct"/>
          </w:tcPr>
          <w:p w:rsidR="000B5C96" w:rsidRPr="00E1008A"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1008A">
              <w:rPr>
                <w:rFonts w:ascii="Calibri" w:hAnsi="Calibri"/>
                <w:szCs w:val="20"/>
              </w:rPr>
              <w:t>-413.0</w:t>
            </w:r>
          </w:p>
        </w:tc>
        <w:tc>
          <w:tcPr>
            <w:tcW w:w="682" w:type="pct"/>
          </w:tcPr>
          <w:p w:rsidR="000B5C96" w:rsidRPr="00E1008A"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1008A">
              <w:rPr>
                <w:rFonts w:ascii="Calibri" w:hAnsi="Calibri"/>
                <w:szCs w:val="20"/>
              </w:rPr>
              <w:t>-423.1</w:t>
            </w:r>
          </w:p>
        </w:tc>
        <w:tc>
          <w:tcPr>
            <w:tcW w:w="682" w:type="pct"/>
          </w:tcPr>
          <w:p w:rsidR="000B5C96" w:rsidRPr="00E1008A"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1008A">
              <w:rPr>
                <w:rFonts w:ascii="Calibri" w:hAnsi="Calibri"/>
                <w:szCs w:val="20"/>
              </w:rPr>
              <w:t>-428.6</w:t>
            </w:r>
          </w:p>
        </w:tc>
        <w:tc>
          <w:tcPr>
            <w:tcW w:w="681" w:type="pct"/>
          </w:tcPr>
          <w:p w:rsidR="000B5C96" w:rsidRPr="00E1008A"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1008A">
              <w:rPr>
                <w:rFonts w:ascii="Calibri" w:hAnsi="Calibri"/>
                <w:b/>
                <w:szCs w:val="20"/>
              </w:rPr>
              <w:t>-1,598.1</w:t>
            </w:r>
          </w:p>
        </w:tc>
      </w:tr>
    </w:tbl>
    <w:p w:rsidR="000B5C96" w:rsidRPr="00E1008A" w:rsidRDefault="000B5C96" w:rsidP="00D35174">
      <w:pPr>
        <w:pStyle w:val="Footnotes"/>
        <w:numPr>
          <w:ilvl w:val="0"/>
          <w:numId w:val="165"/>
        </w:numPr>
        <w:ind w:left="284" w:hanging="284"/>
      </w:pPr>
      <w:r w:rsidRPr="00E1008A">
        <w:t>A positive number represents an increase in the relevant budget balance, a negative number represents a decrease.</w:t>
      </w:r>
    </w:p>
    <w:p w:rsidR="000B5C96" w:rsidRPr="00E1008A" w:rsidRDefault="000B5C96" w:rsidP="00D35174">
      <w:pPr>
        <w:pStyle w:val="Footnotes"/>
        <w:numPr>
          <w:ilvl w:val="0"/>
          <w:numId w:val="165"/>
        </w:numPr>
        <w:ind w:left="284" w:hanging="284"/>
      </w:pPr>
      <w:r w:rsidRPr="00E1008A">
        <w:t>Figures may not sum to totals due to rounding.</w:t>
      </w:r>
    </w:p>
    <w:p w:rsidR="000B5C96" w:rsidRPr="00D7096D" w:rsidRDefault="000B5C96" w:rsidP="003F606A">
      <w:pPr>
        <w:pStyle w:val="CostingsH7"/>
      </w:pPr>
      <w:r w:rsidRPr="00D7096D">
        <w:t>Methodology</w:t>
      </w:r>
    </w:p>
    <w:p w:rsidR="000B5C96" w:rsidRPr="00E1008A" w:rsidRDefault="000B5C96" w:rsidP="003F606A">
      <w:pPr>
        <w:pStyle w:val="BodyText"/>
      </w:pPr>
      <w:r w:rsidRPr="00E1008A">
        <w:t>Administered expenditure estimates of component 1 are the specified amount of $400 million for the first year of the proposal (noting this amount is the pro-rated for the 1 September 2016 start date) with this amount indexed annually based on the projected June quarter CPI.</w:t>
      </w:r>
    </w:p>
    <w:p w:rsidR="000B5C96" w:rsidRPr="00E1008A" w:rsidRDefault="000B5C96" w:rsidP="003F606A">
      <w:pPr>
        <w:pStyle w:val="BodyText"/>
      </w:pPr>
      <w:r w:rsidRPr="00E1008A">
        <w:t>Departmental expenditure estimates for component 2 are as specified in the request.</w:t>
      </w:r>
    </w:p>
    <w:p w:rsidR="000B5C96" w:rsidRPr="00D7096D" w:rsidRDefault="000B5C96" w:rsidP="003F606A">
      <w:pPr>
        <w:pStyle w:val="CostingsH7"/>
      </w:pPr>
      <w:r w:rsidRPr="00D7096D">
        <w:t>Data source</w:t>
      </w:r>
    </w:p>
    <w:p w:rsidR="000B5C96" w:rsidRPr="00E1008A" w:rsidRDefault="000B5C96" w:rsidP="003F606A">
      <w:pPr>
        <w:pStyle w:val="BodyText"/>
        <w:rPr>
          <w:highlight w:val="yellow"/>
        </w:rPr>
      </w:pPr>
      <w:r w:rsidRPr="00E1008A">
        <w:t>The Department of Finance provided indexation parameters.</w:t>
      </w:r>
    </w:p>
    <w:p w:rsidR="000B5C96" w:rsidRPr="00E1008A" w:rsidRDefault="000B5C96" w:rsidP="003F606A">
      <w:pPr>
        <w:pStyle w:val="BodyText"/>
        <w:rPr>
          <w:highlight w:val="yellow"/>
        </w:rPr>
        <w:sectPr w:rsidR="000B5C96" w:rsidRPr="00E1008A" w:rsidSect="003F606A">
          <w:headerReference w:type="even" r:id="rId344"/>
          <w:headerReference w:type="default" r:id="rId345"/>
          <w:footerReference w:type="even" r:id="rId346"/>
          <w:footerReference w:type="default" r:id="rId347"/>
          <w:headerReference w:type="first" r:id="rId348"/>
          <w:footerReference w:type="first" r:id="rId349"/>
          <w:footnotePr>
            <w:numRestart w:val="eachSect"/>
          </w:footnotePr>
          <w:pgSz w:w="11906" w:h="16838"/>
          <w:pgMar w:top="1361" w:right="1797" w:bottom="1474" w:left="1797" w:header="283" w:footer="454" w:gutter="0"/>
          <w:cols w:space="708"/>
          <w:docGrid w:linePitch="360"/>
        </w:sectPr>
      </w:pPr>
    </w:p>
    <w:p w:rsidR="000B5C96" w:rsidRPr="00E1008A" w:rsidRDefault="000B5C96" w:rsidP="000B5C96">
      <w:pPr>
        <w:pStyle w:val="Heading6"/>
        <w:numPr>
          <w:ilvl w:val="0"/>
          <w:numId w:val="5"/>
        </w:numPr>
        <w:tabs>
          <w:tab w:val="clear" w:pos="0"/>
          <w:tab w:val="num" w:pos="360"/>
          <w:tab w:val="right" w:pos="1418"/>
          <w:tab w:val="right" w:pos="1701"/>
          <w:tab w:val="right" w:pos="1985"/>
        </w:tabs>
      </w:pPr>
      <w:r w:rsidRPr="00E1008A">
        <w:t>Attachment A: Boost TAFE Funding and establish VET Ombudsman—financial implications</w:t>
      </w:r>
    </w:p>
    <w:p w:rsidR="000B5C96" w:rsidRPr="00E1008A" w:rsidRDefault="000B5C96" w:rsidP="003F606A">
      <w:pPr>
        <w:pStyle w:val="Caption"/>
      </w:pPr>
      <w:r w:rsidRPr="00E1008A">
        <w:t>Table A1: Combined impact of all components—Financial implications</w:t>
      </w:r>
      <w:r w:rsidRPr="00E1008A">
        <w:rPr>
          <w:vertAlign w:val="superscript"/>
        </w:rPr>
        <w:t>(a)(b)</w:t>
      </w:r>
    </w:p>
    <w:tbl>
      <w:tblPr>
        <w:tblStyle w:val="TableGrid10"/>
        <w:tblW w:w="4995" w:type="pct"/>
        <w:tblInd w:w="0"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E1008A"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pPr>
            <w:r w:rsidRPr="00E1008A">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vertAlign w:val="superscript"/>
              </w:rPr>
            </w:pPr>
            <w:r w:rsidRPr="00E1008A">
              <w:rPr>
                <w:b/>
              </w:rPr>
              <w:t>Total to 2019–20</w:t>
            </w:r>
          </w:p>
        </w:tc>
      </w:tr>
      <w:tr w:rsidR="000B5C96" w:rsidRPr="00E1008A"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E1008A" w:rsidRDefault="000B5C96" w:rsidP="003F606A">
            <w:pPr>
              <w:keepNext/>
              <w:keepLines/>
              <w:ind w:left="57" w:right="57"/>
              <w:rPr>
                <w:b/>
              </w:rPr>
            </w:pPr>
            <w:r w:rsidRPr="00E1008A">
              <w:rPr>
                <w:b/>
              </w:rPr>
              <w:t>Fiscal and underlying cash balances – expenses/payments</w:t>
            </w:r>
          </w:p>
        </w:tc>
      </w:tr>
      <w:tr w:rsidR="000B5C96" w:rsidRPr="00E1008A"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keepNext/>
              <w:keepLines/>
              <w:ind w:left="57" w:right="57"/>
            </w:pPr>
            <w:r w:rsidRPr="00E1008A">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E1008A">
              <w:rPr>
                <w:rFonts w:ascii="Calibri" w:hAnsi="Calibri"/>
              </w:rPr>
              <w:t>-333.3</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E1008A">
              <w:rPr>
                <w:rFonts w:ascii="Calibri" w:hAnsi="Calibri"/>
              </w:rPr>
              <w:t>-408.0</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E1008A">
              <w:rPr>
                <w:rFonts w:ascii="Calibri" w:hAnsi="Calibri"/>
              </w:rPr>
              <w:t>-418.1</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E1008A">
              <w:rPr>
                <w:rFonts w:ascii="Calibri" w:hAnsi="Calibri"/>
              </w:rPr>
              <w:t>-428.6</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E1008A">
              <w:rPr>
                <w:rFonts w:ascii="Calibri" w:hAnsi="Calibri"/>
                <w:b/>
              </w:rPr>
              <w:t>-1,598.1</w:t>
            </w:r>
          </w:p>
        </w:tc>
      </w:tr>
      <w:tr w:rsidR="000B5C96" w:rsidRPr="00E1008A"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keepNext/>
              <w:keepLines/>
              <w:ind w:left="57" w:right="57"/>
            </w:pPr>
            <w:r w:rsidRPr="00E1008A">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1008A">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E1008A">
              <w:rPr>
                <w:rFonts w:ascii="Calibri" w:hAnsi="Calibri"/>
                <w:szCs w:val="20"/>
              </w:rPr>
              <w:t>-5.0</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E1008A">
              <w:rPr>
                <w:rFonts w:ascii="Calibri" w:hAnsi="Calibri"/>
                <w:szCs w:val="20"/>
              </w:rPr>
              <w:t>-5.0</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E1008A">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1008A">
              <w:rPr>
                <w:rFonts w:ascii="Calibri" w:hAnsi="Calibri"/>
                <w:b/>
                <w:szCs w:val="20"/>
              </w:rPr>
              <w:t>-</w:t>
            </w:r>
          </w:p>
        </w:tc>
      </w:tr>
      <w:tr w:rsidR="000B5C96" w:rsidRPr="00E1008A"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keepNext/>
              <w:keepLines/>
              <w:ind w:left="57" w:right="57"/>
              <w:rPr>
                <w:b/>
              </w:rPr>
            </w:pPr>
            <w:r w:rsidRPr="00E1008A">
              <w:rPr>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E1008A">
              <w:rPr>
                <w:rFonts w:ascii="Calibri" w:hAnsi="Calibri"/>
                <w:b/>
              </w:rPr>
              <w:t>-333.3</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E1008A">
              <w:rPr>
                <w:rFonts w:ascii="Calibri" w:hAnsi="Calibri"/>
                <w:b/>
              </w:rPr>
              <w:t>-413.0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E1008A">
              <w:rPr>
                <w:rFonts w:ascii="Calibri" w:hAnsi="Calibri"/>
                <w:b/>
              </w:rPr>
              <w:t>-423.1</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E1008A">
              <w:rPr>
                <w:rFonts w:ascii="Calibri" w:hAnsi="Calibri"/>
                <w:b/>
              </w:rPr>
              <w:t>-428.6</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E1008A">
              <w:rPr>
                <w:rFonts w:ascii="Calibri" w:hAnsi="Calibri"/>
                <w:b/>
              </w:rPr>
              <w:t>-1,598.1</w:t>
            </w:r>
          </w:p>
        </w:tc>
      </w:tr>
    </w:tbl>
    <w:p w:rsidR="000B5C96" w:rsidRDefault="000B5C96" w:rsidP="00D35174">
      <w:pPr>
        <w:pStyle w:val="Footnotes"/>
        <w:numPr>
          <w:ilvl w:val="0"/>
          <w:numId w:val="166"/>
        </w:numPr>
        <w:ind w:left="284" w:hanging="284"/>
      </w:pPr>
      <w:r w:rsidRPr="00E1008A">
        <w:t>A negative number indicates a decrease in revenue or an increase in expenses or net capital investment in accrual and cash terms.</w:t>
      </w:r>
    </w:p>
    <w:p w:rsidR="000B5C96" w:rsidRPr="00E1008A" w:rsidRDefault="000B5C96" w:rsidP="00D35174">
      <w:pPr>
        <w:pStyle w:val="Footnotes"/>
        <w:numPr>
          <w:ilvl w:val="0"/>
          <w:numId w:val="166"/>
        </w:numPr>
        <w:ind w:left="284" w:hanging="284"/>
      </w:pPr>
      <w:r w:rsidRPr="00E1008A">
        <w:t>Figures may not sum to totals due to rounding.</w:t>
      </w:r>
    </w:p>
    <w:p w:rsidR="000B5C96" w:rsidRPr="00E1008A" w:rsidRDefault="000B5C96" w:rsidP="000B5C96">
      <w:pPr>
        <w:pStyle w:val="Footnotes"/>
        <w:numPr>
          <w:ilvl w:val="0"/>
          <w:numId w:val="114"/>
        </w:numPr>
        <w:ind w:left="284" w:hanging="284"/>
      </w:pPr>
      <w:r w:rsidRPr="00E1008A">
        <w:t>Indicates nil.</w:t>
      </w:r>
    </w:p>
    <w:p w:rsidR="000B5C96" w:rsidRPr="00E1008A" w:rsidRDefault="000B5C96" w:rsidP="003F606A">
      <w:pPr>
        <w:pStyle w:val="Caption"/>
      </w:pPr>
      <w:r w:rsidRPr="00E1008A">
        <w:t>Table A2: Component 1—Financial implications</w:t>
      </w:r>
      <w:r w:rsidRPr="00E1008A">
        <w:rPr>
          <w:vertAlign w:val="superscript"/>
        </w:rPr>
        <w:t>(a)(b)</w:t>
      </w:r>
    </w:p>
    <w:tbl>
      <w:tblPr>
        <w:tblStyle w:val="TableGrid10"/>
        <w:tblW w:w="4995" w:type="pct"/>
        <w:tblInd w:w="0"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E1008A"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pPr>
            <w:r w:rsidRPr="00E1008A">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vertAlign w:val="superscript"/>
              </w:rPr>
            </w:pPr>
            <w:r w:rsidRPr="00E1008A">
              <w:rPr>
                <w:b/>
              </w:rPr>
              <w:t>Total to 2019–20</w:t>
            </w:r>
          </w:p>
        </w:tc>
      </w:tr>
      <w:tr w:rsidR="000B5C96" w:rsidRPr="00E1008A"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E1008A" w:rsidRDefault="000B5C96" w:rsidP="003F606A">
            <w:pPr>
              <w:keepNext/>
              <w:keepLines/>
              <w:ind w:left="57" w:right="57"/>
              <w:rPr>
                <w:b/>
              </w:rPr>
            </w:pPr>
            <w:r w:rsidRPr="00E1008A">
              <w:rPr>
                <w:b/>
              </w:rPr>
              <w:t>Fiscal and underlying cash balances – expenses/payments</w:t>
            </w:r>
          </w:p>
        </w:tc>
      </w:tr>
      <w:tr w:rsidR="000B5C96" w:rsidRPr="00E1008A"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keepNext/>
              <w:keepLines/>
              <w:ind w:left="57" w:right="57"/>
            </w:pPr>
            <w:r w:rsidRPr="00E1008A">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E1008A">
              <w:rPr>
                <w:rFonts w:ascii="Calibri" w:hAnsi="Calibri"/>
              </w:rPr>
              <w:t>-333.3</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E1008A">
              <w:rPr>
                <w:rFonts w:ascii="Calibri" w:hAnsi="Calibri"/>
              </w:rPr>
              <w:t>-408.0</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E1008A">
              <w:rPr>
                <w:rFonts w:ascii="Calibri" w:hAnsi="Calibri"/>
              </w:rPr>
              <w:t>-418.1</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Cs w:val="20"/>
              </w:rPr>
            </w:pPr>
            <w:r w:rsidRPr="00E1008A">
              <w:rPr>
                <w:rFonts w:ascii="Calibri" w:hAnsi="Calibri"/>
                <w:szCs w:val="20"/>
              </w:rPr>
              <w:t>-428.6</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E1008A">
              <w:rPr>
                <w:rFonts w:ascii="Calibri" w:hAnsi="Calibri"/>
                <w:b/>
              </w:rPr>
              <w:t>-1,588.1</w:t>
            </w:r>
          </w:p>
        </w:tc>
      </w:tr>
      <w:tr w:rsidR="000B5C96" w:rsidRPr="00E1008A"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keepNext/>
              <w:keepLines/>
              <w:ind w:left="57" w:right="57"/>
            </w:pPr>
            <w:r w:rsidRPr="00E1008A">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E1008A">
              <w:rPr>
                <w:rFonts w:ascii="Calibri" w:hAnsi="Calibri"/>
                <w: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E1008A">
              <w:rPr>
                <w:rFonts w:ascii="Calibri" w:hAnsi="Calibri"/>
                <w: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E1008A">
              <w:rPr>
                <w:rFonts w:ascii="Calibri" w:hAnsi="Calibri"/>
                <w: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E1008A">
              <w:rPr>
                <w:rFonts w:ascii="Calibri" w:hAnsi="Calibri"/>
                <w: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E1008A">
              <w:rPr>
                <w:rFonts w:ascii="Calibri" w:hAnsi="Calibri"/>
                <w:b/>
                <w:i/>
                <w:szCs w:val="20"/>
              </w:rPr>
              <w:t>-</w:t>
            </w:r>
          </w:p>
        </w:tc>
      </w:tr>
      <w:tr w:rsidR="000B5C96" w:rsidRPr="00E1008A"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keepNext/>
              <w:keepLines/>
              <w:ind w:left="57" w:right="57"/>
              <w:rPr>
                <w:b/>
              </w:rPr>
            </w:pPr>
            <w:r w:rsidRPr="00E1008A">
              <w:rPr>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E1008A">
              <w:rPr>
                <w:rFonts w:ascii="Calibri" w:hAnsi="Calibri"/>
                <w:b/>
              </w:rPr>
              <w:t>-333.3</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E1008A">
              <w:rPr>
                <w:rFonts w:ascii="Calibri" w:hAnsi="Calibri"/>
                <w:b/>
              </w:rPr>
              <w:t>-408.0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E1008A">
              <w:rPr>
                <w:rFonts w:ascii="Calibri" w:hAnsi="Calibri"/>
                <w:b/>
              </w:rPr>
              <w:t>-418.1</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E1008A">
              <w:rPr>
                <w:rFonts w:ascii="Calibri" w:hAnsi="Calibri"/>
                <w:b/>
              </w:rPr>
              <w:t>-428.6</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E1008A">
              <w:rPr>
                <w:rFonts w:ascii="Calibri" w:hAnsi="Calibri"/>
                <w:b/>
              </w:rPr>
              <w:t>-1,588.1</w:t>
            </w:r>
          </w:p>
        </w:tc>
      </w:tr>
    </w:tbl>
    <w:p w:rsidR="000B5C96" w:rsidRPr="00E1008A" w:rsidRDefault="000B5C96" w:rsidP="00D35174">
      <w:pPr>
        <w:pStyle w:val="Footnotes"/>
        <w:numPr>
          <w:ilvl w:val="0"/>
          <w:numId w:val="167"/>
        </w:numPr>
        <w:ind w:left="284" w:hanging="284"/>
      </w:pPr>
      <w:r w:rsidRPr="00E1008A">
        <w:t>A negative number indicates a decrease in revenue or an increase in expenses or net capital investment in accrual and cash terms.</w:t>
      </w:r>
    </w:p>
    <w:p w:rsidR="000B5C96" w:rsidRPr="00E1008A" w:rsidRDefault="000B5C96" w:rsidP="00D35174">
      <w:pPr>
        <w:pStyle w:val="Footnotes"/>
        <w:numPr>
          <w:ilvl w:val="0"/>
          <w:numId w:val="167"/>
        </w:numPr>
        <w:ind w:left="284" w:hanging="284"/>
      </w:pPr>
      <w:r w:rsidRPr="00E1008A">
        <w:t>Figures may not sum to totals due to rounding.</w:t>
      </w:r>
    </w:p>
    <w:p w:rsidR="000B5C96" w:rsidRPr="00E1008A" w:rsidRDefault="000B5C96" w:rsidP="000B5C96">
      <w:pPr>
        <w:pStyle w:val="Footnotes"/>
        <w:numPr>
          <w:ilvl w:val="0"/>
          <w:numId w:val="114"/>
        </w:numPr>
        <w:ind w:left="284" w:hanging="284"/>
      </w:pPr>
      <w:r w:rsidRPr="00E1008A">
        <w:t>Indicates nil.</w:t>
      </w:r>
    </w:p>
    <w:p w:rsidR="000B5C96" w:rsidRPr="00E1008A" w:rsidRDefault="000B5C96" w:rsidP="003F606A">
      <w:pPr>
        <w:pStyle w:val="Caption"/>
      </w:pPr>
      <w:r w:rsidRPr="00E1008A">
        <w:t>Table A3: Component 2—Financial implications</w:t>
      </w:r>
      <w:r w:rsidRPr="00E1008A">
        <w:rPr>
          <w:vertAlign w:val="superscript"/>
        </w:rPr>
        <w:t>(a)(b)</w:t>
      </w:r>
    </w:p>
    <w:tbl>
      <w:tblPr>
        <w:tblStyle w:val="TableGrid10"/>
        <w:tblW w:w="4995" w:type="pct"/>
        <w:tblInd w:w="0"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E1008A"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pPr>
            <w:r w:rsidRPr="00E1008A">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E1008A">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1008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vertAlign w:val="superscript"/>
              </w:rPr>
            </w:pPr>
            <w:r w:rsidRPr="00E1008A">
              <w:rPr>
                <w:b/>
              </w:rPr>
              <w:t>Total to 2019–20</w:t>
            </w:r>
          </w:p>
        </w:tc>
      </w:tr>
      <w:tr w:rsidR="000B5C96" w:rsidRPr="00E1008A"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E1008A" w:rsidRDefault="000B5C96" w:rsidP="003F606A">
            <w:pPr>
              <w:keepNext/>
              <w:keepLines/>
              <w:ind w:left="57" w:right="57"/>
              <w:rPr>
                <w:b/>
              </w:rPr>
            </w:pPr>
            <w:r w:rsidRPr="00E1008A">
              <w:rPr>
                <w:b/>
              </w:rPr>
              <w:t>Fiscal and underlying cash balances – expenses/payments</w:t>
            </w:r>
          </w:p>
        </w:tc>
      </w:tr>
      <w:tr w:rsidR="000B5C96" w:rsidRPr="00E1008A" w:rsidTr="003F606A">
        <w:trPr>
          <w:cantSplit/>
          <w:trHeight w:val="283"/>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keepNext/>
              <w:keepLines/>
              <w:ind w:left="57" w:right="57"/>
            </w:pPr>
            <w:r w:rsidRPr="00E1008A">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1008A">
              <w:rPr>
                <w:rFonts w:ascii="Calibri" w:hAnsi="Calibri"/>
                <w: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E1008A">
              <w:rPr>
                <w:rFonts w:ascii="Calibri" w:hAnsi="Calibri"/>
                <w: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E1008A">
              <w:rPr>
                <w:rFonts w:ascii="Calibri" w:hAnsi="Calibri"/>
                <w: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E1008A">
              <w:rPr>
                <w:rFonts w:ascii="Calibri" w:hAnsi="Calibri"/>
                <w: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E1008A">
              <w:rPr>
                <w:rFonts w:ascii="Calibri" w:hAnsi="Calibri"/>
                <w:b/>
                <w:i/>
                <w:szCs w:val="20"/>
              </w:rPr>
              <w:t>-</w:t>
            </w:r>
          </w:p>
        </w:tc>
      </w:tr>
      <w:tr w:rsidR="000B5C96" w:rsidRPr="00E1008A" w:rsidTr="003F606A">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keepNext/>
              <w:keepLines/>
              <w:ind w:left="57" w:right="57"/>
            </w:pPr>
            <w:r w:rsidRPr="00E1008A">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E1008A">
              <w:rPr>
                <w:rFonts w:ascii="Calibri" w:hAnsi="Calibri"/>
                <w: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E1008A">
              <w:rPr>
                <w:rFonts w:ascii="Calibri" w:hAnsi="Calibri"/>
                <w:szCs w:val="20"/>
              </w:rPr>
              <w:t>-5.0</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E1008A">
              <w:rPr>
                <w:rFonts w:ascii="Calibri" w:hAnsi="Calibri"/>
                <w:szCs w:val="20"/>
              </w:rPr>
              <w:t>-5.0</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E1008A">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E1008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1008A">
              <w:rPr>
                <w:rFonts w:ascii="Calibri" w:hAnsi="Calibri"/>
                <w:b/>
                <w:szCs w:val="20"/>
              </w:rPr>
              <w:t>-10.0</w:t>
            </w:r>
          </w:p>
        </w:tc>
      </w:tr>
      <w:tr w:rsidR="000B5C96" w:rsidRPr="00E1008A"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keepNext/>
              <w:keepLines/>
              <w:ind w:left="57" w:right="57"/>
              <w:rPr>
                <w:b/>
              </w:rPr>
            </w:pPr>
            <w:r w:rsidRPr="00E1008A">
              <w:rPr>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1008A">
              <w:rPr>
                <w:rFonts w:ascii="Calibri" w:hAnsi="Calibri"/>
                <w:b/>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E1008A">
              <w:rPr>
                <w:rFonts w:ascii="Calibri" w:hAnsi="Calibri"/>
                <w:b/>
                <w:szCs w:val="20"/>
              </w:rPr>
              <w:t>-5.0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E1008A">
              <w:rPr>
                <w:rFonts w:ascii="Calibri" w:hAnsi="Calibri"/>
                <w:b/>
                <w:szCs w:val="20"/>
              </w:rPr>
              <w:t>-5.0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E1008A">
              <w:rPr>
                <w:rFonts w:ascii="Calibri" w:hAnsi="Calibri"/>
                <w:b/>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E1008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E1008A">
              <w:rPr>
                <w:rFonts w:ascii="Calibri" w:hAnsi="Calibri"/>
                <w:b/>
                <w:szCs w:val="20"/>
              </w:rPr>
              <w:t>-10.0</w:t>
            </w:r>
          </w:p>
        </w:tc>
      </w:tr>
    </w:tbl>
    <w:p w:rsidR="000B5C96" w:rsidRPr="00E1008A" w:rsidRDefault="000B5C96" w:rsidP="00D35174">
      <w:pPr>
        <w:pStyle w:val="Footnotes"/>
        <w:numPr>
          <w:ilvl w:val="0"/>
          <w:numId w:val="168"/>
        </w:numPr>
        <w:ind w:left="284" w:hanging="284"/>
      </w:pPr>
      <w:r w:rsidRPr="00E1008A">
        <w:t>A negative number indicates a decrease in revenue or an increase in expenses or net capital investment in accrual and cash terms.</w:t>
      </w:r>
    </w:p>
    <w:p w:rsidR="000B5C96" w:rsidRPr="00E1008A" w:rsidRDefault="000B5C96" w:rsidP="00D35174">
      <w:pPr>
        <w:pStyle w:val="Footnotes"/>
        <w:numPr>
          <w:ilvl w:val="0"/>
          <w:numId w:val="168"/>
        </w:numPr>
        <w:ind w:left="284" w:hanging="284"/>
      </w:pPr>
      <w:r w:rsidRPr="00E1008A">
        <w:t>Figures may not sum to totals due to rounding.</w:t>
      </w:r>
    </w:p>
    <w:p w:rsidR="000B5C96" w:rsidRDefault="000B5C96" w:rsidP="000B5C96">
      <w:pPr>
        <w:pStyle w:val="Footnotes"/>
        <w:numPr>
          <w:ilvl w:val="0"/>
          <w:numId w:val="114"/>
        </w:numPr>
        <w:ind w:left="284" w:hanging="284"/>
      </w:pPr>
      <w:r w:rsidRPr="00E1008A">
        <w:t>Indicates nil.</w:t>
      </w: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31" w:name="_Toc457979353"/>
      <w:bookmarkStart w:id="132" w:name="_Toc458069211"/>
      <w:r>
        <w:t>GRN036: Future Fund for Innovation</w:t>
      </w:r>
      <w:bookmarkEnd w:id="131"/>
      <w:bookmarkEnd w:id="132"/>
    </w:p>
    <w:p w:rsidR="000B5C96" w:rsidRPr="009C09D3" w:rsidRDefault="000B5C96" w:rsidP="003F606A">
      <w:pPr>
        <w:pStyle w:val="BodyText"/>
      </w:pPr>
      <w:r w:rsidRPr="009C09D3">
        <w:rPr>
          <w:noProof/>
          <w:lang w:eastAsia="en-AU"/>
        </w:rPr>
        <w:drawing>
          <wp:inline distT="0" distB="0" distL="0" distR="0" wp14:anchorId="780DF3EE" wp14:editId="4A53E526">
            <wp:extent cx="2696845" cy="572135"/>
            <wp:effectExtent l="0" t="0" r="8255" b="0"/>
            <wp:docPr id="25" name="Picture 2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36576B" w:rsidRDefault="000B5C96" w:rsidP="000B5C96">
      <w:pPr>
        <w:pStyle w:val="Heading6"/>
        <w:numPr>
          <w:ilvl w:val="0"/>
          <w:numId w:val="5"/>
        </w:numPr>
        <w:tabs>
          <w:tab w:val="clear" w:pos="0"/>
          <w:tab w:val="num" w:pos="360"/>
          <w:tab w:val="right" w:pos="1418"/>
          <w:tab w:val="right" w:pos="1701"/>
          <w:tab w:val="right" w:pos="1985"/>
        </w:tabs>
      </w:pPr>
      <w:r w:rsidRPr="0036576B">
        <w:t>Policy costing—during the caretaker period for the 2016 general election</w:t>
      </w:r>
    </w:p>
    <w:tbl>
      <w:tblPr>
        <w:tblStyle w:val="Style13"/>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862AB8" w:rsidRDefault="000B5C96" w:rsidP="003F606A">
            <w:pPr>
              <w:pStyle w:val="PullOutBoxHeading"/>
              <w:rPr>
                <w:b/>
                <w:sz w:val="22"/>
              </w:rPr>
            </w:pPr>
            <w:r w:rsidRPr="00862AB8">
              <w:rPr>
                <w:b/>
                <w:sz w:val="22"/>
              </w:rPr>
              <w:t>Name of proposal:</w:t>
            </w:r>
          </w:p>
        </w:tc>
        <w:tc>
          <w:tcPr>
            <w:tcW w:w="5335" w:type="dxa"/>
          </w:tcPr>
          <w:p w:rsidR="000B5C96" w:rsidRPr="00862AB8" w:rsidRDefault="000B5C96" w:rsidP="003F606A">
            <w:pPr>
              <w:pStyle w:val="PullOutBoxHeading"/>
              <w:rPr>
                <w:b/>
                <w:sz w:val="22"/>
              </w:rPr>
            </w:pPr>
            <w:r w:rsidRPr="00862AB8">
              <w:rPr>
                <w:b/>
                <w:sz w:val="22"/>
              </w:rPr>
              <w:t>Innovation – Driving research and development through the Future Fund</w:t>
            </w:r>
          </w:p>
        </w:tc>
      </w:tr>
      <w:tr w:rsidR="000B5C96" w:rsidRPr="0036576B" w:rsidTr="003F606A">
        <w:tc>
          <w:tcPr>
            <w:tcW w:w="3005" w:type="dxa"/>
          </w:tcPr>
          <w:p w:rsidR="000B5C96" w:rsidRPr="0036576B" w:rsidRDefault="000B5C96" w:rsidP="003F606A">
            <w:pPr>
              <w:pStyle w:val="PullOutBoxBodyText"/>
            </w:pPr>
            <w:r w:rsidRPr="0036576B">
              <w:t>Summary of proposal:</w:t>
            </w:r>
          </w:p>
        </w:tc>
        <w:tc>
          <w:tcPr>
            <w:tcW w:w="5335" w:type="dxa"/>
          </w:tcPr>
          <w:p w:rsidR="000B5C96" w:rsidRPr="0036576B" w:rsidRDefault="000B5C96" w:rsidP="003F606A">
            <w:pPr>
              <w:pStyle w:val="PullOutBoxBodyText"/>
            </w:pPr>
            <w:r w:rsidRPr="0036576B">
              <w:t>This proposal would require 3 per cent of the Future Fund’s total asset holdings to be dedicated to Australian innovation, venture capital and impact investing.</w:t>
            </w:r>
          </w:p>
          <w:p w:rsidR="000B5C96" w:rsidRPr="0036576B" w:rsidRDefault="000B5C96" w:rsidP="003F606A">
            <w:pPr>
              <w:pStyle w:val="PullOutBoxBodyText"/>
            </w:pPr>
            <w:r w:rsidRPr="0036576B">
              <w:t>This proposal would commence on 1 September 2016.</w:t>
            </w:r>
          </w:p>
        </w:tc>
      </w:tr>
      <w:tr w:rsidR="000B5C96" w:rsidRPr="0036576B" w:rsidTr="003F606A">
        <w:tc>
          <w:tcPr>
            <w:tcW w:w="3005" w:type="dxa"/>
          </w:tcPr>
          <w:p w:rsidR="000B5C96" w:rsidRPr="0036576B" w:rsidRDefault="000B5C96" w:rsidP="003F606A">
            <w:pPr>
              <w:pStyle w:val="PullOutBoxBodyText"/>
            </w:pPr>
            <w:r w:rsidRPr="0036576B">
              <w:t>Person/party requesting costing:</w:t>
            </w:r>
          </w:p>
        </w:tc>
        <w:tc>
          <w:tcPr>
            <w:tcW w:w="5335" w:type="dxa"/>
          </w:tcPr>
          <w:p w:rsidR="000B5C96" w:rsidRPr="0036576B" w:rsidRDefault="000B5C96" w:rsidP="003F606A">
            <w:pPr>
              <w:pStyle w:val="PullOutBoxBodyText"/>
            </w:pPr>
            <w:r w:rsidRPr="0036576B">
              <w:t>Senator Richard Di Natale, Australian Greens</w:t>
            </w:r>
          </w:p>
        </w:tc>
      </w:tr>
      <w:tr w:rsidR="000B5C96" w:rsidRPr="0036576B" w:rsidTr="003F606A">
        <w:tc>
          <w:tcPr>
            <w:tcW w:w="3005" w:type="dxa"/>
          </w:tcPr>
          <w:p w:rsidR="000B5C96" w:rsidRPr="0036576B" w:rsidRDefault="000B5C96" w:rsidP="003F606A">
            <w:pPr>
              <w:pStyle w:val="PullOutBoxBodyText"/>
            </w:pPr>
            <w:r w:rsidRPr="0036576B">
              <w:t>Date of public release of policy:</w:t>
            </w:r>
          </w:p>
        </w:tc>
        <w:tc>
          <w:tcPr>
            <w:tcW w:w="5335" w:type="dxa"/>
          </w:tcPr>
          <w:p w:rsidR="000B5C96" w:rsidRPr="0036576B" w:rsidRDefault="000B5C96" w:rsidP="003F606A">
            <w:pPr>
              <w:pStyle w:val="PullOutBoxBodyText"/>
            </w:pPr>
            <w:r w:rsidRPr="0036576B">
              <w:t>21 May 2016</w:t>
            </w:r>
          </w:p>
        </w:tc>
      </w:tr>
      <w:tr w:rsidR="000B5C96" w:rsidRPr="0036576B" w:rsidTr="003F606A">
        <w:tc>
          <w:tcPr>
            <w:tcW w:w="3005" w:type="dxa"/>
          </w:tcPr>
          <w:p w:rsidR="000B5C96" w:rsidRPr="0036576B" w:rsidRDefault="000B5C96" w:rsidP="003F606A">
            <w:pPr>
              <w:pStyle w:val="PullOutBoxBodyText"/>
            </w:pPr>
            <w:r w:rsidRPr="0036576B">
              <w:t>Date costing request received:</w:t>
            </w:r>
          </w:p>
        </w:tc>
        <w:tc>
          <w:tcPr>
            <w:tcW w:w="5335" w:type="dxa"/>
          </w:tcPr>
          <w:p w:rsidR="000B5C96" w:rsidRPr="0036576B" w:rsidRDefault="000B5C96" w:rsidP="003F606A">
            <w:pPr>
              <w:pStyle w:val="PullOutBoxBodyText"/>
            </w:pPr>
            <w:r w:rsidRPr="0036576B">
              <w:t>28 June 2016</w:t>
            </w:r>
          </w:p>
        </w:tc>
      </w:tr>
      <w:tr w:rsidR="000B5C96" w:rsidRPr="0036576B" w:rsidTr="003F606A">
        <w:tc>
          <w:tcPr>
            <w:tcW w:w="3005" w:type="dxa"/>
          </w:tcPr>
          <w:p w:rsidR="000B5C96" w:rsidRPr="0036576B" w:rsidRDefault="000B5C96" w:rsidP="003F606A">
            <w:pPr>
              <w:pStyle w:val="PullOutBoxBodyText"/>
            </w:pPr>
            <w:r w:rsidRPr="0036576B">
              <w:t>Date costing completed</w:t>
            </w:r>
          </w:p>
        </w:tc>
        <w:tc>
          <w:tcPr>
            <w:tcW w:w="5335" w:type="dxa"/>
          </w:tcPr>
          <w:p w:rsidR="000B5C96" w:rsidRPr="0036576B" w:rsidRDefault="000B5C96" w:rsidP="003F606A">
            <w:pPr>
              <w:pStyle w:val="PullOutBoxBodyText"/>
            </w:pPr>
            <w:r w:rsidRPr="0036576B">
              <w:t>29 June 2016</w:t>
            </w:r>
          </w:p>
        </w:tc>
      </w:tr>
      <w:tr w:rsidR="000B5C96" w:rsidRPr="0036576B" w:rsidTr="003F606A">
        <w:tc>
          <w:tcPr>
            <w:tcW w:w="3005" w:type="dxa"/>
          </w:tcPr>
          <w:p w:rsidR="000B5C96" w:rsidRPr="0036576B" w:rsidRDefault="000B5C96" w:rsidP="003F606A">
            <w:pPr>
              <w:pStyle w:val="PullOutBoxBodyText"/>
            </w:pPr>
            <w:r w:rsidRPr="0036576B">
              <w:t>Additional information requested (including date):</w:t>
            </w:r>
          </w:p>
        </w:tc>
        <w:tc>
          <w:tcPr>
            <w:tcW w:w="5335" w:type="dxa"/>
          </w:tcPr>
          <w:p w:rsidR="000B5C96" w:rsidRPr="0036576B" w:rsidRDefault="000B5C96" w:rsidP="003F606A">
            <w:pPr>
              <w:pStyle w:val="PullOutBoxBodyText"/>
            </w:pPr>
            <w:r w:rsidRPr="0036576B">
              <w:t>On 28 June 2016, the Parliamentary Budget Office contacted advisers in Senator Di Natale’s office to clarify the amount of the Future Fund’s investments that would be subject to the 3 per cent requirement.</w:t>
            </w:r>
          </w:p>
        </w:tc>
      </w:tr>
      <w:tr w:rsidR="000B5C96" w:rsidRPr="0036576B" w:rsidTr="003F606A">
        <w:tc>
          <w:tcPr>
            <w:tcW w:w="3005" w:type="dxa"/>
          </w:tcPr>
          <w:p w:rsidR="000B5C96" w:rsidRPr="0036576B" w:rsidRDefault="000B5C96" w:rsidP="003F606A">
            <w:pPr>
              <w:pStyle w:val="PullOutBoxBodyText"/>
            </w:pPr>
            <w:r w:rsidRPr="0036576B">
              <w:t>Additional information received (including date):</w:t>
            </w:r>
          </w:p>
        </w:tc>
        <w:tc>
          <w:tcPr>
            <w:tcW w:w="5335" w:type="dxa"/>
          </w:tcPr>
          <w:p w:rsidR="000B5C96" w:rsidRPr="0036576B" w:rsidRDefault="000B5C96" w:rsidP="003F606A">
            <w:pPr>
              <w:pStyle w:val="PullOutBoxBodyText"/>
              <w:rPr>
                <w:highlight w:val="yellow"/>
              </w:rPr>
            </w:pPr>
            <w:r w:rsidRPr="0036576B">
              <w:t>On 28 June 2016, Senator Di Natale’s office confirmed that the proposal would require the Future Fund to dedicate 3 per cent of its total asset holdings to Australian innovation, venture capital and impact investing (approximately $15 billion over 4 years).</w:t>
            </w:r>
          </w:p>
        </w:tc>
      </w:tr>
      <w:tr w:rsidR="000B5C96" w:rsidRPr="0036576B" w:rsidTr="003F606A">
        <w:tc>
          <w:tcPr>
            <w:tcW w:w="3005" w:type="dxa"/>
          </w:tcPr>
          <w:p w:rsidR="000B5C96" w:rsidRPr="0036576B" w:rsidRDefault="000B5C96" w:rsidP="003F606A">
            <w:pPr>
              <w:pStyle w:val="PullOutBoxBodyText"/>
            </w:pPr>
            <w:r w:rsidRPr="0036576B">
              <w:t>Expiry date for the costing:</w:t>
            </w:r>
          </w:p>
        </w:tc>
        <w:tc>
          <w:tcPr>
            <w:tcW w:w="5335" w:type="dxa"/>
          </w:tcPr>
          <w:p w:rsidR="000B5C96" w:rsidRPr="0036576B" w:rsidRDefault="000B5C96" w:rsidP="003F606A">
            <w:pPr>
              <w:pStyle w:val="PullOutBoxBodyText"/>
            </w:pPr>
            <w:r w:rsidRPr="0036576B">
              <w:t>Release of the next economic and fiscal outlook report</w:t>
            </w:r>
          </w:p>
        </w:tc>
      </w:tr>
    </w:tbl>
    <w:p w:rsidR="000B5C96" w:rsidRPr="00D7096D" w:rsidRDefault="000B5C96" w:rsidP="003F606A">
      <w:pPr>
        <w:pStyle w:val="CostingsH7"/>
      </w:pPr>
      <w:r w:rsidRPr="00D7096D">
        <w:t>Costing overview</w:t>
      </w:r>
    </w:p>
    <w:p w:rsidR="000B5C96" w:rsidRPr="0036576B" w:rsidRDefault="000B5C96" w:rsidP="003F606A">
      <w:pPr>
        <w:pStyle w:val="BodyText"/>
      </w:pPr>
      <w:r w:rsidRPr="0036576B">
        <w:t>This proposal would not be expected to have an impact on the fiscal or underlying cash balances as it represents a redirection of existing investments which would be unlikely to have a material impact on the Future Fund’s overall rate of return on investment.</w:t>
      </w:r>
    </w:p>
    <w:p w:rsidR="000B5C96" w:rsidRPr="0036576B" w:rsidRDefault="000B5C96" w:rsidP="003F606A">
      <w:pPr>
        <w:pStyle w:val="BodyText"/>
      </w:pPr>
      <w:r w:rsidRPr="0036576B">
        <w:t>This costing is considered to be of medium reliability.  The costing relies on the assumption that the Future Fund would continue to achieve the same rate of return on its investments overall.</w:t>
      </w:r>
    </w:p>
    <w:p w:rsidR="000B5C96" w:rsidRPr="0036576B" w:rsidRDefault="000B5C96" w:rsidP="003F606A">
      <w:pPr>
        <w:pStyle w:val="Caption"/>
      </w:pPr>
      <w:r w:rsidRPr="0036576B">
        <w:t>Table 1: Financial implications (outturn prices)</w:t>
      </w:r>
    </w:p>
    <w:tbl>
      <w:tblPr>
        <w:tblStyle w:val="TableGrid11"/>
        <w:tblW w:w="4993" w:type="pct"/>
        <w:tblLook w:val="04A0" w:firstRow="1" w:lastRow="0" w:firstColumn="1" w:lastColumn="0" w:noHBand="0" w:noVBand="1"/>
      </w:tblPr>
      <w:tblGrid>
        <w:gridCol w:w="2644"/>
        <w:gridCol w:w="1133"/>
        <w:gridCol w:w="1134"/>
        <w:gridCol w:w="1134"/>
        <w:gridCol w:w="1134"/>
        <w:gridCol w:w="1132"/>
      </w:tblGrid>
      <w:tr w:rsidR="000B5C96" w:rsidRPr="0036576B"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36576B" w:rsidRDefault="000B5C96" w:rsidP="003F606A">
            <w:pPr>
              <w:keepNext/>
              <w:keepLines/>
              <w:spacing w:line="240" w:lineRule="auto"/>
              <w:ind w:left="57" w:right="57"/>
              <w:rPr>
                <w:szCs w:val="20"/>
              </w:rPr>
            </w:pPr>
            <w:r w:rsidRPr="0036576B">
              <w:rPr>
                <w:szCs w:val="20"/>
              </w:rPr>
              <w:t>Impact on ($m)</w:t>
            </w:r>
          </w:p>
        </w:tc>
        <w:tc>
          <w:tcPr>
            <w:tcW w:w="682" w:type="pct"/>
          </w:tcPr>
          <w:p w:rsidR="000B5C96" w:rsidRPr="0036576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576B">
              <w:rPr>
                <w:szCs w:val="20"/>
              </w:rPr>
              <w:t>2016–17</w:t>
            </w:r>
          </w:p>
        </w:tc>
        <w:tc>
          <w:tcPr>
            <w:tcW w:w="682" w:type="pct"/>
          </w:tcPr>
          <w:p w:rsidR="000B5C96" w:rsidRPr="0036576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576B">
              <w:rPr>
                <w:szCs w:val="20"/>
              </w:rPr>
              <w:t>2017–18</w:t>
            </w:r>
          </w:p>
        </w:tc>
        <w:tc>
          <w:tcPr>
            <w:tcW w:w="682" w:type="pct"/>
          </w:tcPr>
          <w:p w:rsidR="000B5C96" w:rsidRPr="0036576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576B">
              <w:rPr>
                <w:szCs w:val="20"/>
              </w:rPr>
              <w:t>2018–19</w:t>
            </w:r>
          </w:p>
        </w:tc>
        <w:tc>
          <w:tcPr>
            <w:tcW w:w="682" w:type="pct"/>
          </w:tcPr>
          <w:p w:rsidR="000B5C96" w:rsidRPr="0036576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6576B">
              <w:rPr>
                <w:szCs w:val="20"/>
              </w:rPr>
              <w:t>2019–20</w:t>
            </w:r>
          </w:p>
        </w:tc>
        <w:tc>
          <w:tcPr>
            <w:tcW w:w="681" w:type="pct"/>
          </w:tcPr>
          <w:p w:rsidR="000B5C96" w:rsidRPr="0036576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6576B">
              <w:rPr>
                <w:b/>
                <w:szCs w:val="20"/>
              </w:rPr>
              <w:t>Total</w:t>
            </w:r>
          </w:p>
        </w:tc>
      </w:tr>
      <w:tr w:rsidR="000B5C96" w:rsidRPr="0036576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36576B" w:rsidRDefault="000B5C96" w:rsidP="003F606A">
            <w:pPr>
              <w:keepNext/>
              <w:keepLines/>
              <w:ind w:left="57" w:right="57"/>
              <w:rPr>
                <w:szCs w:val="20"/>
              </w:rPr>
            </w:pPr>
            <w:r w:rsidRPr="0036576B">
              <w:rPr>
                <w:szCs w:val="20"/>
              </w:rPr>
              <w:t>Fiscal balance</w:t>
            </w:r>
          </w:p>
        </w:tc>
        <w:tc>
          <w:tcPr>
            <w:tcW w:w="682" w:type="pct"/>
          </w:tcPr>
          <w:p w:rsidR="000B5C96" w:rsidRPr="0036576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6576B">
              <w:rPr>
                <w:rFonts w:ascii="Calibri" w:hAnsi="Calibri"/>
                <w:szCs w:val="20"/>
              </w:rPr>
              <w:t>-</w:t>
            </w:r>
          </w:p>
        </w:tc>
        <w:tc>
          <w:tcPr>
            <w:tcW w:w="682" w:type="pct"/>
          </w:tcPr>
          <w:p w:rsidR="000B5C96" w:rsidRPr="0036576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6576B">
              <w:rPr>
                <w:rFonts w:ascii="Calibri" w:hAnsi="Calibri"/>
                <w:szCs w:val="20"/>
              </w:rPr>
              <w:t>-</w:t>
            </w:r>
          </w:p>
        </w:tc>
        <w:tc>
          <w:tcPr>
            <w:tcW w:w="682" w:type="pct"/>
          </w:tcPr>
          <w:p w:rsidR="000B5C96" w:rsidRPr="0036576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6576B">
              <w:rPr>
                <w:rFonts w:ascii="Calibri" w:hAnsi="Calibri"/>
                <w:szCs w:val="20"/>
              </w:rPr>
              <w:t>-</w:t>
            </w:r>
          </w:p>
        </w:tc>
        <w:tc>
          <w:tcPr>
            <w:tcW w:w="682" w:type="pct"/>
          </w:tcPr>
          <w:p w:rsidR="000B5C96" w:rsidRPr="0036576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6576B">
              <w:rPr>
                <w:rFonts w:ascii="Calibri" w:hAnsi="Calibri"/>
                <w:szCs w:val="20"/>
              </w:rPr>
              <w:t>-</w:t>
            </w:r>
          </w:p>
        </w:tc>
        <w:tc>
          <w:tcPr>
            <w:tcW w:w="681" w:type="pct"/>
          </w:tcPr>
          <w:p w:rsidR="000B5C96" w:rsidRPr="0036576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6576B">
              <w:rPr>
                <w:rFonts w:ascii="Calibri" w:hAnsi="Calibri"/>
                <w:b/>
                <w:szCs w:val="20"/>
              </w:rPr>
              <w:t>-</w:t>
            </w:r>
          </w:p>
        </w:tc>
      </w:tr>
      <w:tr w:rsidR="000B5C96" w:rsidRPr="0036576B"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6576B" w:rsidRDefault="000B5C96" w:rsidP="003F606A">
            <w:pPr>
              <w:keepNext/>
              <w:keepLines/>
              <w:ind w:left="57" w:right="57"/>
              <w:rPr>
                <w:szCs w:val="20"/>
              </w:rPr>
            </w:pPr>
            <w:r w:rsidRPr="0036576B">
              <w:rPr>
                <w:szCs w:val="20"/>
              </w:rPr>
              <w:t>Underlying cash balance</w:t>
            </w:r>
          </w:p>
        </w:tc>
        <w:tc>
          <w:tcPr>
            <w:tcW w:w="682" w:type="pct"/>
          </w:tcPr>
          <w:p w:rsidR="000B5C96" w:rsidRPr="0036576B"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6576B">
              <w:rPr>
                <w:rFonts w:ascii="Calibri" w:hAnsi="Calibri"/>
                <w:szCs w:val="20"/>
              </w:rPr>
              <w:t>-</w:t>
            </w:r>
          </w:p>
        </w:tc>
        <w:tc>
          <w:tcPr>
            <w:tcW w:w="682" w:type="pct"/>
          </w:tcPr>
          <w:p w:rsidR="000B5C96" w:rsidRPr="0036576B"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6576B">
              <w:rPr>
                <w:rFonts w:ascii="Calibri" w:hAnsi="Calibri"/>
                <w:szCs w:val="20"/>
              </w:rPr>
              <w:t>-</w:t>
            </w:r>
          </w:p>
        </w:tc>
        <w:tc>
          <w:tcPr>
            <w:tcW w:w="682" w:type="pct"/>
          </w:tcPr>
          <w:p w:rsidR="000B5C96" w:rsidRPr="0036576B"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6576B">
              <w:rPr>
                <w:rFonts w:ascii="Calibri" w:hAnsi="Calibri"/>
                <w:szCs w:val="20"/>
              </w:rPr>
              <w:t>-</w:t>
            </w:r>
          </w:p>
        </w:tc>
        <w:tc>
          <w:tcPr>
            <w:tcW w:w="682" w:type="pct"/>
          </w:tcPr>
          <w:p w:rsidR="000B5C96" w:rsidRPr="0036576B"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6576B">
              <w:rPr>
                <w:rFonts w:ascii="Calibri" w:hAnsi="Calibri"/>
                <w:szCs w:val="20"/>
              </w:rPr>
              <w:t>-</w:t>
            </w:r>
          </w:p>
        </w:tc>
        <w:tc>
          <w:tcPr>
            <w:tcW w:w="681" w:type="pct"/>
          </w:tcPr>
          <w:p w:rsidR="000B5C96" w:rsidRPr="0036576B"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6576B">
              <w:rPr>
                <w:rFonts w:ascii="Calibri" w:hAnsi="Calibri"/>
                <w:b/>
                <w:szCs w:val="20"/>
              </w:rPr>
              <w:t>-</w:t>
            </w:r>
          </w:p>
        </w:tc>
      </w:tr>
    </w:tbl>
    <w:p w:rsidR="000B5C96" w:rsidRPr="0036576B" w:rsidRDefault="000B5C96" w:rsidP="003F606A">
      <w:pPr>
        <w:pStyle w:val="Footnotes"/>
        <w:numPr>
          <w:ilvl w:val="0"/>
          <w:numId w:val="0"/>
        </w:numPr>
        <w:ind w:left="284" w:hanging="284"/>
      </w:pPr>
      <w:r w:rsidRPr="0036576B">
        <w:t>-</w:t>
      </w:r>
      <w:r w:rsidRPr="0036576B">
        <w:tab/>
        <w:t>Indicates nil.</w:t>
      </w:r>
    </w:p>
    <w:p w:rsidR="000B5C96" w:rsidRPr="00D7096D" w:rsidRDefault="000B5C96" w:rsidP="003F606A">
      <w:pPr>
        <w:pStyle w:val="CostingsH7"/>
      </w:pPr>
      <w:r w:rsidRPr="00D7096D">
        <w:t>Key assumptions</w:t>
      </w:r>
    </w:p>
    <w:p w:rsidR="000B5C96" w:rsidRPr="0036576B" w:rsidRDefault="000B5C96" w:rsidP="000B5C96">
      <w:pPr>
        <w:pStyle w:val="ListBullet"/>
        <w:keepLines w:val="0"/>
        <w:numPr>
          <w:ilvl w:val="0"/>
          <w:numId w:val="2"/>
        </w:numPr>
        <w:spacing w:before="113"/>
        <w:ind w:left="454" w:hanging="454"/>
        <w:rPr>
          <w:lang w:eastAsia="en-AU"/>
        </w:rPr>
      </w:pPr>
      <w:r w:rsidRPr="0036576B">
        <w:rPr>
          <w:lang w:eastAsia="en-AU"/>
        </w:rPr>
        <w:t>There would be no impact on departmental costs as the aggregate investment of the Future Fund would not change.</w:t>
      </w:r>
    </w:p>
    <w:p w:rsidR="000B5C96" w:rsidRPr="0036576B" w:rsidRDefault="000B5C96" w:rsidP="000B5C96">
      <w:pPr>
        <w:pStyle w:val="ListBullet"/>
        <w:keepLines w:val="0"/>
        <w:numPr>
          <w:ilvl w:val="0"/>
          <w:numId w:val="2"/>
        </w:numPr>
        <w:spacing w:before="113"/>
        <w:ind w:left="454" w:hanging="454"/>
        <w:rPr>
          <w:rFonts w:eastAsia="Calibri"/>
        </w:rPr>
      </w:pPr>
      <w:r w:rsidRPr="0036576B">
        <w:rPr>
          <w:rFonts w:eastAsia="Calibri"/>
        </w:rPr>
        <w:t>There would be no costs or barriers to redirecting 3 per cent of current Future Fund investments.</w:t>
      </w:r>
    </w:p>
    <w:p w:rsidR="000B5C96" w:rsidRPr="0036576B" w:rsidRDefault="000B5C96" w:rsidP="000B5C96">
      <w:pPr>
        <w:pStyle w:val="ListBullet"/>
        <w:keepLines w:val="0"/>
        <w:numPr>
          <w:ilvl w:val="0"/>
          <w:numId w:val="2"/>
        </w:numPr>
        <w:spacing w:before="113"/>
        <w:ind w:left="454" w:hanging="454"/>
        <w:rPr>
          <w:lang w:eastAsia="en-AU"/>
        </w:rPr>
      </w:pPr>
      <w:r w:rsidRPr="0036576B">
        <w:rPr>
          <w:lang w:eastAsia="en-AU"/>
        </w:rPr>
        <w:t>New investments would not materially alter the Future Fund’s overall rate of return on investment.</w:t>
      </w:r>
    </w:p>
    <w:p w:rsidR="000B5C96" w:rsidRPr="00D7096D" w:rsidRDefault="000B5C96" w:rsidP="003F606A">
      <w:pPr>
        <w:pStyle w:val="CostingsH7"/>
      </w:pPr>
      <w:r w:rsidRPr="00D7096D">
        <w:t>Data sources</w:t>
      </w:r>
    </w:p>
    <w:p w:rsidR="000B5C96" w:rsidRPr="0036576B" w:rsidRDefault="000B5C96" w:rsidP="000B5C96">
      <w:pPr>
        <w:pStyle w:val="ListBullet"/>
        <w:keepLines w:val="0"/>
        <w:numPr>
          <w:ilvl w:val="0"/>
          <w:numId w:val="2"/>
        </w:numPr>
        <w:spacing w:before="113"/>
        <w:ind w:left="454" w:hanging="454"/>
        <w:rPr>
          <w:lang w:eastAsia="en-AU"/>
        </w:rPr>
      </w:pPr>
      <w:r w:rsidRPr="0036576B">
        <w:rPr>
          <w:lang w:eastAsia="en-AU"/>
        </w:rPr>
        <w:t xml:space="preserve">Future Fund Investment Mandate, available at: </w:t>
      </w:r>
      <w:hyperlink r:id="rId350" w:history="1">
        <w:r w:rsidRPr="0036576B">
          <w:rPr>
            <w:color w:val="0000FF"/>
            <w:u w:val="single"/>
            <w:lang w:eastAsia="en-AU"/>
          </w:rPr>
          <w:t>https://www.legislation.gov.au/Details/F2015L00104</w:t>
        </w:r>
      </w:hyperlink>
    </w:p>
    <w:p w:rsidR="000B5C96" w:rsidRDefault="000B5C96" w:rsidP="003F606A">
      <w:pPr>
        <w:pStyle w:val="BodyText"/>
      </w:pP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33" w:name="_Toc457979354"/>
      <w:bookmarkStart w:id="134" w:name="_Toc458069212"/>
      <w:r>
        <w:t>GRN037: Marine Plastics CRC</w:t>
      </w:r>
      <w:bookmarkEnd w:id="133"/>
      <w:bookmarkEnd w:id="134"/>
    </w:p>
    <w:p w:rsidR="000B5C96" w:rsidRPr="009C09D3" w:rsidRDefault="000B5C96" w:rsidP="003F606A">
      <w:pPr>
        <w:pStyle w:val="BodyText"/>
      </w:pPr>
      <w:r w:rsidRPr="009C09D3">
        <w:rPr>
          <w:noProof/>
          <w:lang w:eastAsia="en-AU"/>
        </w:rPr>
        <w:drawing>
          <wp:inline distT="0" distB="0" distL="0" distR="0" wp14:anchorId="0F8ACE08" wp14:editId="5B0EB99C">
            <wp:extent cx="2696845" cy="572135"/>
            <wp:effectExtent l="0" t="0" r="8255" b="0"/>
            <wp:docPr id="26" name="Picture 2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787FE8" w:rsidRDefault="000B5C96" w:rsidP="000B5C96">
      <w:pPr>
        <w:pStyle w:val="Heading6"/>
        <w:numPr>
          <w:ilvl w:val="0"/>
          <w:numId w:val="5"/>
        </w:numPr>
        <w:tabs>
          <w:tab w:val="clear" w:pos="0"/>
          <w:tab w:val="num" w:pos="360"/>
          <w:tab w:val="right" w:pos="1418"/>
          <w:tab w:val="right" w:pos="1701"/>
          <w:tab w:val="right" w:pos="1985"/>
        </w:tabs>
      </w:pPr>
      <w:r w:rsidRPr="00787FE8">
        <w:t>Policy costing—during the caretaker period for the 2016 general election</w:t>
      </w:r>
    </w:p>
    <w:tbl>
      <w:tblPr>
        <w:tblStyle w:val="Style14"/>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862AB8" w:rsidRDefault="000B5C96" w:rsidP="003F606A">
            <w:pPr>
              <w:pStyle w:val="PullOutBoxHeading"/>
              <w:rPr>
                <w:b w:val="0"/>
              </w:rPr>
            </w:pPr>
            <w:r w:rsidRPr="00862AB8">
              <w:t>Name of proposal:</w:t>
            </w:r>
          </w:p>
        </w:tc>
        <w:tc>
          <w:tcPr>
            <w:tcW w:w="5335" w:type="dxa"/>
          </w:tcPr>
          <w:p w:rsidR="000B5C96" w:rsidRPr="00862AB8" w:rsidRDefault="000B5C96" w:rsidP="003F606A">
            <w:pPr>
              <w:pStyle w:val="PullOutBoxHeading"/>
              <w:rPr>
                <w:b w:val="0"/>
              </w:rPr>
            </w:pPr>
            <w:r w:rsidRPr="00862AB8">
              <w:t>Marine Plastics CRC</w:t>
            </w:r>
          </w:p>
        </w:tc>
      </w:tr>
      <w:tr w:rsidR="000B5C96" w:rsidRPr="00787FE8" w:rsidTr="003F606A">
        <w:tc>
          <w:tcPr>
            <w:tcW w:w="3005" w:type="dxa"/>
          </w:tcPr>
          <w:p w:rsidR="000B5C96" w:rsidRPr="00787FE8" w:rsidRDefault="000B5C96" w:rsidP="003F606A">
            <w:pPr>
              <w:pStyle w:val="PullOutBoxBodyText"/>
            </w:pPr>
            <w:r w:rsidRPr="00787FE8">
              <w:t>Summary of proposal:</w:t>
            </w:r>
          </w:p>
        </w:tc>
        <w:tc>
          <w:tcPr>
            <w:tcW w:w="5335" w:type="dxa"/>
          </w:tcPr>
          <w:p w:rsidR="000B5C96" w:rsidRPr="00787FE8" w:rsidRDefault="000B5C96" w:rsidP="003F606A">
            <w:pPr>
              <w:pStyle w:val="PullOutBoxBodyText"/>
            </w:pPr>
            <w:r w:rsidRPr="00787FE8">
              <w:t>The proposal would establish a Marine Plastics Cooperative Research Council (CRC) to undertake research into the impact of plastic pollution on the marine environment.</w:t>
            </w:r>
          </w:p>
          <w:p w:rsidR="000B5C96" w:rsidRPr="00787FE8" w:rsidRDefault="000B5C96" w:rsidP="003F606A">
            <w:pPr>
              <w:pStyle w:val="PullOutBoxBodyText"/>
            </w:pPr>
            <w:r w:rsidRPr="00787FE8">
              <w:t>The Australian Government would provide the CRC with $5 million in 2017</w:t>
            </w:r>
            <w:r w:rsidRPr="00787FE8">
              <w:noBreakHyphen/>
              <w:t>18, with funding indexed by the consumer price index (CPI) until this funding terminates in 2022</w:t>
            </w:r>
            <w:r w:rsidRPr="00787FE8">
              <w:noBreakHyphen/>
              <w:t>23.</w:t>
            </w:r>
          </w:p>
          <w:p w:rsidR="000B5C96" w:rsidRPr="00787FE8" w:rsidRDefault="000B5C96" w:rsidP="003F606A">
            <w:pPr>
              <w:pStyle w:val="PullOutBoxBodyText"/>
            </w:pPr>
            <w:r w:rsidRPr="00787FE8">
              <w:t>The proposal would have effect from 1 July 2017.</w:t>
            </w:r>
          </w:p>
        </w:tc>
      </w:tr>
      <w:tr w:rsidR="000B5C96" w:rsidRPr="00787FE8" w:rsidTr="003F606A">
        <w:tc>
          <w:tcPr>
            <w:tcW w:w="3005" w:type="dxa"/>
          </w:tcPr>
          <w:p w:rsidR="000B5C96" w:rsidRPr="00787FE8" w:rsidRDefault="000B5C96" w:rsidP="003F606A">
            <w:pPr>
              <w:pStyle w:val="PullOutBoxBodyText"/>
            </w:pPr>
            <w:r w:rsidRPr="00787FE8">
              <w:t>Person/party requesting costing:</w:t>
            </w:r>
          </w:p>
        </w:tc>
        <w:tc>
          <w:tcPr>
            <w:tcW w:w="5335" w:type="dxa"/>
          </w:tcPr>
          <w:p w:rsidR="000B5C96" w:rsidRPr="00787FE8" w:rsidRDefault="000B5C96" w:rsidP="003F606A">
            <w:pPr>
              <w:pStyle w:val="PullOutBoxBodyText"/>
            </w:pPr>
            <w:r w:rsidRPr="00787FE8">
              <w:t>Senator Richard Di Natale, Australian Greens</w:t>
            </w:r>
          </w:p>
        </w:tc>
      </w:tr>
      <w:tr w:rsidR="000B5C96" w:rsidRPr="00787FE8" w:rsidTr="003F606A">
        <w:tc>
          <w:tcPr>
            <w:tcW w:w="3005" w:type="dxa"/>
          </w:tcPr>
          <w:p w:rsidR="000B5C96" w:rsidRPr="00787FE8" w:rsidRDefault="000B5C96" w:rsidP="003F606A">
            <w:pPr>
              <w:pStyle w:val="PullOutBoxBodyText"/>
            </w:pPr>
            <w:r w:rsidRPr="00787FE8">
              <w:t>Date of public release of policy:</w:t>
            </w:r>
          </w:p>
        </w:tc>
        <w:tc>
          <w:tcPr>
            <w:tcW w:w="5335" w:type="dxa"/>
          </w:tcPr>
          <w:p w:rsidR="000B5C96" w:rsidRPr="00787FE8" w:rsidRDefault="000B5C96" w:rsidP="003F606A">
            <w:pPr>
              <w:pStyle w:val="PullOutBoxBodyText"/>
            </w:pPr>
            <w:r w:rsidRPr="00787FE8">
              <w:t>10 June 2016</w:t>
            </w:r>
          </w:p>
          <w:p w:rsidR="000B5C96" w:rsidRPr="00787FE8" w:rsidRDefault="00E46526" w:rsidP="003F606A">
            <w:pPr>
              <w:pStyle w:val="PullOutBoxBodyText"/>
            </w:pPr>
            <w:hyperlink r:id="rId351" w:history="1">
              <w:r w:rsidR="000B5C96" w:rsidRPr="00787FE8">
                <w:rPr>
                  <w:color w:val="0000FF"/>
                  <w:u w:val="single"/>
                </w:rPr>
                <w:t>http://greens.org.au/news/tas/greens-propose-establishment-marine-plastics-crc-hobart</w:t>
              </w:r>
            </w:hyperlink>
          </w:p>
        </w:tc>
      </w:tr>
      <w:tr w:rsidR="000B5C96" w:rsidRPr="00787FE8" w:rsidTr="003F606A">
        <w:tc>
          <w:tcPr>
            <w:tcW w:w="3005" w:type="dxa"/>
          </w:tcPr>
          <w:p w:rsidR="000B5C96" w:rsidRPr="00787FE8" w:rsidRDefault="000B5C96" w:rsidP="003F606A">
            <w:pPr>
              <w:pStyle w:val="PullOutBoxBodyText"/>
            </w:pPr>
            <w:r w:rsidRPr="00787FE8">
              <w:t>Date costing request received:</w:t>
            </w:r>
          </w:p>
        </w:tc>
        <w:tc>
          <w:tcPr>
            <w:tcW w:w="5335" w:type="dxa"/>
          </w:tcPr>
          <w:p w:rsidR="000B5C96" w:rsidRPr="00787FE8" w:rsidRDefault="000B5C96" w:rsidP="003F606A">
            <w:pPr>
              <w:pStyle w:val="PullOutBoxBodyText"/>
            </w:pPr>
            <w:r w:rsidRPr="00787FE8">
              <w:t>28 June 2016</w:t>
            </w:r>
          </w:p>
        </w:tc>
      </w:tr>
      <w:tr w:rsidR="000B5C96" w:rsidRPr="00787FE8" w:rsidTr="003F606A">
        <w:tc>
          <w:tcPr>
            <w:tcW w:w="3005" w:type="dxa"/>
          </w:tcPr>
          <w:p w:rsidR="000B5C96" w:rsidRPr="00787FE8" w:rsidRDefault="000B5C96" w:rsidP="003F606A">
            <w:pPr>
              <w:pStyle w:val="PullOutBoxBodyText"/>
            </w:pPr>
            <w:r w:rsidRPr="00787FE8">
              <w:t>Date costing completed:</w:t>
            </w:r>
          </w:p>
        </w:tc>
        <w:tc>
          <w:tcPr>
            <w:tcW w:w="5335" w:type="dxa"/>
          </w:tcPr>
          <w:p w:rsidR="000B5C96" w:rsidRPr="00787FE8" w:rsidRDefault="000B5C96" w:rsidP="003F606A">
            <w:pPr>
              <w:pStyle w:val="PullOutBoxBodyText"/>
            </w:pPr>
            <w:r w:rsidRPr="00787FE8">
              <w:t>28 June 2016</w:t>
            </w:r>
          </w:p>
        </w:tc>
      </w:tr>
      <w:tr w:rsidR="000B5C96" w:rsidRPr="00787FE8" w:rsidTr="003F606A">
        <w:tc>
          <w:tcPr>
            <w:tcW w:w="3005" w:type="dxa"/>
          </w:tcPr>
          <w:p w:rsidR="000B5C96" w:rsidRPr="00787FE8" w:rsidRDefault="000B5C96" w:rsidP="003F606A">
            <w:pPr>
              <w:pStyle w:val="PullOutBoxBodyText"/>
            </w:pPr>
            <w:r w:rsidRPr="00787FE8">
              <w:t>Expiry date for the costing:</w:t>
            </w:r>
          </w:p>
        </w:tc>
        <w:tc>
          <w:tcPr>
            <w:tcW w:w="5335" w:type="dxa"/>
          </w:tcPr>
          <w:p w:rsidR="000B5C96" w:rsidRPr="00787FE8" w:rsidRDefault="000B5C96" w:rsidP="003F606A">
            <w:pPr>
              <w:pStyle w:val="PullOutBoxBodyText"/>
            </w:pPr>
            <w:r w:rsidRPr="00787FE8">
              <w:t>Release of the next economic and fiscal outlook report</w:t>
            </w:r>
          </w:p>
        </w:tc>
      </w:tr>
    </w:tbl>
    <w:p w:rsidR="000B5C96" w:rsidRPr="00787FE8" w:rsidRDefault="000B5C96" w:rsidP="003F606A">
      <w:pPr>
        <w:pStyle w:val="CostingsH7"/>
        <w:rPr>
          <w:rFonts w:eastAsia="Calibri"/>
        </w:rPr>
      </w:pPr>
      <w:r w:rsidRPr="00787FE8">
        <w:rPr>
          <w:rFonts w:eastAsia="Calibri"/>
        </w:rPr>
        <w:t>Costing overview</w:t>
      </w:r>
    </w:p>
    <w:p w:rsidR="000B5C96" w:rsidRPr="00787FE8" w:rsidRDefault="000B5C96" w:rsidP="003F606A">
      <w:pPr>
        <w:pStyle w:val="BodyText"/>
        <w:rPr>
          <w:b/>
          <w:bCs/>
        </w:rPr>
      </w:pPr>
      <w:r w:rsidRPr="00787FE8">
        <w:t>The proposal would decrease both the fiscal and underlying cash balances by $15.3 million over the 2016-17 Budget forward estimates period.  This impact is due to an increase of $14.4 million in administered expenses and $0.9 million in departmental expenses over this period.</w:t>
      </w:r>
    </w:p>
    <w:p w:rsidR="000B5C96" w:rsidRPr="00787FE8" w:rsidRDefault="000B5C96" w:rsidP="003F606A">
      <w:pPr>
        <w:pStyle w:val="BodyText"/>
        <w:rPr>
          <w:b/>
          <w:bCs/>
        </w:rPr>
      </w:pPr>
      <w:r w:rsidRPr="00787FE8">
        <w:t>The proposal would continue to have an impact until it terminates in 2022</w:t>
      </w:r>
      <w:r w:rsidRPr="00787FE8">
        <w:noBreakHyphen/>
        <w:t xml:space="preserve">23.  Detailed financial implications are provided at </w:t>
      </w:r>
      <w:r w:rsidRPr="00787FE8">
        <w:rPr>
          <w:u w:val="single"/>
        </w:rPr>
        <w:t>Attachment A</w:t>
      </w:r>
      <w:r w:rsidRPr="00787FE8">
        <w:t>.</w:t>
      </w:r>
    </w:p>
    <w:p w:rsidR="000B5C96" w:rsidRPr="00787FE8" w:rsidRDefault="000B5C96" w:rsidP="003F606A">
      <w:pPr>
        <w:pStyle w:val="BodyText"/>
        <w:rPr>
          <w:b/>
          <w:bCs/>
        </w:rPr>
      </w:pPr>
      <w:r w:rsidRPr="00787FE8">
        <w:t>This costing is considered to be of high reliability as it based on specified capped funding allocations.  However, no analysis has been undertaken to determine the adequacy of the prescribed funding amounts to achieve the objective of the proposal.</w:t>
      </w:r>
    </w:p>
    <w:p w:rsidR="000B5C96" w:rsidRPr="00787FE8" w:rsidRDefault="000B5C96" w:rsidP="003F606A">
      <w:pPr>
        <w:pStyle w:val="Caption"/>
      </w:pPr>
      <w:r w:rsidRPr="00787FE8">
        <w:t>Table 1: Financial implications (outturn prices)</w:t>
      </w:r>
      <w:r w:rsidRPr="00787FE8">
        <w:rPr>
          <w:vertAlign w:val="superscript"/>
        </w:rPr>
        <w:t>(a)(b)</w:t>
      </w:r>
    </w:p>
    <w:tbl>
      <w:tblPr>
        <w:tblStyle w:val="TableGrid12"/>
        <w:tblW w:w="4993" w:type="pct"/>
        <w:tblLook w:val="04A0" w:firstRow="1" w:lastRow="0" w:firstColumn="1" w:lastColumn="0" w:noHBand="0" w:noVBand="1"/>
      </w:tblPr>
      <w:tblGrid>
        <w:gridCol w:w="2644"/>
        <w:gridCol w:w="1133"/>
        <w:gridCol w:w="1134"/>
        <w:gridCol w:w="1134"/>
        <w:gridCol w:w="1134"/>
        <w:gridCol w:w="1132"/>
      </w:tblGrid>
      <w:tr w:rsidR="000B5C96" w:rsidRPr="00787FE8"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787FE8" w:rsidRDefault="000B5C96" w:rsidP="003F606A">
            <w:pPr>
              <w:keepNext/>
              <w:keepLines/>
              <w:spacing w:line="240" w:lineRule="auto"/>
              <w:ind w:left="57" w:right="57"/>
              <w:rPr>
                <w:szCs w:val="20"/>
              </w:rPr>
            </w:pPr>
            <w:r w:rsidRPr="00787FE8">
              <w:rPr>
                <w:szCs w:val="20"/>
              </w:rPr>
              <w:t>Impact on ($m)</w:t>
            </w:r>
          </w:p>
        </w:tc>
        <w:tc>
          <w:tcPr>
            <w:tcW w:w="682" w:type="pct"/>
            <w:vAlign w:val="center"/>
          </w:tcPr>
          <w:p w:rsidR="000B5C96" w:rsidRPr="00787FE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87FE8">
              <w:rPr>
                <w:szCs w:val="20"/>
              </w:rPr>
              <w:t>2016–17</w:t>
            </w:r>
          </w:p>
        </w:tc>
        <w:tc>
          <w:tcPr>
            <w:tcW w:w="682" w:type="pct"/>
            <w:vAlign w:val="center"/>
          </w:tcPr>
          <w:p w:rsidR="000B5C96" w:rsidRPr="00787FE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87FE8">
              <w:rPr>
                <w:szCs w:val="20"/>
              </w:rPr>
              <w:t>2017–18</w:t>
            </w:r>
          </w:p>
        </w:tc>
        <w:tc>
          <w:tcPr>
            <w:tcW w:w="682" w:type="pct"/>
            <w:vAlign w:val="center"/>
          </w:tcPr>
          <w:p w:rsidR="000B5C96" w:rsidRPr="00787FE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87FE8">
              <w:rPr>
                <w:szCs w:val="20"/>
              </w:rPr>
              <w:t>2018–19</w:t>
            </w:r>
          </w:p>
        </w:tc>
        <w:tc>
          <w:tcPr>
            <w:tcW w:w="682" w:type="pct"/>
            <w:vAlign w:val="center"/>
          </w:tcPr>
          <w:p w:rsidR="000B5C96" w:rsidRPr="00787FE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87FE8">
              <w:rPr>
                <w:szCs w:val="20"/>
              </w:rPr>
              <w:t>2019–20</w:t>
            </w:r>
          </w:p>
        </w:tc>
        <w:tc>
          <w:tcPr>
            <w:tcW w:w="681" w:type="pct"/>
            <w:vAlign w:val="center"/>
          </w:tcPr>
          <w:p w:rsidR="000B5C96" w:rsidRPr="00787FE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87FE8">
              <w:rPr>
                <w:b/>
                <w:szCs w:val="20"/>
              </w:rPr>
              <w:t>Total</w:t>
            </w:r>
          </w:p>
        </w:tc>
      </w:tr>
      <w:tr w:rsidR="000B5C96" w:rsidRPr="00787FE8"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787FE8" w:rsidRDefault="000B5C96" w:rsidP="003F606A">
            <w:pPr>
              <w:keepNext/>
              <w:keepLines/>
              <w:ind w:left="57" w:right="57"/>
              <w:rPr>
                <w:szCs w:val="20"/>
              </w:rPr>
            </w:pPr>
            <w:r w:rsidRPr="00787FE8">
              <w:rPr>
                <w:szCs w:val="20"/>
              </w:rPr>
              <w:t>Fiscal balance</w:t>
            </w:r>
          </w:p>
        </w:tc>
        <w:tc>
          <w:tcPr>
            <w:tcW w:w="682" w:type="pct"/>
          </w:tcPr>
          <w:p w:rsidR="000B5C96" w:rsidRPr="00787FE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87FE8">
              <w:rPr>
                <w:rFonts w:ascii="Calibri" w:hAnsi="Calibri"/>
              </w:rPr>
              <w:t>-</w:t>
            </w:r>
          </w:p>
        </w:tc>
        <w:tc>
          <w:tcPr>
            <w:tcW w:w="682" w:type="pct"/>
          </w:tcPr>
          <w:p w:rsidR="000B5C96" w:rsidRPr="00787FE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87FE8">
              <w:rPr>
                <w:rFonts w:ascii="Calibri" w:hAnsi="Calibri"/>
              </w:rPr>
              <w:t>-5.0</w:t>
            </w:r>
          </w:p>
        </w:tc>
        <w:tc>
          <w:tcPr>
            <w:tcW w:w="682" w:type="pct"/>
          </w:tcPr>
          <w:p w:rsidR="000B5C96" w:rsidRPr="00787FE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87FE8">
              <w:rPr>
                <w:rFonts w:ascii="Calibri" w:hAnsi="Calibri"/>
              </w:rPr>
              <w:t>-5.1</w:t>
            </w:r>
          </w:p>
        </w:tc>
        <w:tc>
          <w:tcPr>
            <w:tcW w:w="682" w:type="pct"/>
          </w:tcPr>
          <w:p w:rsidR="000B5C96" w:rsidRPr="00787FE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87FE8">
              <w:rPr>
                <w:rFonts w:ascii="Calibri" w:hAnsi="Calibri"/>
              </w:rPr>
              <w:t>-5.2</w:t>
            </w:r>
          </w:p>
        </w:tc>
        <w:tc>
          <w:tcPr>
            <w:tcW w:w="681" w:type="pct"/>
          </w:tcPr>
          <w:p w:rsidR="000B5C96" w:rsidRPr="00787FE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787FE8">
              <w:rPr>
                <w:rFonts w:ascii="Calibri" w:hAnsi="Calibri"/>
                <w:b/>
              </w:rPr>
              <w:t>-15.3</w:t>
            </w:r>
          </w:p>
        </w:tc>
      </w:tr>
      <w:tr w:rsidR="000B5C96" w:rsidRPr="00787FE8"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787FE8" w:rsidRDefault="000B5C96" w:rsidP="003F606A">
            <w:pPr>
              <w:keepNext/>
              <w:keepLines/>
              <w:ind w:left="57" w:right="57"/>
              <w:rPr>
                <w:szCs w:val="20"/>
              </w:rPr>
            </w:pPr>
            <w:r w:rsidRPr="00787FE8">
              <w:rPr>
                <w:szCs w:val="20"/>
              </w:rPr>
              <w:t>Underlying cash balance</w:t>
            </w:r>
          </w:p>
        </w:tc>
        <w:tc>
          <w:tcPr>
            <w:tcW w:w="682"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682"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-5.0</w:t>
            </w:r>
          </w:p>
        </w:tc>
        <w:tc>
          <w:tcPr>
            <w:tcW w:w="682"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-5.1</w:t>
            </w:r>
          </w:p>
        </w:tc>
        <w:tc>
          <w:tcPr>
            <w:tcW w:w="682"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-5.2</w:t>
            </w:r>
          </w:p>
        </w:tc>
        <w:tc>
          <w:tcPr>
            <w:tcW w:w="681"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-15.3</w:t>
            </w:r>
          </w:p>
        </w:tc>
      </w:tr>
    </w:tbl>
    <w:p w:rsidR="000B5C96" w:rsidRPr="00787FE8" w:rsidRDefault="000B5C96" w:rsidP="00156CA0">
      <w:pPr>
        <w:pStyle w:val="Footnotes"/>
        <w:numPr>
          <w:ilvl w:val="0"/>
          <w:numId w:val="169"/>
        </w:numPr>
        <w:ind w:left="284" w:hanging="284"/>
      </w:pPr>
      <w:r w:rsidRPr="00787FE8">
        <w:t>A positive number represents an increase in the relevant budget balance, a negative number represents a decrease.</w:t>
      </w:r>
    </w:p>
    <w:p w:rsidR="000B5C96" w:rsidRPr="00787FE8" w:rsidRDefault="000B5C96" w:rsidP="00156CA0">
      <w:pPr>
        <w:pStyle w:val="Footnotes"/>
        <w:numPr>
          <w:ilvl w:val="0"/>
          <w:numId w:val="169"/>
        </w:numPr>
        <w:ind w:left="284" w:hanging="284"/>
      </w:pPr>
      <w:r w:rsidRPr="00787FE8">
        <w:t>Figures may not sum to totals due to rounding.</w:t>
      </w:r>
    </w:p>
    <w:p w:rsidR="000B5C96" w:rsidRPr="00787FE8" w:rsidRDefault="000B5C96" w:rsidP="003F606A">
      <w:pPr>
        <w:pStyle w:val="Footnotes"/>
        <w:numPr>
          <w:ilvl w:val="0"/>
          <w:numId w:val="0"/>
        </w:numPr>
        <w:ind w:left="284" w:hanging="284"/>
      </w:pPr>
      <w:r w:rsidRPr="00787FE8">
        <w:t>-</w:t>
      </w:r>
      <w:r w:rsidRPr="00787FE8">
        <w:tab/>
        <w:t>Indicates nil.</w:t>
      </w:r>
    </w:p>
    <w:p w:rsidR="000B5C96" w:rsidRPr="00787FE8" w:rsidRDefault="000B5C96" w:rsidP="003F606A">
      <w:pPr>
        <w:pStyle w:val="CostingsH7"/>
        <w:rPr>
          <w:rFonts w:eastAsia="Calibri"/>
        </w:rPr>
      </w:pPr>
      <w:r w:rsidRPr="00787FE8">
        <w:rPr>
          <w:rFonts w:eastAsia="Calibri"/>
        </w:rPr>
        <w:t>Methodology</w:t>
      </w:r>
    </w:p>
    <w:p w:rsidR="000B5C96" w:rsidRPr="00787FE8" w:rsidRDefault="000B5C96" w:rsidP="003F606A">
      <w:pPr>
        <w:pStyle w:val="BodyText"/>
      </w:pPr>
      <w:r w:rsidRPr="00787FE8">
        <w:t>The total impact of the proposal reflects the capped funding amount as specified in the request for 2017</w:t>
      </w:r>
      <w:r w:rsidRPr="00787FE8">
        <w:noBreakHyphen/>
        <w:t>18 indexed by CPI in subsequent years.</w:t>
      </w:r>
    </w:p>
    <w:p w:rsidR="000B5C96" w:rsidRPr="00787FE8" w:rsidRDefault="000B5C96" w:rsidP="003F606A">
      <w:pPr>
        <w:pStyle w:val="BodyText"/>
      </w:pPr>
      <w:r w:rsidRPr="00787FE8">
        <w:t>Departmental expenditure estimates were calculated based on previous similar budget measures.</w:t>
      </w:r>
    </w:p>
    <w:p w:rsidR="000B5C96" w:rsidRPr="00787FE8" w:rsidRDefault="000B5C96" w:rsidP="003F606A">
      <w:pPr>
        <w:pStyle w:val="BodyText"/>
      </w:pPr>
      <w:r w:rsidRPr="00787FE8">
        <w:t>Administered expenditure estimates are the remainder of the capped funding amounts after allowing for estimated departmental expenditure.</w:t>
      </w:r>
    </w:p>
    <w:p w:rsidR="000B5C96" w:rsidRPr="00787FE8" w:rsidRDefault="000B5C96" w:rsidP="003F606A">
      <w:pPr>
        <w:pStyle w:val="CostingsH7"/>
        <w:rPr>
          <w:rFonts w:eastAsia="Calibri"/>
        </w:rPr>
      </w:pPr>
      <w:r w:rsidRPr="00787FE8">
        <w:rPr>
          <w:rFonts w:eastAsia="Calibri"/>
        </w:rPr>
        <w:t>Data sources</w:t>
      </w:r>
    </w:p>
    <w:p w:rsidR="000B5C96" w:rsidRPr="00787FE8" w:rsidRDefault="000B5C96" w:rsidP="003F606A">
      <w:pPr>
        <w:pStyle w:val="BodyText"/>
      </w:pPr>
      <w:r w:rsidRPr="00787FE8">
        <w:t>The Department of Finance provided indexation and efficiency dividend parameters and extracts from the Central Budget Management System.</w:t>
      </w:r>
    </w:p>
    <w:p w:rsidR="000B5C96" w:rsidRDefault="000B5C96" w:rsidP="003F606A">
      <w:pPr>
        <w:spacing w:before="114" w:after="114"/>
        <w:rPr>
          <w:rFonts w:ascii="Calibri" w:eastAsia="Calibri" w:hAnsi="Calibri" w:cs="Times New Roman"/>
        </w:rPr>
      </w:pPr>
    </w:p>
    <w:p w:rsidR="000B5C96" w:rsidRPr="00787FE8" w:rsidRDefault="000B5C96" w:rsidP="003F606A">
      <w:pPr>
        <w:spacing w:before="114" w:after="114"/>
        <w:rPr>
          <w:rFonts w:ascii="Calibri" w:eastAsia="Calibri" w:hAnsi="Calibri" w:cs="Times New Roman"/>
        </w:rPr>
        <w:sectPr w:rsidR="000B5C96" w:rsidRPr="00787FE8" w:rsidSect="003F606A">
          <w:headerReference w:type="even" r:id="rId352"/>
          <w:headerReference w:type="default" r:id="rId353"/>
          <w:footerReference w:type="even" r:id="rId354"/>
          <w:footerReference w:type="default" r:id="rId355"/>
          <w:headerReference w:type="first" r:id="rId356"/>
          <w:footerReference w:type="first" r:id="rId357"/>
          <w:footnotePr>
            <w:numRestart w:val="eachSect"/>
          </w:footnotePr>
          <w:pgSz w:w="11907" w:h="16839" w:code="9"/>
          <w:pgMar w:top="1361" w:right="1797" w:bottom="1474" w:left="1797" w:header="283" w:footer="454" w:gutter="0"/>
          <w:cols w:space="708"/>
          <w:docGrid w:linePitch="360"/>
        </w:sectPr>
      </w:pPr>
    </w:p>
    <w:p w:rsidR="000B5C96" w:rsidRPr="00787FE8" w:rsidRDefault="000B5C96" w:rsidP="000B5C96">
      <w:pPr>
        <w:pStyle w:val="Heading6"/>
        <w:numPr>
          <w:ilvl w:val="0"/>
          <w:numId w:val="5"/>
        </w:numPr>
        <w:tabs>
          <w:tab w:val="clear" w:pos="0"/>
          <w:tab w:val="num" w:pos="360"/>
          <w:tab w:val="right" w:pos="1418"/>
          <w:tab w:val="right" w:pos="1701"/>
          <w:tab w:val="right" w:pos="1985"/>
        </w:tabs>
      </w:pPr>
      <w:r w:rsidRPr="00787FE8">
        <w:t>Attachment A: Marine Plastics CRC —financial implications</w:t>
      </w:r>
    </w:p>
    <w:p w:rsidR="000B5C96" w:rsidRPr="00787FE8" w:rsidRDefault="000B5C96" w:rsidP="003F606A">
      <w:pPr>
        <w:pStyle w:val="Caption"/>
        <w:rPr>
          <w:vertAlign w:val="superscript"/>
        </w:rPr>
      </w:pPr>
      <w:r w:rsidRPr="00787FE8">
        <w:t>Table A1: Marine Plastics CRC —Financial implications (outturn prices)</w:t>
      </w:r>
      <w:r w:rsidRPr="00787FE8">
        <w:rPr>
          <w:vertAlign w:val="superscript"/>
        </w:rPr>
        <w:t>(a)(b)</w:t>
      </w:r>
    </w:p>
    <w:tbl>
      <w:tblPr>
        <w:tblStyle w:val="TableGrid12"/>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787FE8"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787FE8" w:rsidRDefault="000B5C96" w:rsidP="003F606A">
            <w:pPr>
              <w:keepNext/>
              <w:keepLines/>
              <w:ind w:left="57" w:right="57"/>
            </w:pPr>
            <w:r w:rsidRPr="00787FE8">
              <w:t>($m)</w:t>
            </w:r>
          </w:p>
        </w:tc>
        <w:tc>
          <w:tcPr>
            <w:tcW w:w="326"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2016–17</w:t>
            </w:r>
          </w:p>
        </w:tc>
        <w:tc>
          <w:tcPr>
            <w:tcW w:w="325"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2017–18</w:t>
            </w:r>
          </w:p>
        </w:tc>
        <w:tc>
          <w:tcPr>
            <w:tcW w:w="325"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2018–19</w:t>
            </w:r>
          </w:p>
        </w:tc>
        <w:tc>
          <w:tcPr>
            <w:tcW w:w="325"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2019–20</w:t>
            </w:r>
          </w:p>
        </w:tc>
        <w:tc>
          <w:tcPr>
            <w:tcW w:w="327"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Total to 2019–20</w:t>
            </w:r>
          </w:p>
        </w:tc>
        <w:tc>
          <w:tcPr>
            <w:tcW w:w="325"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2020–21</w:t>
            </w:r>
          </w:p>
        </w:tc>
        <w:tc>
          <w:tcPr>
            <w:tcW w:w="325"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2021–22</w:t>
            </w:r>
          </w:p>
        </w:tc>
        <w:tc>
          <w:tcPr>
            <w:tcW w:w="325"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2022–23</w:t>
            </w:r>
          </w:p>
        </w:tc>
        <w:tc>
          <w:tcPr>
            <w:tcW w:w="325"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2023–24</w:t>
            </w:r>
          </w:p>
        </w:tc>
        <w:tc>
          <w:tcPr>
            <w:tcW w:w="325"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2024–25</w:t>
            </w:r>
          </w:p>
        </w:tc>
        <w:tc>
          <w:tcPr>
            <w:tcW w:w="325"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2025–26</w:t>
            </w:r>
          </w:p>
        </w:tc>
        <w:tc>
          <w:tcPr>
            <w:tcW w:w="325"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2026–27</w:t>
            </w:r>
          </w:p>
        </w:tc>
        <w:tc>
          <w:tcPr>
            <w:tcW w:w="326" w:type="pct"/>
            <w:shd w:val="clear" w:color="auto" w:fill="D7DDE9"/>
          </w:tcPr>
          <w:p w:rsidR="000B5C96" w:rsidRPr="00787FE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Total to 2026–27</w:t>
            </w:r>
          </w:p>
        </w:tc>
      </w:tr>
      <w:tr w:rsidR="000B5C96" w:rsidRPr="00787FE8"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B5C96" w:rsidRPr="00787FE8" w:rsidRDefault="000B5C96" w:rsidP="003F606A">
            <w:pPr>
              <w:keepNext/>
              <w:keepLines/>
              <w:ind w:left="57" w:right="57"/>
              <w:rPr>
                <w:b/>
              </w:rPr>
            </w:pPr>
            <w:r w:rsidRPr="00787FE8">
              <w:rPr>
                <w:b/>
              </w:rPr>
              <w:t>Fiscal and underlying cash balances – expenses/payments</w:t>
            </w:r>
          </w:p>
        </w:tc>
      </w:tr>
      <w:tr w:rsidR="000B5C96" w:rsidRPr="00787FE8"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787FE8" w:rsidRDefault="000B5C96" w:rsidP="003F606A">
            <w:pPr>
              <w:ind w:left="57" w:right="57"/>
            </w:pPr>
            <w:r w:rsidRPr="00787FE8">
              <w:t>Administered</w:t>
            </w:r>
          </w:p>
        </w:tc>
        <w:tc>
          <w:tcPr>
            <w:tcW w:w="326"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-4.7</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-4.8</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-4.9</w:t>
            </w:r>
          </w:p>
        </w:tc>
        <w:tc>
          <w:tcPr>
            <w:tcW w:w="327"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-14.4</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-5.0</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-5.2</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6"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-24.6</w:t>
            </w:r>
          </w:p>
        </w:tc>
      </w:tr>
      <w:tr w:rsidR="000B5C96" w:rsidRPr="00787FE8"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787FE8" w:rsidRDefault="000B5C96" w:rsidP="003F606A">
            <w:pPr>
              <w:ind w:left="57" w:right="57"/>
            </w:pPr>
            <w:r w:rsidRPr="00787FE8">
              <w:t>Departmental</w:t>
            </w:r>
          </w:p>
        </w:tc>
        <w:tc>
          <w:tcPr>
            <w:tcW w:w="326"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-0.3</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-0.3</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-0.3</w:t>
            </w:r>
          </w:p>
        </w:tc>
        <w:tc>
          <w:tcPr>
            <w:tcW w:w="327"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-0.9</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-0.3</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-0.3</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5"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87FE8">
              <w:rPr>
                <w:rFonts w:ascii="Calibri" w:hAnsi="Calibri"/>
              </w:rPr>
              <w:t>-</w:t>
            </w:r>
          </w:p>
        </w:tc>
        <w:tc>
          <w:tcPr>
            <w:tcW w:w="326" w:type="pct"/>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-1.6</w:t>
            </w:r>
          </w:p>
        </w:tc>
      </w:tr>
      <w:tr w:rsidR="000B5C96" w:rsidRPr="00787FE8"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787FE8" w:rsidRDefault="000B5C96" w:rsidP="003F606A">
            <w:pPr>
              <w:keepNext/>
              <w:keepLines/>
              <w:ind w:left="57" w:right="57"/>
              <w:rPr>
                <w:b/>
              </w:rPr>
            </w:pPr>
            <w:r w:rsidRPr="00787FE8">
              <w:rPr>
                <w:b/>
              </w:rPr>
              <w:t>Total</w:t>
            </w:r>
          </w:p>
        </w:tc>
        <w:tc>
          <w:tcPr>
            <w:tcW w:w="326"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w:t>
            </w:r>
          </w:p>
        </w:tc>
        <w:tc>
          <w:tcPr>
            <w:tcW w:w="325"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-5.0</w:t>
            </w:r>
          </w:p>
        </w:tc>
        <w:tc>
          <w:tcPr>
            <w:tcW w:w="325"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-5.1</w:t>
            </w:r>
          </w:p>
        </w:tc>
        <w:tc>
          <w:tcPr>
            <w:tcW w:w="325"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-5.2</w:t>
            </w:r>
          </w:p>
        </w:tc>
        <w:tc>
          <w:tcPr>
            <w:tcW w:w="327"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-15.3</w:t>
            </w:r>
          </w:p>
        </w:tc>
        <w:tc>
          <w:tcPr>
            <w:tcW w:w="325"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-5.4</w:t>
            </w:r>
          </w:p>
        </w:tc>
        <w:tc>
          <w:tcPr>
            <w:tcW w:w="325"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-5.5</w:t>
            </w:r>
          </w:p>
        </w:tc>
        <w:tc>
          <w:tcPr>
            <w:tcW w:w="325"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w:t>
            </w:r>
          </w:p>
        </w:tc>
        <w:tc>
          <w:tcPr>
            <w:tcW w:w="325"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w:t>
            </w:r>
          </w:p>
        </w:tc>
        <w:tc>
          <w:tcPr>
            <w:tcW w:w="325"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w:t>
            </w:r>
          </w:p>
        </w:tc>
        <w:tc>
          <w:tcPr>
            <w:tcW w:w="325"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w:t>
            </w:r>
          </w:p>
        </w:tc>
        <w:tc>
          <w:tcPr>
            <w:tcW w:w="325"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w:t>
            </w:r>
          </w:p>
        </w:tc>
        <w:tc>
          <w:tcPr>
            <w:tcW w:w="326" w:type="pct"/>
            <w:shd w:val="clear" w:color="auto" w:fill="D7DDE9"/>
          </w:tcPr>
          <w:p w:rsidR="000B5C96" w:rsidRPr="00787FE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87FE8">
              <w:rPr>
                <w:rFonts w:ascii="Calibri" w:hAnsi="Calibri"/>
                <w:b/>
              </w:rPr>
              <w:t>-26.2</w:t>
            </w:r>
          </w:p>
        </w:tc>
      </w:tr>
    </w:tbl>
    <w:p w:rsidR="000B5C96" w:rsidRDefault="000B5C96" w:rsidP="00156CA0">
      <w:pPr>
        <w:pStyle w:val="Footnotes"/>
        <w:numPr>
          <w:ilvl w:val="0"/>
          <w:numId w:val="170"/>
        </w:numPr>
        <w:ind w:left="284" w:hanging="284"/>
      </w:pPr>
      <w:r w:rsidRPr="00787FE8">
        <w:t>A negative number indicates an increase in expenses in accrual and cash terms.</w:t>
      </w:r>
    </w:p>
    <w:p w:rsidR="000B5C96" w:rsidRPr="00787FE8" w:rsidRDefault="000B5C96" w:rsidP="00156CA0">
      <w:pPr>
        <w:pStyle w:val="Footnotes"/>
        <w:numPr>
          <w:ilvl w:val="0"/>
          <w:numId w:val="170"/>
        </w:numPr>
        <w:ind w:left="284" w:hanging="284"/>
      </w:pPr>
      <w:r w:rsidRPr="00787FE8">
        <w:t>Figures may not sum to totals due to rounding.</w:t>
      </w:r>
    </w:p>
    <w:p w:rsidR="000B5C96" w:rsidRPr="00787FE8" w:rsidRDefault="000B5C96" w:rsidP="003F606A">
      <w:pPr>
        <w:pStyle w:val="Footnotes"/>
        <w:numPr>
          <w:ilvl w:val="0"/>
          <w:numId w:val="0"/>
        </w:numPr>
        <w:ind w:left="284" w:hanging="284"/>
      </w:pPr>
      <w:r w:rsidRPr="00787FE8">
        <w:t>-</w:t>
      </w:r>
      <w:r w:rsidRPr="00787FE8">
        <w:tab/>
        <w:t>Indicates nil.</w:t>
      </w:r>
    </w:p>
    <w:p w:rsidR="000B5C96" w:rsidRDefault="000B5C96" w:rsidP="003F606A">
      <w:pPr>
        <w:pStyle w:val="BodyText"/>
      </w:pPr>
    </w:p>
    <w:p w:rsidR="000B5C96" w:rsidRDefault="000B5C96" w:rsidP="003F606A">
      <w:pPr>
        <w:pStyle w:val="BodyText"/>
        <w:sectPr w:rsidR="000B5C96" w:rsidSect="003F606A">
          <w:headerReference w:type="even" r:id="rId358"/>
          <w:headerReference w:type="default" r:id="rId359"/>
          <w:footerReference w:type="even" r:id="rId360"/>
          <w:footerReference w:type="default" r:id="rId361"/>
          <w:footnotePr>
            <w:numRestart w:val="eachSect"/>
          </w:footnotePr>
          <w:pgSz w:w="16839" w:h="11907" w:orient="landscape" w:code="9"/>
          <w:pgMar w:top="1361" w:right="1797" w:bottom="1474" w:left="1797" w:header="283" w:footer="454" w:gutter="0"/>
          <w:cols w:space="708"/>
          <w:docGrid w:linePitch="360"/>
        </w:sectPr>
      </w:pPr>
    </w:p>
    <w:p w:rsidR="000B5C96" w:rsidRDefault="000B5C96" w:rsidP="003F606A">
      <w:pPr>
        <w:pStyle w:val="Heading5"/>
        <w:spacing w:before="0"/>
      </w:pPr>
      <w:bookmarkStart w:id="135" w:name="_Toc457979355"/>
      <w:bookmarkStart w:id="136" w:name="_Toc458069213"/>
      <w:r>
        <w:t>GRN038: Antarctic and Southern Ocean Package</w:t>
      </w:r>
      <w:bookmarkEnd w:id="135"/>
      <w:bookmarkEnd w:id="136"/>
    </w:p>
    <w:p w:rsidR="000B5C96" w:rsidRPr="009C09D3" w:rsidRDefault="000B5C96" w:rsidP="003F606A">
      <w:pPr>
        <w:pStyle w:val="BodyText"/>
      </w:pPr>
      <w:r w:rsidRPr="009C09D3">
        <w:rPr>
          <w:noProof/>
          <w:lang w:eastAsia="en-AU"/>
        </w:rPr>
        <w:drawing>
          <wp:inline distT="0" distB="0" distL="0" distR="0" wp14:anchorId="5EF3720F" wp14:editId="3C6B81DD">
            <wp:extent cx="2696845" cy="572135"/>
            <wp:effectExtent l="0" t="0" r="8255" b="0"/>
            <wp:docPr id="27" name="Picture 2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3E3932" w:rsidRDefault="000B5C96" w:rsidP="000B5C96">
      <w:pPr>
        <w:pStyle w:val="Heading6"/>
        <w:numPr>
          <w:ilvl w:val="0"/>
          <w:numId w:val="5"/>
        </w:numPr>
        <w:tabs>
          <w:tab w:val="clear" w:pos="0"/>
          <w:tab w:val="num" w:pos="360"/>
          <w:tab w:val="right" w:pos="1418"/>
          <w:tab w:val="right" w:pos="1701"/>
          <w:tab w:val="right" w:pos="1985"/>
        </w:tabs>
      </w:pPr>
      <w:r w:rsidRPr="003E3932">
        <w:t>Policy costing—during the caretaker period for the 2016 general election</w:t>
      </w:r>
    </w:p>
    <w:tbl>
      <w:tblPr>
        <w:tblStyle w:val="TableGrid13"/>
        <w:tblW w:w="8340" w:type="dxa"/>
        <w:tblLook w:val="04A0" w:firstRow="1" w:lastRow="0" w:firstColumn="1" w:lastColumn="0" w:noHBand="0" w:noVBand="1"/>
      </w:tblPr>
      <w:tblGrid>
        <w:gridCol w:w="3005"/>
        <w:gridCol w:w="5335"/>
      </w:tblGrid>
      <w:tr w:rsidR="000B5C96" w:rsidRPr="00862AB8" w:rsidTr="00156C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vAlign w:val="top"/>
          </w:tcPr>
          <w:p w:rsidR="000B5C96" w:rsidRPr="00156CA0" w:rsidRDefault="000B5C96" w:rsidP="00156CA0">
            <w:pPr>
              <w:pStyle w:val="PullOutBoxHeading"/>
              <w:rPr>
                <w:b w:val="0"/>
                <w:sz w:val="22"/>
              </w:rPr>
            </w:pPr>
            <w:r w:rsidRPr="00156CA0">
              <w:rPr>
                <w:sz w:val="22"/>
              </w:rPr>
              <w:t>Name of proposal:</w:t>
            </w:r>
          </w:p>
        </w:tc>
        <w:tc>
          <w:tcPr>
            <w:tcW w:w="5335" w:type="dxa"/>
            <w:vAlign w:val="top"/>
          </w:tcPr>
          <w:p w:rsidR="000B5C96" w:rsidRPr="00156CA0" w:rsidRDefault="000B5C96" w:rsidP="00156CA0">
            <w:pPr>
              <w:pStyle w:val="PullOutBoxHeading"/>
              <w:jc w:val="left"/>
              <w:cnfStyle w:val="100000000000" w:firstRow="1" w:lastRow="0" w:firstColumn="0" w:lastColumn="0" w:oddVBand="0" w:evenVBand="0" w:oddHBand="0" w:evenHBand="0" w:firstRowFirstColumn="0" w:firstRowLastColumn="0" w:lastRowFirstColumn="0" w:lastRowLastColumn="0"/>
              <w:rPr>
                <w:b w:val="0"/>
                <w:sz w:val="22"/>
              </w:rPr>
            </w:pPr>
            <w:r w:rsidRPr="00156CA0">
              <w:rPr>
                <w:sz w:val="22"/>
              </w:rPr>
              <w:t>Antarctic and Southern Ocean Policy</w:t>
            </w:r>
          </w:p>
        </w:tc>
      </w:tr>
      <w:tr w:rsidR="000B5C96" w:rsidRPr="003E3932" w:rsidTr="0015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156CA0" w:rsidRDefault="000B5C96" w:rsidP="00156CA0">
            <w:pPr>
              <w:pStyle w:val="PullOutBoxBodyText"/>
              <w:rPr>
                <w:sz w:val="22"/>
              </w:rPr>
            </w:pPr>
            <w:r w:rsidRPr="00156CA0">
              <w:rPr>
                <w:sz w:val="22"/>
              </w:rPr>
              <w:t>Summary of proposal:</w:t>
            </w:r>
          </w:p>
        </w:tc>
        <w:tc>
          <w:tcPr>
            <w:tcW w:w="5335" w:type="dxa"/>
            <w:vAlign w:val="top"/>
          </w:tcPr>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The proposal includes the following components:</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u w:val="single"/>
              </w:rPr>
            </w:pPr>
            <w:r w:rsidRPr="00156CA0">
              <w:rPr>
                <w:sz w:val="22"/>
                <w:u w:val="single"/>
              </w:rPr>
              <w:t>Component 1: Ice–sheet Unit</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This component would provide $4.4 million per year to establish a designated ice-sheet unit within the Australian Antarctic Division.</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u w:val="single"/>
              </w:rPr>
            </w:pPr>
            <w:r w:rsidRPr="00156CA0">
              <w:rPr>
                <w:sz w:val="22"/>
                <w:u w:val="single"/>
              </w:rPr>
              <w:t>Component 2: Antarctic Climate and Ecosystem Cooperative Research Centre (ACECRC)</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This component would provide an additional five years funding for ACECRC from 2019-20 to 2023-24.</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u w:val="single"/>
              </w:rPr>
            </w:pPr>
            <w:r w:rsidRPr="00156CA0">
              <w:rPr>
                <w:sz w:val="22"/>
                <w:u w:val="single"/>
              </w:rPr>
              <w:t>Component 3: Antarctic Gateway Partnership</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This component would continue the Antarctic Gateway Partnership funding for an additional four years after the end of current funding period.</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u w:val="single"/>
              </w:rPr>
            </w:pPr>
            <w:r w:rsidRPr="00156CA0">
              <w:rPr>
                <w:sz w:val="22"/>
                <w:u w:val="single"/>
              </w:rPr>
              <w:t xml:space="preserve">Component 4: </w:t>
            </w:r>
            <w:r w:rsidRPr="00156CA0">
              <w:rPr>
                <w:i/>
                <w:sz w:val="22"/>
                <w:u w:val="single"/>
              </w:rPr>
              <w:t>RV Investigator</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 xml:space="preserve">This component would provide additional funding to increase the number of days at sea for the </w:t>
            </w:r>
            <w:r w:rsidRPr="00156CA0">
              <w:rPr>
                <w:i/>
                <w:sz w:val="22"/>
              </w:rPr>
              <w:t>RV Investigator</w:t>
            </w:r>
            <w:r w:rsidRPr="00156CA0">
              <w:rPr>
                <w:sz w:val="22"/>
              </w:rPr>
              <w:t xml:space="preserve"> from 180 days to 300 days per year.</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u w:val="single"/>
              </w:rPr>
            </w:pPr>
            <w:r w:rsidRPr="00156CA0">
              <w:rPr>
                <w:sz w:val="22"/>
                <w:u w:val="single"/>
              </w:rPr>
              <w:t>Component 5: Productivity Commission</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This component would require the Productivity Commission to provide a full economic valuation of the output of Australia’s Antarctic Science Program and knowledge base.  This work would be done as part of the Commission’s usual work program.</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u w:val="single"/>
              </w:rPr>
            </w:pPr>
            <w:r w:rsidRPr="00156CA0">
              <w:rPr>
                <w:sz w:val="22"/>
                <w:u w:val="single"/>
              </w:rPr>
              <w:t>Component 6: Antarctic Envoy</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This component would establish the role of the Antarctic Envoy in the Department of Foreign Affairs and Trade (DFAT) with the cost to be met from within the existing resources of the department.</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u w:val="single"/>
              </w:rPr>
            </w:pPr>
            <w:r w:rsidRPr="00156CA0">
              <w:rPr>
                <w:sz w:val="22"/>
                <w:u w:val="single"/>
              </w:rPr>
              <w:t>Component 7: Press Review</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This component would ensure a full response would be provided to all 35 recommendations contained in the Press Review within the first three months of the term of the new Government.</w:t>
            </w:r>
          </w:p>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Components 1, 4, 5, 6 and 7 would have effect from 1 July 2016, Component 3 from 1 July 2017 and Component 2 from 1 July 2019.</w:t>
            </w:r>
          </w:p>
        </w:tc>
      </w:tr>
      <w:tr w:rsidR="000B5C96" w:rsidRPr="003E3932" w:rsidTr="00156CA0">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156CA0" w:rsidRDefault="000B5C96" w:rsidP="00156CA0">
            <w:pPr>
              <w:pStyle w:val="PullOutBoxBodyText"/>
              <w:rPr>
                <w:sz w:val="22"/>
              </w:rPr>
            </w:pPr>
            <w:r w:rsidRPr="00156CA0">
              <w:rPr>
                <w:sz w:val="22"/>
              </w:rPr>
              <w:t>Person/party requesting costing:</w:t>
            </w:r>
          </w:p>
        </w:tc>
        <w:tc>
          <w:tcPr>
            <w:tcW w:w="5335" w:type="dxa"/>
            <w:vAlign w:val="top"/>
          </w:tcPr>
          <w:p w:rsidR="000B5C96" w:rsidRPr="00156CA0" w:rsidRDefault="000B5C96" w:rsidP="00156CA0">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156CA0">
              <w:rPr>
                <w:sz w:val="22"/>
              </w:rPr>
              <w:t>Senator Richard Di Natale, Australian Greens</w:t>
            </w:r>
          </w:p>
        </w:tc>
      </w:tr>
      <w:tr w:rsidR="000B5C96" w:rsidRPr="003E3932" w:rsidTr="0015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156CA0" w:rsidRDefault="000B5C96" w:rsidP="00156CA0">
            <w:pPr>
              <w:pStyle w:val="PullOutBoxBodyText"/>
              <w:rPr>
                <w:sz w:val="22"/>
              </w:rPr>
            </w:pPr>
            <w:r w:rsidRPr="00156CA0">
              <w:rPr>
                <w:sz w:val="22"/>
              </w:rPr>
              <w:t>Date of public release of policy:</w:t>
            </w:r>
          </w:p>
        </w:tc>
        <w:tc>
          <w:tcPr>
            <w:tcW w:w="5335" w:type="dxa"/>
            <w:vAlign w:val="top"/>
          </w:tcPr>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26 June 2016</w:t>
            </w:r>
          </w:p>
        </w:tc>
      </w:tr>
      <w:tr w:rsidR="000B5C96" w:rsidRPr="003E3932" w:rsidTr="00156CA0">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156CA0" w:rsidRDefault="000B5C96" w:rsidP="00156CA0">
            <w:pPr>
              <w:pStyle w:val="PullOutBoxBodyText"/>
              <w:rPr>
                <w:sz w:val="22"/>
              </w:rPr>
            </w:pPr>
            <w:r w:rsidRPr="00156CA0">
              <w:rPr>
                <w:sz w:val="22"/>
              </w:rPr>
              <w:t>Date costing request received:</w:t>
            </w:r>
          </w:p>
        </w:tc>
        <w:tc>
          <w:tcPr>
            <w:tcW w:w="5335" w:type="dxa"/>
            <w:vAlign w:val="top"/>
          </w:tcPr>
          <w:p w:rsidR="000B5C96" w:rsidRPr="00156CA0" w:rsidRDefault="000B5C96" w:rsidP="00156CA0">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156CA0">
              <w:rPr>
                <w:sz w:val="22"/>
              </w:rPr>
              <w:t>28 June 2016</w:t>
            </w:r>
          </w:p>
        </w:tc>
      </w:tr>
      <w:tr w:rsidR="000B5C96" w:rsidRPr="003E3932" w:rsidTr="0015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156CA0" w:rsidRDefault="000B5C96" w:rsidP="00156CA0">
            <w:pPr>
              <w:pStyle w:val="PullOutBoxBodyText"/>
              <w:rPr>
                <w:sz w:val="22"/>
              </w:rPr>
            </w:pPr>
            <w:r w:rsidRPr="00156CA0">
              <w:rPr>
                <w:sz w:val="22"/>
              </w:rPr>
              <w:t>Date costing completed:</w:t>
            </w:r>
          </w:p>
        </w:tc>
        <w:tc>
          <w:tcPr>
            <w:tcW w:w="5335" w:type="dxa"/>
            <w:vAlign w:val="top"/>
          </w:tcPr>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28 June 2016</w:t>
            </w:r>
          </w:p>
        </w:tc>
      </w:tr>
      <w:tr w:rsidR="000B5C96" w:rsidRPr="003E3932" w:rsidTr="00156CA0">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156CA0" w:rsidRDefault="000B5C96" w:rsidP="00156CA0">
            <w:pPr>
              <w:pStyle w:val="PullOutBoxBodyText"/>
              <w:rPr>
                <w:sz w:val="22"/>
              </w:rPr>
            </w:pPr>
            <w:r w:rsidRPr="00156CA0">
              <w:rPr>
                <w:sz w:val="22"/>
              </w:rPr>
              <w:t>Additional information requested (including date):</w:t>
            </w:r>
          </w:p>
        </w:tc>
        <w:tc>
          <w:tcPr>
            <w:tcW w:w="5335" w:type="dxa"/>
            <w:vAlign w:val="top"/>
          </w:tcPr>
          <w:p w:rsidR="000B5C96" w:rsidRPr="00156CA0" w:rsidRDefault="000B5C96" w:rsidP="00156CA0">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156CA0">
              <w:rPr>
                <w:sz w:val="22"/>
              </w:rPr>
              <w:t xml:space="preserve">On 28 June 2016, the office of Senator Richard Di Natale (the office) was contacted to clarify whether the component of </w:t>
            </w:r>
            <w:r w:rsidRPr="00156CA0">
              <w:rPr>
                <w:i/>
                <w:sz w:val="22"/>
              </w:rPr>
              <w:t>RV Investigator</w:t>
            </w:r>
            <w:r w:rsidRPr="00156CA0">
              <w:rPr>
                <w:sz w:val="22"/>
              </w:rPr>
              <w:t xml:space="preserve"> should be included in the proposal and whether, consistent with the associated media release, agencies affected by Components 5 and 6 would be required to meet the cost of these proposals from within existing resources. </w:t>
            </w:r>
          </w:p>
        </w:tc>
      </w:tr>
      <w:tr w:rsidR="000B5C96" w:rsidRPr="003E3932" w:rsidTr="00156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156CA0" w:rsidRDefault="000B5C96" w:rsidP="00156CA0">
            <w:pPr>
              <w:pStyle w:val="PullOutBoxBodyText"/>
              <w:rPr>
                <w:sz w:val="22"/>
              </w:rPr>
            </w:pPr>
            <w:r w:rsidRPr="00156CA0">
              <w:rPr>
                <w:sz w:val="22"/>
              </w:rPr>
              <w:t>Additional information received (including date):</w:t>
            </w:r>
          </w:p>
        </w:tc>
        <w:tc>
          <w:tcPr>
            <w:tcW w:w="5335" w:type="dxa"/>
            <w:vAlign w:val="top"/>
          </w:tcPr>
          <w:p w:rsidR="000B5C96" w:rsidRPr="00156CA0" w:rsidRDefault="000B5C96" w:rsidP="00156CA0">
            <w:pPr>
              <w:pStyle w:val="PullOutBoxBodyText"/>
              <w:cnfStyle w:val="000000100000" w:firstRow="0" w:lastRow="0" w:firstColumn="0" w:lastColumn="0" w:oddVBand="0" w:evenVBand="0" w:oddHBand="1" w:evenHBand="0" w:firstRowFirstColumn="0" w:firstRowLastColumn="0" w:lastRowFirstColumn="0" w:lastRowLastColumn="0"/>
              <w:rPr>
                <w:sz w:val="22"/>
              </w:rPr>
            </w:pPr>
            <w:r w:rsidRPr="00156CA0">
              <w:rPr>
                <w:sz w:val="22"/>
              </w:rPr>
              <w:t xml:space="preserve">On 28 June 2016, the office advised that the component of </w:t>
            </w:r>
            <w:r w:rsidRPr="00156CA0">
              <w:rPr>
                <w:i/>
                <w:sz w:val="22"/>
              </w:rPr>
              <w:t>RV Investigator</w:t>
            </w:r>
            <w:r w:rsidRPr="00156CA0">
              <w:rPr>
                <w:sz w:val="22"/>
              </w:rPr>
              <w:t xml:space="preserve"> should be included in the proposal and that the Productivity Commission would be required to undertake Component 5 as part of its usual work program and that DFAT would be required to meet the cost of Component 6 from within existing resources.</w:t>
            </w:r>
          </w:p>
        </w:tc>
      </w:tr>
      <w:tr w:rsidR="000B5C96" w:rsidRPr="003E3932" w:rsidTr="00156CA0">
        <w:tc>
          <w:tcPr>
            <w:cnfStyle w:val="001000000000" w:firstRow="0" w:lastRow="0" w:firstColumn="1" w:lastColumn="0" w:oddVBand="0" w:evenVBand="0" w:oddHBand="0" w:evenHBand="0" w:firstRowFirstColumn="0" w:firstRowLastColumn="0" w:lastRowFirstColumn="0" w:lastRowLastColumn="0"/>
            <w:tcW w:w="3005" w:type="dxa"/>
            <w:vAlign w:val="top"/>
          </w:tcPr>
          <w:p w:rsidR="000B5C96" w:rsidRPr="00156CA0" w:rsidRDefault="000B5C96" w:rsidP="00156CA0">
            <w:pPr>
              <w:pStyle w:val="PullOutBoxBodyText"/>
              <w:rPr>
                <w:sz w:val="22"/>
              </w:rPr>
            </w:pPr>
            <w:r w:rsidRPr="00156CA0">
              <w:rPr>
                <w:sz w:val="22"/>
              </w:rPr>
              <w:t>Expiry date for the costing:</w:t>
            </w:r>
          </w:p>
        </w:tc>
        <w:tc>
          <w:tcPr>
            <w:tcW w:w="5335" w:type="dxa"/>
            <w:vAlign w:val="top"/>
          </w:tcPr>
          <w:p w:rsidR="000B5C96" w:rsidRPr="00156CA0" w:rsidRDefault="000B5C96" w:rsidP="00156CA0">
            <w:pPr>
              <w:pStyle w:val="PullOutBoxBodyText"/>
              <w:cnfStyle w:val="000000000000" w:firstRow="0" w:lastRow="0" w:firstColumn="0" w:lastColumn="0" w:oddVBand="0" w:evenVBand="0" w:oddHBand="0" w:evenHBand="0" w:firstRowFirstColumn="0" w:firstRowLastColumn="0" w:lastRowFirstColumn="0" w:lastRowLastColumn="0"/>
              <w:rPr>
                <w:sz w:val="22"/>
              </w:rPr>
            </w:pPr>
            <w:r w:rsidRPr="00156CA0">
              <w:rPr>
                <w:sz w:val="22"/>
              </w:rPr>
              <w:t>Release of the next economic and fiscal outlook report</w:t>
            </w:r>
          </w:p>
        </w:tc>
      </w:tr>
    </w:tbl>
    <w:p w:rsidR="000B5C96" w:rsidRPr="003E3932" w:rsidRDefault="000B5C96" w:rsidP="003F606A">
      <w:pPr>
        <w:pStyle w:val="CostingsH7"/>
        <w:rPr>
          <w:rFonts w:eastAsia="Calibri"/>
        </w:rPr>
      </w:pPr>
      <w:r w:rsidRPr="003E3932">
        <w:rPr>
          <w:rFonts w:eastAsia="Calibri"/>
        </w:rPr>
        <w:t>Costing overview</w:t>
      </w:r>
    </w:p>
    <w:p w:rsidR="000B5C96" w:rsidRPr="003E3932" w:rsidRDefault="000B5C96" w:rsidP="003F606A">
      <w:pPr>
        <w:pStyle w:val="BodyText"/>
      </w:pPr>
      <w:r w:rsidRPr="003E3932">
        <w:t>This proposal would be expected to decrease the fiscal and underlying cash balances by $115.9 million over the 2016</w:t>
      </w:r>
      <w:r w:rsidRPr="003E3932">
        <w:noBreakHyphen/>
        <w:t xml:space="preserve">17 Budget forward estimates.  These impacts are due to an increase in administered expenses of $29.0 million and an increase in departmental expenses of $86.9 million. </w:t>
      </w:r>
    </w:p>
    <w:p w:rsidR="000B5C96" w:rsidRPr="003E3932" w:rsidRDefault="000B5C96" w:rsidP="003F606A">
      <w:pPr>
        <w:pStyle w:val="BodyText"/>
      </w:pPr>
      <w:r w:rsidRPr="003E3932">
        <w:t xml:space="preserve">This proposal would have an ongoing impact that extends beyond the forward estimates.  Disaggregated financial implications for the total (Table A1) and by components (Components 1 to 4) of the proposal (Tables A2-A5) over the period 2016-17 to 2026-27 are at </w:t>
      </w:r>
      <w:r w:rsidRPr="003E3932">
        <w:rPr>
          <w:u w:val="single"/>
        </w:rPr>
        <w:t>Attachment</w:t>
      </w:r>
      <w:r>
        <w:rPr>
          <w:u w:val="single"/>
        </w:rPr>
        <w:t> </w:t>
      </w:r>
      <w:r w:rsidRPr="003E3932">
        <w:rPr>
          <w:u w:val="single"/>
        </w:rPr>
        <w:t>A</w:t>
      </w:r>
      <w:r w:rsidRPr="003E3932">
        <w:t>.</w:t>
      </w:r>
    </w:p>
    <w:p w:rsidR="000B5C96" w:rsidRPr="003E3932" w:rsidRDefault="000B5C96" w:rsidP="003F606A">
      <w:pPr>
        <w:pStyle w:val="BodyText"/>
      </w:pPr>
      <w:r w:rsidRPr="003E3932">
        <w:t>Component 7 would not require additional funding as it is not expected to be administratively burdensome.</w:t>
      </w:r>
    </w:p>
    <w:p w:rsidR="000B5C96" w:rsidRPr="003E3932" w:rsidRDefault="000B5C96" w:rsidP="003F606A">
      <w:pPr>
        <w:pStyle w:val="BodyText"/>
      </w:pPr>
      <w:r w:rsidRPr="003E3932">
        <w:t>For Component 1, the costing is considered to be of high reliability as it is based on specified capped amounts.  For Component 2 and Component 3, this costing is considered to be of high reliability as both are the continuation of existing programs.  For Component 4, this costing is considered to be of medium reliability due to the uncertainty of the average daily operating cost of the vessel.</w:t>
      </w:r>
    </w:p>
    <w:p w:rsidR="000B5C96" w:rsidRPr="003E3932" w:rsidRDefault="000B5C96" w:rsidP="003F606A">
      <w:pPr>
        <w:pStyle w:val="Caption"/>
      </w:pPr>
      <w:r w:rsidRPr="003E3932">
        <w:t>Table 1: Financial implications (outturn prices)</w:t>
      </w:r>
      <w:r w:rsidRPr="003E3932">
        <w:rPr>
          <w:vertAlign w:val="superscript"/>
        </w:rPr>
        <w:t>(a)(b)</w:t>
      </w:r>
    </w:p>
    <w:tbl>
      <w:tblPr>
        <w:tblStyle w:val="TableGrid13"/>
        <w:tblW w:w="4993" w:type="pct"/>
        <w:tblLook w:val="04A0" w:firstRow="1" w:lastRow="0" w:firstColumn="1" w:lastColumn="0" w:noHBand="0" w:noVBand="1"/>
      </w:tblPr>
      <w:tblGrid>
        <w:gridCol w:w="2645"/>
        <w:gridCol w:w="1134"/>
        <w:gridCol w:w="1133"/>
        <w:gridCol w:w="1133"/>
        <w:gridCol w:w="1133"/>
        <w:gridCol w:w="1132"/>
      </w:tblGrid>
      <w:tr w:rsidR="000B5C96" w:rsidRPr="003E3932"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3E3932" w:rsidRDefault="000B5C96" w:rsidP="003F606A">
            <w:pPr>
              <w:keepNext/>
              <w:keepLines/>
              <w:spacing w:line="240" w:lineRule="auto"/>
              <w:ind w:left="57" w:right="57"/>
              <w:rPr>
                <w:szCs w:val="20"/>
              </w:rPr>
            </w:pPr>
            <w:r w:rsidRPr="003E3932">
              <w:rPr>
                <w:szCs w:val="20"/>
              </w:rPr>
              <w:t>Impact on ($m)</w:t>
            </w:r>
          </w:p>
        </w:tc>
        <w:tc>
          <w:tcPr>
            <w:tcW w:w="682" w:type="pct"/>
          </w:tcPr>
          <w:p w:rsidR="000B5C96" w:rsidRPr="003E393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E3932">
              <w:rPr>
                <w:szCs w:val="20"/>
              </w:rPr>
              <w:t>2016–17</w:t>
            </w:r>
          </w:p>
        </w:tc>
        <w:tc>
          <w:tcPr>
            <w:tcW w:w="682" w:type="pct"/>
          </w:tcPr>
          <w:p w:rsidR="000B5C96" w:rsidRPr="003E393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E3932">
              <w:rPr>
                <w:szCs w:val="20"/>
              </w:rPr>
              <w:t>2017–18</w:t>
            </w:r>
          </w:p>
        </w:tc>
        <w:tc>
          <w:tcPr>
            <w:tcW w:w="682" w:type="pct"/>
          </w:tcPr>
          <w:p w:rsidR="000B5C96" w:rsidRPr="003E393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E3932">
              <w:rPr>
                <w:szCs w:val="20"/>
              </w:rPr>
              <w:t>2018–19</w:t>
            </w:r>
          </w:p>
        </w:tc>
        <w:tc>
          <w:tcPr>
            <w:tcW w:w="682" w:type="pct"/>
          </w:tcPr>
          <w:p w:rsidR="000B5C96" w:rsidRPr="003E393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E3932">
              <w:rPr>
                <w:szCs w:val="20"/>
              </w:rPr>
              <w:t>2019–20</w:t>
            </w:r>
          </w:p>
        </w:tc>
        <w:tc>
          <w:tcPr>
            <w:tcW w:w="681" w:type="pct"/>
          </w:tcPr>
          <w:p w:rsidR="000B5C96" w:rsidRPr="003E393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E3932">
              <w:rPr>
                <w:szCs w:val="20"/>
              </w:rPr>
              <w:t>Total</w:t>
            </w:r>
          </w:p>
        </w:tc>
      </w:tr>
      <w:tr w:rsidR="000B5C96" w:rsidRPr="003E393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3E3932" w:rsidRDefault="000B5C96" w:rsidP="003F606A">
            <w:pPr>
              <w:keepNext/>
              <w:keepLines/>
              <w:ind w:left="57" w:right="57"/>
              <w:rPr>
                <w:szCs w:val="20"/>
              </w:rPr>
            </w:pPr>
            <w:r w:rsidRPr="003E3932">
              <w:rPr>
                <w:szCs w:val="20"/>
              </w:rPr>
              <w:t>Fiscal balance</w:t>
            </w:r>
          </w:p>
        </w:tc>
        <w:tc>
          <w:tcPr>
            <w:tcW w:w="682" w:type="pct"/>
          </w:tcPr>
          <w:p w:rsidR="000B5C96" w:rsidRPr="003E393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3932">
              <w:rPr>
                <w:rFonts w:ascii="Calibri" w:hAnsi="Calibri"/>
                <w:szCs w:val="20"/>
              </w:rPr>
              <w:t xml:space="preserve">-21.8 </w:t>
            </w:r>
          </w:p>
        </w:tc>
        <w:tc>
          <w:tcPr>
            <w:tcW w:w="682" w:type="pct"/>
          </w:tcPr>
          <w:p w:rsidR="000B5C96" w:rsidRPr="003E393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3932">
              <w:rPr>
                <w:rFonts w:ascii="Calibri" w:hAnsi="Calibri"/>
                <w:szCs w:val="20"/>
              </w:rPr>
              <w:t xml:space="preserve">-29.6 </w:t>
            </w:r>
          </w:p>
        </w:tc>
        <w:tc>
          <w:tcPr>
            <w:tcW w:w="682" w:type="pct"/>
          </w:tcPr>
          <w:p w:rsidR="000B5C96" w:rsidRPr="003E393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3932">
              <w:rPr>
                <w:rFonts w:ascii="Calibri" w:hAnsi="Calibri"/>
                <w:szCs w:val="20"/>
              </w:rPr>
              <w:t xml:space="preserve">-29.7 </w:t>
            </w:r>
          </w:p>
        </w:tc>
        <w:tc>
          <w:tcPr>
            <w:tcW w:w="682" w:type="pct"/>
          </w:tcPr>
          <w:p w:rsidR="000B5C96" w:rsidRPr="003E393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3932">
              <w:rPr>
                <w:rFonts w:ascii="Calibri" w:hAnsi="Calibri"/>
                <w:szCs w:val="20"/>
              </w:rPr>
              <w:t xml:space="preserve">-34.8 </w:t>
            </w:r>
          </w:p>
        </w:tc>
        <w:tc>
          <w:tcPr>
            <w:tcW w:w="681" w:type="pct"/>
          </w:tcPr>
          <w:p w:rsidR="000B5C96" w:rsidRPr="003E393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E3932">
              <w:rPr>
                <w:rFonts w:ascii="Calibri" w:hAnsi="Calibri"/>
                <w:b/>
                <w:szCs w:val="20"/>
              </w:rPr>
              <w:t xml:space="preserve">-115.9 </w:t>
            </w:r>
          </w:p>
        </w:tc>
      </w:tr>
      <w:tr w:rsidR="000B5C96" w:rsidRPr="003E3932"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E3932" w:rsidRDefault="000B5C96" w:rsidP="003F606A">
            <w:pPr>
              <w:keepNext/>
              <w:keepLines/>
              <w:ind w:left="57" w:right="57"/>
              <w:rPr>
                <w:szCs w:val="20"/>
              </w:rPr>
            </w:pPr>
            <w:r w:rsidRPr="003E3932">
              <w:rPr>
                <w:szCs w:val="20"/>
              </w:rPr>
              <w:t>Underlying cash balance</w:t>
            </w:r>
          </w:p>
        </w:tc>
        <w:tc>
          <w:tcPr>
            <w:tcW w:w="682" w:type="pct"/>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3932">
              <w:rPr>
                <w:rFonts w:ascii="Calibri" w:hAnsi="Calibri"/>
                <w:szCs w:val="20"/>
              </w:rPr>
              <w:t xml:space="preserve">-21.8 </w:t>
            </w:r>
          </w:p>
        </w:tc>
        <w:tc>
          <w:tcPr>
            <w:tcW w:w="682" w:type="pct"/>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3932">
              <w:rPr>
                <w:rFonts w:ascii="Calibri" w:hAnsi="Calibri"/>
                <w:szCs w:val="20"/>
              </w:rPr>
              <w:t xml:space="preserve">-29.6 </w:t>
            </w:r>
          </w:p>
        </w:tc>
        <w:tc>
          <w:tcPr>
            <w:tcW w:w="682" w:type="pct"/>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3932">
              <w:rPr>
                <w:rFonts w:ascii="Calibri" w:hAnsi="Calibri"/>
                <w:szCs w:val="20"/>
              </w:rPr>
              <w:t xml:space="preserve">-29.7 </w:t>
            </w:r>
          </w:p>
        </w:tc>
        <w:tc>
          <w:tcPr>
            <w:tcW w:w="682" w:type="pct"/>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3932">
              <w:rPr>
                <w:rFonts w:ascii="Calibri" w:hAnsi="Calibri"/>
                <w:szCs w:val="20"/>
              </w:rPr>
              <w:t xml:space="preserve">-34.8 </w:t>
            </w:r>
          </w:p>
        </w:tc>
        <w:tc>
          <w:tcPr>
            <w:tcW w:w="681" w:type="pct"/>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 xml:space="preserve">-115.9 </w:t>
            </w:r>
          </w:p>
        </w:tc>
      </w:tr>
    </w:tbl>
    <w:p w:rsidR="000B5C96" w:rsidRPr="003E3932" w:rsidRDefault="000B5C96" w:rsidP="00156CA0">
      <w:pPr>
        <w:pStyle w:val="Footnotes"/>
        <w:numPr>
          <w:ilvl w:val="0"/>
          <w:numId w:val="171"/>
        </w:numPr>
        <w:ind w:left="284" w:hanging="284"/>
      </w:pPr>
      <w:r w:rsidRPr="003E3932">
        <w:t>A positive number indicates an increase in the relevant budget balance, a negative number a decrease.</w:t>
      </w:r>
    </w:p>
    <w:p w:rsidR="000B5C96" w:rsidRPr="003C2CE8" w:rsidRDefault="000B5C96" w:rsidP="00156CA0">
      <w:pPr>
        <w:pStyle w:val="Footnotes"/>
        <w:numPr>
          <w:ilvl w:val="0"/>
          <w:numId w:val="171"/>
        </w:numPr>
        <w:ind w:left="284" w:hanging="284"/>
        <w:rPr>
          <w:rFonts w:ascii="Times New Roman" w:eastAsia="Times New Roman" w:hAnsi="Times New Roman"/>
          <w:lang w:eastAsia="en-AU"/>
        </w:rPr>
      </w:pPr>
      <w:r w:rsidRPr="003E3932">
        <w:t>Figures may not sum to totals due to rounding.</w:t>
      </w:r>
    </w:p>
    <w:p w:rsidR="000B5C96" w:rsidRPr="003E3932" w:rsidRDefault="000B5C96" w:rsidP="003F606A">
      <w:pPr>
        <w:pStyle w:val="CostingsH7"/>
        <w:rPr>
          <w:rFonts w:eastAsia="Calibri"/>
        </w:rPr>
      </w:pPr>
      <w:r w:rsidRPr="003E3932">
        <w:rPr>
          <w:rFonts w:eastAsia="Calibri"/>
        </w:rPr>
        <w:t>Methodology</w:t>
      </w:r>
    </w:p>
    <w:p w:rsidR="000B5C96" w:rsidRPr="003E3932" w:rsidRDefault="000B5C96" w:rsidP="003F606A">
      <w:pPr>
        <w:pStyle w:val="BodyText"/>
      </w:pPr>
      <w:r w:rsidRPr="003E3932">
        <w:t>For Component 1, the financial impact on departmental expenses is the specified $4.4 million per year.</w:t>
      </w:r>
    </w:p>
    <w:p w:rsidR="000B5C96" w:rsidRPr="003E3932" w:rsidRDefault="000B5C96" w:rsidP="003F606A">
      <w:pPr>
        <w:pStyle w:val="BodyText"/>
      </w:pPr>
      <w:r w:rsidRPr="003E3932">
        <w:t>For Components 2 and 3, the financial impacts on administered expenses were based on existing funding for both programs.</w:t>
      </w:r>
    </w:p>
    <w:p w:rsidR="000B5C96" w:rsidRPr="003E3932" w:rsidRDefault="000B5C96" w:rsidP="003F606A">
      <w:pPr>
        <w:pStyle w:val="BodyText"/>
      </w:pPr>
      <w:r w:rsidRPr="003E3932">
        <w:t>For Component 4, the financial impact on departmental expenses was calculated by multiplying the average daily operating cost by the increased number of operating days, adjusted to account for the net effect of indexation parameters and the efficiency dividend.</w:t>
      </w:r>
    </w:p>
    <w:p w:rsidR="000B5C96" w:rsidRPr="003E3932" w:rsidRDefault="000B5C96" w:rsidP="003F606A">
      <w:pPr>
        <w:pStyle w:val="BodyText"/>
      </w:pPr>
      <w:r w:rsidRPr="003E3932">
        <w:t>Consistent with the specification of the proposal no additional resources have been provided for the Productivity Commission (Component 5) or DFAT (Component 6).</w:t>
      </w:r>
    </w:p>
    <w:p w:rsidR="000B5C96" w:rsidRPr="003E3932" w:rsidRDefault="000B5C96" w:rsidP="003F606A">
      <w:pPr>
        <w:pStyle w:val="CostingsH7"/>
        <w:rPr>
          <w:rFonts w:eastAsia="Calibri"/>
        </w:rPr>
      </w:pPr>
      <w:r w:rsidRPr="003E3932">
        <w:rPr>
          <w:rFonts w:eastAsia="Calibri"/>
        </w:rPr>
        <w:t>Data sources</w:t>
      </w:r>
    </w:p>
    <w:p w:rsidR="000B5C96" w:rsidRPr="003E3932" w:rsidRDefault="000B5C96" w:rsidP="003F606A">
      <w:pPr>
        <w:pStyle w:val="BodyText"/>
      </w:pPr>
      <w:r w:rsidRPr="003E3932">
        <w:t xml:space="preserve">The Department of Industry, Innovation and Science provided annual operating costs and planned operating days of the </w:t>
      </w:r>
      <w:r w:rsidRPr="003E3932">
        <w:rPr>
          <w:i/>
        </w:rPr>
        <w:t>RV Investigator</w:t>
      </w:r>
      <w:r w:rsidRPr="003E3932">
        <w:t xml:space="preserve"> over 2016-17 to 2019-20 and estimates profile for ACECRC over 2016-17 to 2018-19.</w:t>
      </w:r>
    </w:p>
    <w:p w:rsidR="000B5C96" w:rsidRPr="003E3932" w:rsidRDefault="000B5C96" w:rsidP="003F606A">
      <w:pPr>
        <w:pStyle w:val="BodyText"/>
        <w:rPr>
          <w:highlight w:val="yellow"/>
        </w:rPr>
        <w:sectPr w:rsidR="000B5C96" w:rsidRPr="003E3932" w:rsidSect="003F606A">
          <w:headerReference w:type="even" r:id="rId362"/>
          <w:headerReference w:type="default" r:id="rId363"/>
          <w:footerReference w:type="even" r:id="rId364"/>
          <w:footerReference w:type="default" r:id="rId365"/>
          <w:headerReference w:type="first" r:id="rId366"/>
          <w:footerReference w:type="first" r:id="rId367"/>
          <w:footnotePr>
            <w:numRestart w:val="eachSect"/>
          </w:footnotePr>
          <w:pgSz w:w="11906" w:h="16838"/>
          <w:pgMar w:top="1361" w:right="1797" w:bottom="1474" w:left="1797" w:header="283" w:footer="454" w:gutter="0"/>
          <w:cols w:space="708"/>
          <w:docGrid w:linePitch="360"/>
        </w:sectPr>
      </w:pPr>
      <w:r w:rsidRPr="003E3932">
        <w:t>2014-15 Budget Paper No. 2.</w:t>
      </w:r>
    </w:p>
    <w:p w:rsidR="000B5C96" w:rsidRPr="003E3932" w:rsidRDefault="000B5C96" w:rsidP="000B5C96">
      <w:pPr>
        <w:pStyle w:val="Heading6"/>
        <w:numPr>
          <w:ilvl w:val="0"/>
          <w:numId w:val="5"/>
        </w:numPr>
        <w:tabs>
          <w:tab w:val="clear" w:pos="0"/>
          <w:tab w:val="num" w:pos="360"/>
          <w:tab w:val="right" w:pos="1418"/>
          <w:tab w:val="right" w:pos="1701"/>
          <w:tab w:val="right" w:pos="1985"/>
        </w:tabs>
      </w:pPr>
      <w:r w:rsidRPr="003E3932">
        <w:t>Attachment A:  Antarctic and Southern Ocean Policy—financial implications</w:t>
      </w:r>
    </w:p>
    <w:p w:rsidR="000B5C96" w:rsidRPr="003E3932" w:rsidRDefault="000B5C96" w:rsidP="003F606A">
      <w:pPr>
        <w:pStyle w:val="Caption"/>
        <w:rPr>
          <w:vertAlign w:val="superscript"/>
        </w:rPr>
      </w:pPr>
      <w:r w:rsidRPr="003E3932">
        <w:t>Table A1: Financial implications (outturn prices)</w:t>
      </w:r>
      <w:r w:rsidRPr="003E3932">
        <w:rPr>
          <w:vertAlign w:val="superscript"/>
        </w:rPr>
        <w:t>(a)(b)</w:t>
      </w:r>
    </w:p>
    <w:tbl>
      <w:tblPr>
        <w:tblStyle w:val="TableGrid13"/>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3E3932" w:rsidRDefault="000B5C96" w:rsidP="003F606A">
            <w:pPr>
              <w:keepNext/>
              <w:keepLines/>
              <w:ind w:left="57" w:right="57"/>
              <w:rPr>
                <w:szCs w:val="20"/>
              </w:rPr>
            </w:pPr>
            <w:r w:rsidRPr="003E3932">
              <w:rPr>
                <w:szCs w:val="20"/>
              </w:rPr>
              <w:t>($m)</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2016–17</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2017–18</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2018–19</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2019–20</w:t>
            </w:r>
          </w:p>
        </w:tc>
        <w:tc>
          <w:tcPr>
            <w:tcW w:w="327"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Total to 2019–20</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2020–21</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2021–22</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2022–23</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2023–24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2024–25</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2025–26</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2026–27</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Total to 2026–27</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3E3932" w:rsidRDefault="000B5C96" w:rsidP="003F606A">
            <w:pPr>
              <w:keepNext/>
              <w:keepLines/>
              <w:ind w:left="57" w:right="57"/>
              <w:rPr>
                <w:b/>
                <w:szCs w:val="20"/>
              </w:rPr>
            </w:pPr>
            <w:r w:rsidRPr="003E3932">
              <w:rPr>
                <w:b/>
                <w:szCs w:val="20"/>
              </w:rPr>
              <w:t>Impact on fiscal and underlying cash balances</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3E3932" w:rsidRDefault="000B5C96" w:rsidP="003F606A">
            <w:pPr>
              <w:keepNext/>
              <w:keepLines/>
              <w:ind w:left="57" w:right="57"/>
              <w:rPr>
                <w:szCs w:val="20"/>
              </w:rPr>
            </w:pPr>
            <w:r w:rsidRPr="003E3932">
              <w:rPr>
                <w:szCs w:val="20"/>
              </w:rPr>
              <w:t>Administered</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-8.0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-8.0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-13.0</w:t>
            </w:r>
          </w:p>
        </w:tc>
        <w:tc>
          <w:tcPr>
            <w:tcW w:w="327"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-29.0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-13.0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-5.0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-5.0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-5.0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-57.0</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3E3932" w:rsidRDefault="000B5C96" w:rsidP="003F606A">
            <w:pPr>
              <w:keepNext/>
              <w:keepLines/>
              <w:ind w:left="57" w:right="57"/>
              <w:rPr>
                <w:szCs w:val="20"/>
              </w:rPr>
            </w:pPr>
            <w:r w:rsidRPr="003E3932">
              <w:rPr>
                <w:szCs w:val="20"/>
              </w:rPr>
              <w:t>Departmental</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-21.8</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-21.6</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-21.7</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-21.8</w:t>
            </w:r>
          </w:p>
        </w:tc>
        <w:tc>
          <w:tcPr>
            <w:tcW w:w="327"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-86.9</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-21.9</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-22.0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-22.2</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-22.3</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-22.4</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-22.5</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-22.6</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-242.9</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3E3932" w:rsidRDefault="000B5C96" w:rsidP="003F606A">
            <w:pPr>
              <w:keepNext/>
              <w:keepLines/>
              <w:ind w:left="57" w:right="57"/>
              <w:rPr>
                <w:b/>
                <w:szCs w:val="20"/>
              </w:rPr>
            </w:pPr>
            <w:r w:rsidRPr="003E3932">
              <w:rPr>
                <w:b/>
                <w:szCs w:val="20"/>
              </w:rPr>
              <w:t>Total</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-21.8</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-29.6</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-29.7</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-34.8</w:t>
            </w:r>
          </w:p>
        </w:tc>
        <w:tc>
          <w:tcPr>
            <w:tcW w:w="327"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-115.9</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-34.9</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-27.0</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-27.2</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-27.3</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-22.4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-22.5</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-22.6</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-299.9</w:t>
            </w:r>
          </w:p>
        </w:tc>
      </w:tr>
    </w:tbl>
    <w:p w:rsidR="000B5C96" w:rsidRPr="003E3932" w:rsidRDefault="000B5C96" w:rsidP="00156CA0">
      <w:pPr>
        <w:pStyle w:val="Footnotes"/>
        <w:keepNext/>
        <w:keepLines/>
        <w:numPr>
          <w:ilvl w:val="0"/>
          <w:numId w:val="172"/>
        </w:numPr>
        <w:ind w:left="284" w:hanging="284"/>
      </w:pPr>
      <w:r w:rsidRPr="003E3932">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3E3932" w:rsidRDefault="000B5C96" w:rsidP="00156CA0">
      <w:pPr>
        <w:pStyle w:val="Footnotes"/>
        <w:keepNext/>
        <w:keepLines/>
        <w:numPr>
          <w:ilvl w:val="0"/>
          <w:numId w:val="172"/>
        </w:numPr>
        <w:ind w:left="284" w:hanging="284"/>
      </w:pPr>
      <w:r w:rsidRPr="003E3932">
        <w:t xml:space="preserve">Figures may not </w:t>
      </w:r>
      <w:r>
        <w:t>sum to totals due to rounding.</w:t>
      </w:r>
    </w:p>
    <w:p w:rsidR="000B5C96" w:rsidRPr="003E3932" w:rsidRDefault="000B5C96" w:rsidP="000B5C96">
      <w:pPr>
        <w:pStyle w:val="Footnotes"/>
        <w:numPr>
          <w:ilvl w:val="0"/>
          <w:numId w:val="114"/>
        </w:numPr>
        <w:ind w:left="284" w:hanging="284"/>
      </w:pPr>
      <w:r w:rsidRPr="003E3932">
        <w:t>Indicates nil.</w:t>
      </w:r>
    </w:p>
    <w:p w:rsidR="000B5C96" w:rsidRPr="003E3932" w:rsidRDefault="000B5C96" w:rsidP="003F606A">
      <w:pPr>
        <w:pStyle w:val="Caption"/>
        <w:rPr>
          <w:vertAlign w:val="superscript"/>
        </w:rPr>
      </w:pPr>
      <w:r w:rsidRPr="003E3932">
        <w:t>Table A2: Component 1 – Ice–sheet Unit</w:t>
      </w:r>
      <w:r w:rsidRPr="003E3932">
        <w:rPr>
          <w:i/>
        </w:rPr>
        <w:t xml:space="preserve"> </w:t>
      </w:r>
      <w:r w:rsidRPr="003E3932">
        <w:t>– financial implications (outturn prices)</w:t>
      </w:r>
      <w:r w:rsidRPr="003E3932">
        <w:rPr>
          <w:vertAlign w:val="superscript"/>
        </w:rPr>
        <w:t>(a)(b)</w:t>
      </w:r>
    </w:p>
    <w:tbl>
      <w:tblPr>
        <w:tblStyle w:val="TableGrid13"/>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3E3932" w:rsidRDefault="000B5C96" w:rsidP="003F606A">
            <w:pPr>
              <w:keepNext/>
              <w:keepLines/>
              <w:ind w:left="57" w:right="57"/>
            </w:pPr>
            <w:r w:rsidRPr="003E3932">
              <w:rPr>
                <w:szCs w:val="20"/>
              </w:rPr>
              <w:t>($m)</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2016–17</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2017–18</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2018–19</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2019–20</w:t>
            </w:r>
          </w:p>
        </w:tc>
        <w:tc>
          <w:tcPr>
            <w:tcW w:w="327"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Total to 2019–20</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2020–21</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2021–22</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2022–23</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2023–24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2024–25</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2025–26</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2026–27</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Total to 2026–27</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3E3932" w:rsidRDefault="000B5C96" w:rsidP="003F606A">
            <w:pPr>
              <w:keepNext/>
              <w:keepLines/>
              <w:ind w:left="57" w:right="57"/>
              <w:rPr>
                <w:b/>
                <w:szCs w:val="20"/>
              </w:rPr>
            </w:pPr>
            <w:r w:rsidRPr="003E3932">
              <w:rPr>
                <w:b/>
                <w:szCs w:val="20"/>
              </w:rPr>
              <w:t>Impact on fiscal and underlying cash balances</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3E3932" w:rsidRDefault="000B5C96" w:rsidP="003F606A">
            <w:pPr>
              <w:keepNext/>
              <w:keepLines/>
              <w:ind w:left="57" w:right="57"/>
              <w:rPr>
                <w:szCs w:val="20"/>
              </w:rPr>
            </w:pPr>
            <w:r w:rsidRPr="003E3932">
              <w:rPr>
                <w:szCs w:val="20"/>
              </w:rPr>
              <w:t>Administered</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7"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3E3932" w:rsidRDefault="000B5C96" w:rsidP="003F606A">
            <w:pPr>
              <w:keepNext/>
              <w:keepLines/>
              <w:ind w:left="57" w:right="57"/>
              <w:rPr>
                <w:szCs w:val="20"/>
              </w:rPr>
            </w:pPr>
            <w:r w:rsidRPr="003E3932">
              <w:rPr>
                <w:szCs w:val="20"/>
              </w:rPr>
              <w:t>Departmental</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-4.4</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-4.4</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-4.4</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-4.4</w:t>
            </w:r>
          </w:p>
        </w:tc>
        <w:tc>
          <w:tcPr>
            <w:tcW w:w="327"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-17.6</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-4.4</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-4.4</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-4.4</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-4.4</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-4.4</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-4.4</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-4.4</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-48.4</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3E3932" w:rsidRDefault="000B5C96" w:rsidP="003F606A">
            <w:pPr>
              <w:keepNext/>
              <w:keepLines/>
              <w:ind w:left="57" w:right="57"/>
              <w:rPr>
                <w:b/>
                <w:szCs w:val="20"/>
              </w:rPr>
            </w:pPr>
            <w:r w:rsidRPr="003E3932">
              <w:rPr>
                <w:b/>
                <w:szCs w:val="20"/>
              </w:rPr>
              <w:t>Total</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-4.4</w:t>
            </w:r>
          </w:p>
        </w:tc>
        <w:tc>
          <w:tcPr>
            <w:tcW w:w="327"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-17.6</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-4.4</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-48.4</w:t>
            </w:r>
          </w:p>
        </w:tc>
      </w:tr>
    </w:tbl>
    <w:p w:rsidR="000B5C96" w:rsidRDefault="000B5C96" w:rsidP="00156CA0">
      <w:pPr>
        <w:pStyle w:val="Footnotes"/>
        <w:keepNext/>
        <w:keepLines/>
        <w:numPr>
          <w:ilvl w:val="0"/>
          <w:numId w:val="173"/>
        </w:numPr>
        <w:ind w:left="284" w:hanging="284"/>
      </w:pPr>
      <w:r w:rsidRPr="003E3932">
        <w:t xml:space="preserve">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 </w:t>
      </w:r>
    </w:p>
    <w:p w:rsidR="000B5C96" w:rsidRPr="003E3932" w:rsidRDefault="000B5C96" w:rsidP="00156CA0">
      <w:pPr>
        <w:pStyle w:val="Footnotes"/>
        <w:keepNext/>
        <w:keepLines/>
        <w:numPr>
          <w:ilvl w:val="0"/>
          <w:numId w:val="173"/>
        </w:numPr>
        <w:ind w:left="284" w:hanging="284"/>
      </w:pPr>
      <w:r w:rsidRPr="003E3932">
        <w:t>Figures may not sum to totals due to rounding.</w:t>
      </w:r>
    </w:p>
    <w:p w:rsidR="000B5C96" w:rsidRPr="003E3932" w:rsidRDefault="000B5C96" w:rsidP="000B5C96">
      <w:pPr>
        <w:pStyle w:val="Footnotes"/>
        <w:numPr>
          <w:ilvl w:val="0"/>
          <w:numId w:val="114"/>
        </w:numPr>
        <w:ind w:left="284" w:hanging="284"/>
      </w:pPr>
      <w:r w:rsidRPr="003E3932">
        <w:t>Indicates nil.</w:t>
      </w:r>
    </w:p>
    <w:p w:rsidR="000B5C96" w:rsidRPr="003E3932" w:rsidRDefault="000B5C96" w:rsidP="003F606A">
      <w:pPr>
        <w:pStyle w:val="Caption"/>
        <w:rPr>
          <w:vertAlign w:val="superscript"/>
        </w:rPr>
      </w:pPr>
      <w:r w:rsidRPr="003E3932">
        <w:t>Table A3: Component 2 – ACECRC</w:t>
      </w:r>
      <w:r w:rsidRPr="003E3932">
        <w:rPr>
          <w:i/>
        </w:rPr>
        <w:t xml:space="preserve"> </w:t>
      </w:r>
      <w:r w:rsidRPr="003E3932">
        <w:t>– financial implications (outturn prices)</w:t>
      </w:r>
      <w:r w:rsidRPr="003E3932">
        <w:rPr>
          <w:vertAlign w:val="superscript"/>
        </w:rPr>
        <w:t>(a)(b)</w:t>
      </w:r>
    </w:p>
    <w:tbl>
      <w:tblPr>
        <w:tblStyle w:val="TableGrid13"/>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3E3932" w:rsidRDefault="000B5C96" w:rsidP="003F606A">
            <w:pPr>
              <w:keepNext/>
              <w:keepLines/>
              <w:spacing w:after="0"/>
              <w:ind w:left="57" w:right="57"/>
            </w:pPr>
            <w:r w:rsidRPr="003E3932">
              <w:rPr>
                <w:szCs w:val="20"/>
              </w:rPr>
              <w:t>($m)</w:t>
            </w:r>
          </w:p>
        </w:tc>
        <w:tc>
          <w:tcPr>
            <w:tcW w:w="326"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2016–17</w:t>
            </w:r>
          </w:p>
        </w:tc>
        <w:tc>
          <w:tcPr>
            <w:tcW w:w="325"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2017–18</w:t>
            </w:r>
          </w:p>
        </w:tc>
        <w:tc>
          <w:tcPr>
            <w:tcW w:w="325"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2018–19</w:t>
            </w:r>
          </w:p>
        </w:tc>
        <w:tc>
          <w:tcPr>
            <w:tcW w:w="325"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2019–20</w:t>
            </w:r>
          </w:p>
        </w:tc>
        <w:tc>
          <w:tcPr>
            <w:tcW w:w="327"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Total to 2019–20</w:t>
            </w:r>
          </w:p>
        </w:tc>
        <w:tc>
          <w:tcPr>
            <w:tcW w:w="325"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2020–21</w:t>
            </w:r>
          </w:p>
        </w:tc>
        <w:tc>
          <w:tcPr>
            <w:tcW w:w="325"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2021–22</w:t>
            </w:r>
          </w:p>
        </w:tc>
        <w:tc>
          <w:tcPr>
            <w:tcW w:w="325"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2022–23</w:t>
            </w:r>
          </w:p>
        </w:tc>
        <w:tc>
          <w:tcPr>
            <w:tcW w:w="325"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2023–24</w:t>
            </w:r>
          </w:p>
        </w:tc>
        <w:tc>
          <w:tcPr>
            <w:tcW w:w="325"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2024–25</w:t>
            </w:r>
          </w:p>
        </w:tc>
        <w:tc>
          <w:tcPr>
            <w:tcW w:w="325"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2025–26</w:t>
            </w:r>
          </w:p>
        </w:tc>
        <w:tc>
          <w:tcPr>
            <w:tcW w:w="325"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2026–27</w:t>
            </w:r>
          </w:p>
        </w:tc>
        <w:tc>
          <w:tcPr>
            <w:tcW w:w="326" w:type="pct"/>
            <w:shd w:val="clear" w:color="auto" w:fill="D7DDE9"/>
          </w:tcPr>
          <w:p w:rsidR="000B5C96" w:rsidRPr="003E3932" w:rsidRDefault="000B5C96" w:rsidP="003F606A">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Total to 2026–27</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3E3932" w:rsidRDefault="000B5C96" w:rsidP="003F606A">
            <w:pPr>
              <w:keepNext/>
              <w:keepLines/>
              <w:spacing w:after="0"/>
              <w:ind w:left="57" w:right="57"/>
              <w:rPr>
                <w:b/>
                <w:i/>
                <w:szCs w:val="20"/>
              </w:rPr>
            </w:pPr>
            <w:r w:rsidRPr="003E3932">
              <w:rPr>
                <w:b/>
                <w:szCs w:val="20"/>
              </w:rPr>
              <w:t>Impact on fiscal and underlying cash balances</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3E3932" w:rsidRDefault="000B5C96" w:rsidP="003F606A">
            <w:pPr>
              <w:keepNext/>
              <w:keepLines/>
              <w:spacing w:after="0"/>
              <w:ind w:left="57" w:right="57"/>
              <w:rPr>
                <w:szCs w:val="20"/>
              </w:rPr>
            </w:pPr>
            <w:r w:rsidRPr="003E3932">
              <w:rPr>
                <w:szCs w:val="20"/>
              </w:rPr>
              <w:t>Administered</w:t>
            </w:r>
          </w:p>
        </w:tc>
        <w:tc>
          <w:tcPr>
            <w:tcW w:w="326"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-5.0</w:t>
            </w:r>
          </w:p>
        </w:tc>
        <w:tc>
          <w:tcPr>
            <w:tcW w:w="327"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-5.0</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-5.0</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-5.0</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-5.0</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-5.0</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6"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-25.0</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3E3932" w:rsidRDefault="000B5C96" w:rsidP="003F606A">
            <w:pPr>
              <w:keepNext/>
              <w:keepLines/>
              <w:spacing w:after="0"/>
              <w:ind w:left="57" w:right="57"/>
              <w:rPr>
                <w:szCs w:val="20"/>
              </w:rPr>
            </w:pPr>
            <w:r w:rsidRPr="003E3932">
              <w:rPr>
                <w:szCs w:val="20"/>
              </w:rPr>
              <w:t>Departmental</w:t>
            </w:r>
          </w:p>
        </w:tc>
        <w:tc>
          <w:tcPr>
            <w:tcW w:w="326"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7"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6" w:type="pct"/>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3E3932" w:rsidRDefault="000B5C96" w:rsidP="003F606A">
            <w:pPr>
              <w:keepNext/>
              <w:keepLines/>
              <w:spacing w:after="0"/>
              <w:ind w:left="57" w:right="57"/>
              <w:rPr>
                <w:szCs w:val="20"/>
              </w:rPr>
            </w:pPr>
            <w:r w:rsidRPr="003E3932">
              <w:rPr>
                <w:b/>
                <w:szCs w:val="20"/>
              </w:rPr>
              <w:t>Total</w:t>
            </w:r>
          </w:p>
        </w:tc>
        <w:tc>
          <w:tcPr>
            <w:tcW w:w="326"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5"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5"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5"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-5.0</w:t>
            </w:r>
          </w:p>
        </w:tc>
        <w:tc>
          <w:tcPr>
            <w:tcW w:w="327"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-5.0</w:t>
            </w:r>
          </w:p>
        </w:tc>
        <w:tc>
          <w:tcPr>
            <w:tcW w:w="325"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-5.0</w:t>
            </w:r>
          </w:p>
        </w:tc>
        <w:tc>
          <w:tcPr>
            <w:tcW w:w="325"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-5.0</w:t>
            </w:r>
          </w:p>
        </w:tc>
        <w:tc>
          <w:tcPr>
            <w:tcW w:w="325"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-5.0</w:t>
            </w:r>
          </w:p>
        </w:tc>
        <w:tc>
          <w:tcPr>
            <w:tcW w:w="325"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-5.0</w:t>
            </w:r>
          </w:p>
        </w:tc>
        <w:tc>
          <w:tcPr>
            <w:tcW w:w="325"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5"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5"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6" w:type="pct"/>
            <w:shd w:val="clear" w:color="auto" w:fill="D7DDE9"/>
          </w:tcPr>
          <w:p w:rsidR="000B5C96" w:rsidRPr="003E3932" w:rsidRDefault="000B5C96" w:rsidP="003F606A">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-25.0</w:t>
            </w:r>
          </w:p>
        </w:tc>
      </w:tr>
    </w:tbl>
    <w:p w:rsidR="000B5C96" w:rsidRPr="003E3932" w:rsidRDefault="000B5C96" w:rsidP="00156CA0">
      <w:pPr>
        <w:pStyle w:val="Footnotes"/>
        <w:keepNext/>
        <w:keepLines/>
        <w:numPr>
          <w:ilvl w:val="0"/>
          <w:numId w:val="174"/>
        </w:numPr>
        <w:ind w:left="284" w:hanging="284"/>
      </w:pPr>
      <w:r w:rsidRPr="003E3932">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3E3932" w:rsidRDefault="000B5C96" w:rsidP="00156CA0">
      <w:pPr>
        <w:pStyle w:val="Footnotes"/>
        <w:keepNext/>
        <w:keepLines/>
        <w:numPr>
          <w:ilvl w:val="0"/>
          <w:numId w:val="174"/>
        </w:numPr>
        <w:ind w:left="284" w:hanging="284"/>
      </w:pPr>
      <w:r w:rsidRPr="003E3932">
        <w:t>Figures may not sum to totals due to rounding.</w:t>
      </w:r>
    </w:p>
    <w:p w:rsidR="000B5C96" w:rsidRPr="003E3932" w:rsidRDefault="000B5C96" w:rsidP="000B5C96">
      <w:pPr>
        <w:pStyle w:val="Footnotes"/>
        <w:numPr>
          <w:ilvl w:val="0"/>
          <w:numId w:val="114"/>
        </w:numPr>
        <w:ind w:left="284" w:hanging="284"/>
      </w:pPr>
      <w:r w:rsidRPr="003E3932">
        <w:t>Indicates nil.</w:t>
      </w:r>
    </w:p>
    <w:p w:rsidR="000B5C96" w:rsidRPr="003E3932" w:rsidRDefault="000B5C96" w:rsidP="003F606A">
      <w:pPr>
        <w:pStyle w:val="Caption"/>
        <w:rPr>
          <w:vertAlign w:val="superscript"/>
        </w:rPr>
      </w:pPr>
      <w:r w:rsidRPr="003E3932">
        <w:t>Table A4: Component 3 – Antarctic Gateway Partnership</w:t>
      </w:r>
      <w:r w:rsidRPr="003E3932">
        <w:rPr>
          <w:i/>
        </w:rPr>
        <w:t xml:space="preserve"> </w:t>
      </w:r>
      <w:r w:rsidRPr="003E3932">
        <w:t>– financial implications (outturn prices)</w:t>
      </w:r>
      <w:r w:rsidRPr="003E3932">
        <w:rPr>
          <w:vertAlign w:val="superscript"/>
        </w:rPr>
        <w:t>(a)(b)</w:t>
      </w:r>
    </w:p>
    <w:tbl>
      <w:tblPr>
        <w:tblStyle w:val="TableGrid13"/>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3E3932" w:rsidRDefault="000B5C96" w:rsidP="003F606A">
            <w:pPr>
              <w:keepNext/>
              <w:keepLines/>
              <w:ind w:left="57" w:right="57"/>
            </w:pPr>
            <w:r w:rsidRPr="003E3932">
              <w:rPr>
                <w:szCs w:val="20"/>
              </w:rPr>
              <w:t>($m)</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2016–17</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2017–18</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2018–19</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2019–20</w:t>
            </w:r>
          </w:p>
        </w:tc>
        <w:tc>
          <w:tcPr>
            <w:tcW w:w="327"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Total to 2019–20</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2020–21</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2021–22</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2022–23</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2023–24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2024–25</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2025–26</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2026–27</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Total to 2026–27</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3E3932" w:rsidRDefault="000B5C96" w:rsidP="003F606A">
            <w:pPr>
              <w:keepNext/>
              <w:keepLines/>
              <w:ind w:left="57" w:right="57"/>
              <w:rPr>
                <w:b/>
                <w:i/>
                <w:szCs w:val="20"/>
              </w:rPr>
            </w:pPr>
            <w:r w:rsidRPr="003E3932">
              <w:rPr>
                <w:b/>
                <w:szCs w:val="20"/>
              </w:rPr>
              <w:t>Impact on fiscal and underlying cash balances</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3E3932" w:rsidRDefault="000B5C96" w:rsidP="003F606A">
            <w:pPr>
              <w:keepNext/>
              <w:keepLines/>
              <w:ind w:left="57" w:right="57"/>
              <w:rPr>
                <w:szCs w:val="20"/>
              </w:rPr>
            </w:pPr>
            <w:r w:rsidRPr="003E3932">
              <w:rPr>
                <w:szCs w:val="20"/>
              </w:rPr>
              <w:t>Administered</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-8.0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-8.0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-8.0</w:t>
            </w:r>
          </w:p>
        </w:tc>
        <w:tc>
          <w:tcPr>
            <w:tcW w:w="327"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-24.0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-8.0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-32.0</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3E3932" w:rsidRDefault="000B5C96" w:rsidP="003F606A">
            <w:pPr>
              <w:keepNext/>
              <w:keepLines/>
              <w:ind w:left="57" w:right="57"/>
              <w:rPr>
                <w:szCs w:val="20"/>
              </w:rPr>
            </w:pPr>
            <w:r w:rsidRPr="003E3932">
              <w:rPr>
                <w:szCs w:val="20"/>
              </w:rPr>
              <w:t>Departmental</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7"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3E3932" w:rsidRDefault="000B5C96" w:rsidP="003F606A">
            <w:pPr>
              <w:keepNext/>
              <w:keepLines/>
              <w:ind w:left="57" w:right="57"/>
              <w:rPr>
                <w:szCs w:val="20"/>
              </w:rPr>
            </w:pPr>
            <w:r w:rsidRPr="003E3932">
              <w:rPr>
                <w:b/>
                <w:szCs w:val="20"/>
              </w:rPr>
              <w:t>Total</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-8.0</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-8.0</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-8.0</w:t>
            </w:r>
          </w:p>
        </w:tc>
        <w:tc>
          <w:tcPr>
            <w:tcW w:w="327"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-24.0</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-8.0</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-32.0</w:t>
            </w:r>
          </w:p>
        </w:tc>
      </w:tr>
    </w:tbl>
    <w:p w:rsidR="000B5C96" w:rsidRDefault="000B5C96" w:rsidP="00156CA0">
      <w:pPr>
        <w:pStyle w:val="Footnotes"/>
        <w:keepNext/>
        <w:keepLines/>
        <w:numPr>
          <w:ilvl w:val="0"/>
          <w:numId w:val="175"/>
        </w:numPr>
        <w:ind w:left="284" w:hanging="284"/>
      </w:pPr>
      <w:r w:rsidRPr="003E3932">
        <w:t xml:space="preserve">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 </w:t>
      </w:r>
    </w:p>
    <w:p w:rsidR="000B5C96" w:rsidRPr="003E3932" w:rsidRDefault="000B5C96" w:rsidP="00156CA0">
      <w:pPr>
        <w:pStyle w:val="Footnotes"/>
        <w:keepNext/>
        <w:keepLines/>
        <w:numPr>
          <w:ilvl w:val="0"/>
          <w:numId w:val="175"/>
        </w:numPr>
        <w:ind w:left="284" w:hanging="284"/>
      </w:pPr>
      <w:r w:rsidRPr="003E3932">
        <w:t>Figures may not sum to totals due to rounding.</w:t>
      </w:r>
    </w:p>
    <w:p w:rsidR="000B5C96" w:rsidRPr="003E3932" w:rsidRDefault="000B5C96" w:rsidP="000B5C96">
      <w:pPr>
        <w:pStyle w:val="Footnotes"/>
        <w:numPr>
          <w:ilvl w:val="0"/>
          <w:numId w:val="114"/>
        </w:numPr>
        <w:ind w:left="284" w:hanging="284"/>
      </w:pPr>
      <w:r w:rsidRPr="003E3932">
        <w:t>Indicates nil.</w:t>
      </w:r>
    </w:p>
    <w:p w:rsidR="000B5C96" w:rsidRPr="003E3932" w:rsidRDefault="000B5C96" w:rsidP="003F606A">
      <w:pPr>
        <w:pStyle w:val="Caption"/>
        <w:rPr>
          <w:vertAlign w:val="superscript"/>
        </w:rPr>
      </w:pPr>
      <w:r w:rsidRPr="003E3932">
        <w:t xml:space="preserve">Table A5: Component 4 – </w:t>
      </w:r>
      <w:r w:rsidRPr="003E3932">
        <w:rPr>
          <w:i/>
        </w:rPr>
        <w:t xml:space="preserve">RV Investigator </w:t>
      </w:r>
      <w:r w:rsidRPr="003E3932">
        <w:t>– financial implications (outturn prices)</w:t>
      </w:r>
      <w:r w:rsidRPr="003E3932">
        <w:rPr>
          <w:vertAlign w:val="superscript"/>
        </w:rPr>
        <w:t>(a)(b)</w:t>
      </w:r>
    </w:p>
    <w:tbl>
      <w:tblPr>
        <w:tblStyle w:val="TableGrid13"/>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3E3932" w:rsidRDefault="000B5C96" w:rsidP="003F606A">
            <w:pPr>
              <w:keepNext/>
              <w:keepLines/>
              <w:ind w:left="57" w:right="57"/>
            </w:pPr>
            <w:r w:rsidRPr="003E3932">
              <w:rPr>
                <w:szCs w:val="20"/>
              </w:rPr>
              <w:t>($m)</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2016–17</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2017–18</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2018–19</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2019–20</w:t>
            </w:r>
          </w:p>
        </w:tc>
        <w:tc>
          <w:tcPr>
            <w:tcW w:w="327"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Total to 2019–20</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2020–21</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2021–22</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2022–23</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2023–24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2024–25</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2025–26</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2026–27</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Total to 2026–27</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3E3932" w:rsidRDefault="000B5C96" w:rsidP="003F606A">
            <w:pPr>
              <w:keepNext/>
              <w:keepLines/>
              <w:ind w:left="57" w:right="57"/>
              <w:rPr>
                <w:b/>
                <w:i/>
                <w:szCs w:val="20"/>
              </w:rPr>
            </w:pPr>
            <w:r w:rsidRPr="003E3932">
              <w:rPr>
                <w:b/>
                <w:szCs w:val="20"/>
              </w:rPr>
              <w:t>Impact on fiscal and underlying cash balances</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3E3932" w:rsidRDefault="000B5C96" w:rsidP="003F606A">
            <w:pPr>
              <w:keepNext/>
              <w:keepLines/>
              <w:ind w:left="57" w:right="57"/>
              <w:rPr>
                <w:szCs w:val="20"/>
              </w:rPr>
            </w:pPr>
            <w:r w:rsidRPr="003E3932">
              <w:rPr>
                <w:szCs w:val="20"/>
              </w:rPr>
              <w:t>Administered</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-17.4</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-17.2</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-17.3</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-17.4</w:t>
            </w:r>
          </w:p>
        </w:tc>
        <w:tc>
          <w:tcPr>
            <w:tcW w:w="327"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-69.3</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-17.5</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-17.6</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-17.8</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-17.9</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-18.0</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-18.1</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-18.2</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3E3932">
              <w:rPr>
                <w:rFonts w:ascii="Calibri" w:hAnsi="Calibri"/>
                <w:b/>
                <w:i/>
                <w:szCs w:val="20"/>
              </w:rPr>
              <w:t>-194.5</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3E3932" w:rsidRDefault="000B5C96" w:rsidP="003F606A">
            <w:pPr>
              <w:keepNext/>
              <w:keepLines/>
              <w:ind w:left="57" w:right="57"/>
              <w:rPr>
                <w:szCs w:val="20"/>
              </w:rPr>
            </w:pPr>
            <w:r w:rsidRPr="003E3932">
              <w:rPr>
                <w:szCs w:val="20"/>
              </w:rPr>
              <w:t>Departmental</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7"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c>
          <w:tcPr>
            <w:tcW w:w="326"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3E3932">
              <w:rPr>
                <w:rFonts w:ascii="Calibri" w:hAnsi="Calibri"/>
                <w:i/>
                <w:szCs w:val="20"/>
              </w:rPr>
              <w:t>-</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3E3932" w:rsidRDefault="000B5C96" w:rsidP="003F606A">
            <w:pPr>
              <w:keepNext/>
              <w:keepLines/>
              <w:ind w:left="57" w:right="57"/>
              <w:rPr>
                <w:szCs w:val="20"/>
              </w:rPr>
            </w:pPr>
            <w:r w:rsidRPr="003E3932">
              <w:rPr>
                <w:b/>
                <w:szCs w:val="20"/>
              </w:rPr>
              <w:t>Total</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-17.4</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-17.2</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-17.3</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-17.4</w:t>
            </w:r>
          </w:p>
        </w:tc>
        <w:tc>
          <w:tcPr>
            <w:tcW w:w="327"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-69.3</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-17.5</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-17.6</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-17.8</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-17.9</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-18.0</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-18.1</w:t>
            </w:r>
          </w:p>
        </w:tc>
        <w:tc>
          <w:tcPr>
            <w:tcW w:w="32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-18.2</w:t>
            </w:r>
          </w:p>
        </w:tc>
        <w:tc>
          <w:tcPr>
            <w:tcW w:w="326"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-194.5</w:t>
            </w:r>
          </w:p>
        </w:tc>
      </w:tr>
    </w:tbl>
    <w:p w:rsidR="000B5C96" w:rsidRPr="003E3932" w:rsidRDefault="000B5C96" w:rsidP="00156CA0">
      <w:pPr>
        <w:pStyle w:val="Footnotes"/>
        <w:keepNext/>
        <w:keepLines/>
        <w:numPr>
          <w:ilvl w:val="0"/>
          <w:numId w:val="176"/>
        </w:numPr>
        <w:ind w:left="284" w:hanging="284"/>
      </w:pPr>
      <w:r w:rsidRPr="003E3932">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3E3932" w:rsidRDefault="000B5C96" w:rsidP="00156CA0">
      <w:pPr>
        <w:pStyle w:val="Footnotes"/>
        <w:keepNext/>
        <w:keepLines/>
        <w:numPr>
          <w:ilvl w:val="0"/>
          <w:numId w:val="176"/>
        </w:numPr>
        <w:ind w:left="284" w:hanging="284"/>
      </w:pPr>
      <w:r w:rsidRPr="003E3932">
        <w:t>Figures may not sum to totals due to rounding.</w:t>
      </w:r>
    </w:p>
    <w:p w:rsidR="000B5C96" w:rsidRDefault="000B5C96" w:rsidP="000B5C96">
      <w:pPr>
        <w:pStyle w:val="Footnotes"/>
        <w:numPr>
          <w:ilvl w:val="0"/>
          <w:numId w:val="114"/>
        </w:numPr>
        <w:ind w:left="284" w:hanging="284"/>
      </w:pPr>
      <w:r w:rsidRPr="003E3932">
        <w:t>Indicates nil.</w:t>
      </w:r>
    </w:p>
    <w:p w:rsidR="000B5C96" w:rsidRDefault="000B5C96" w:rsidP="003F606A">
      <w:pPr>
        <w:pStyle w:val="BodyText"/>
        <w:sectPr w:rsidR="000B5C96" w:rsidSect="003F606A">
          <w:headerReference w:type="even" r:id="rId368"/>
          <w:headerReference w:type="default" r:id="rId369"/>
          <w:footerReference w:type="even" r:id="rId370"/>
          <w:footerReference w:type="default" r:id="rId371"/>
          <w:footnotePr>
            <w:numRestart w:val="eachSect"/>
          </w:footnotePr>
          <w:pgSz w:w="16839" w:h="11907" w:orient="landscape" w:code="9"/>
          <w:pgMar w:top="1361" w:right="1797" w:bottom="1474" w:left="1797" w:header="283" w:footer="454" w:gutter="0"/>
          <w:cols w:space="708"/>
          <w:docGrid w:linePitch="360"/>
        </w:sectPr>
      </w:pPr>
    </w:p>
    <w:p w:rsidR="000B5C96" w:rsidRDefault="000B5C96" w:rsidP="003F606A">
      <w:pPr>
        <w:pStyle w:val="Heading5"/>
        <w:spacing w:before="0"/>
      </w:pPr>
      <w:bookmarkStart w:id="137" w:name="_Toc457979356"/>
      <w:bookmarkStart w:id="138" w:name="_Toc458069214"/>
      <w:r>
        <w:t>GRN039: Stopping Another Stolen Generation</w:t>
      </w:r>
      <w:bookmarkEnd w:id="137"/>
      <w:bookmarkEnd w:id="138"/>
    </w:p>
    <w:p w:rsidR="000B5C96" w:rsidRPr="009C09D3" w:rsidRDefault="000B5C96" w:rsidP="003F606A">
      <w:pPr>
        <w:pStyle w:val="BodyText"/>
      </w:pPr>
      <w:r w:rsidRPr="009C09D3">
        <w:rPr>
          <w:noProof/>
          <w:lang w:eastAsia="en-AU"/>
        </w:rPr>
        <w:drawing>
          <wp:inline distT="0" distB="0" distL="0" distR="0" wp14:anchorId="0361E204" wp14:editId="5D28680D">
            <wp:extent cx="2696845" cy="572135"/>
            <wp:effectExtent l="0" t="0" r="8255" b="0"/>
            <wp:docPr id="29" name="Picture 2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3E3932" w:rsidRDefault="000B5C96" w:rsidP="000B5C96">
      <w:pPr>
        <w:pStyle w:val="Heading6"/>
        <w:numPr>
          <w:ilvl w:val="0"/>
          <w:numId w:val="5"/>
        </w:numPr>
        <w:tabs>
          <w:tab w:val="clear" w:pos="0"/>
          <w:tab w:val="num" w:pos="360"/>
          <w:tab w:val="right" w:pos="1418"/>
          <w:tab w:val="right" w:pos="1701"/>
          <w:tab w:val="right" w:pos="1985"/>
        </w:tabs>
      </w:pPr>
      <w:r w:rsidRPr="003E3932">
        <w:t>Policy costing—during the caretaker period for the 2016 general election</w:t>
      </w:r>
    </w:p>
    <w:tbl>
      <w:tblPr>
        <w:tblStyle w:val="Style15"/>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862AB8" w:rsidRDefault="000B5C96" w:rsidP="003F606A">
            <w:pPr>
              <w:pStyle w:val="PullOutBoxHeading"/>
              <w:rPr>
                <w:b w:val="0"/>
              </w:rPr>
            </w:pPr>
            <w:r w:rsidRPr="00862AB8">
              <w:t>Name of proposal:</w:t>
            </w:r>
          </w:p>
        </w:tc>
        <w:tc>
          <w:tcPr>
            <w:tcW w:w="5335" w:type="dxa"/>
          </w:tcPr>
          <w:p w:rsidR="000B5C96" w:rsidRPr="00862AB8" w:rsidRDefault="000B5C96" w:rsidP="003F606A">
            <w:pPr>
              <w:pStyle w:val="PullOutBoxHeading"/>
              <w:rPr>
                <w:b w:val="0"/>
              </w:rPr>
            </w:pPr>
            <w:r w:rsidRPr="00862AB8">
              <w:t>Stopping another stolen generation: Reducing the number of Aboriginal and Torres Strait Islander children in out of home care</w:t>
            </w:r>
          </w:p>
        </w:tc>
      </w:tr>
      <w:tr w:rsidR="000B5C96" w:rsidRPr="003E3932" w:rsidTr="003F606A">
        <w:tc>
          <w:tcPr>
            <w:tcW w:w="3005" w:type="dxa"/>
            <w:shd w:val="clear" w:color="auto" w:fill="auto"/>
          </w:tcPr>
          <w:p w:rsidR="000B5C96" w:rsidRPr="003E3932" w:rsidRDefault="000B5C96" w:rsidP="003F606A">
            <w:pPr>
              <w:pStyle w:val="PullOutBoxBodyText"/>
            </w:pPr>
            <w:r w:rsidRPr="003E3932">
              <w:t>Summary of proposal:</w:t>
            </w:r>
          </w:p>
        </w:tc>
        <w:tc>
          <w:tcPr>
            <w:tcW w:w="5335" w:type="dxa"/>
            <w:shd w:val="clear" w:color="auto" w:fill="auto"/>
          </w:tcPr>
          <w:p w:rsidR="000B5C96" w:rsidRPr="003E3932" w:rsidRDefault="000B5C96" w:rsidP="003F606A">
            <w:pPr>
              <w:pStyle w:val="PullOutBoxBodyText"/>
            </w:pPr>
            <w:r w:rsidRPr="003E3932">
              <w:t>This proposal is comprised of two components.</w:t>
            </w:r>
          </w:p>
          <w:p w:rsidR="000B5C96" w:rsidRPr="003E3932" w:rsidRDefault="000B5C96" w:rsidP="003F606A">
            <w:pPr>
              <w:pStyle w:val="PullOutBoxBodyText"/>
            </w:pPr>
            <w:r w:rsidRPr="003E3932">
              <w:rPr>
                <w:u w:val="single"/>
              </w:rPr>
              <w:t>Component 1: Funding for projects to reduce out of home care</w:t>
            </w:r>
          </w:p>
          <w:p w:rsidR="000B5C96" w:rsidRPr="003E3932" w:rsidRDefault="000B5C96" w:rsidP="000B5C96">
            <w:pPr>
              <w:pStyle w:val="PullOutBoxBullet"/>
              <w:numPr>
                <w:ilvl w:val="0"/>
                <w:numId w:val="2"/>
              </w:numPr>
              <w:ind w:left="397"/>
              <w:rPr>
                <w:lang w:eastAsia="en-AU"/>
              </w:rPr>
            </w:pPr>
            <w:r w:rsidRPr="003E3932">
              <w:rPr>
                <w:lang w:eastAsia="en-AU"/>
              </w:rPr>
              <w:t>This component would provide capped funding of $20 million over four years (not including departmental costs) for projects to reduce the number of children entering out of home care.</w:t>
            </w:r>
          </w:p>
          <w:p w:rsidR="000B5C96" w:rsidRPr="003E3932" w:rsidRDefault="000B5C96" w:rsidP="003F606A">
            <w:pPr>
              <w:pStyle w:val="PullOutBoxBodyText"/>
              <w:rPr>
                <w:lang w:eastAsia="en-AU"/>
              </w:rPr>
            </w:pPr>
            <w:r w:rsidRPr="003E3932">
              <w:rPr>
                <w:lang w:eastAsia="en-AU"/>
              </w:rPr>
              <w:t>Component 2: Improving support for children in out of home care</w:t>
            </w:r>
          </w:p>
          <w:p w:rsidR="000B5C96" w:rsidRPr="003E3932" w:rsidRDefault="000B5C96" w:rsidP="000B5C96">
            <w:pPr>
              <w:pStyle w:val="PullOutBoxBullet"/>
              <w:numPr>
                <w:ilvl w:val="0"/>
                <w:numId w:val="2"/>
              </w:numPr>
              <w:ind w:left="397"/>
              <w:rPr>
                <w:u w:val="single"/>
                <w:lang w:eastAsia="en-AU"/>
              </w:rPr>
            </w:pPr>
            <w:r w:rsidRPr="003E3932">
              <w:rPr>
                <w:lang w:eastAsia="en-AU"/>
              </w:rPr>
              <w:t>This component would implement a number of recommendations of the Senate Community Affairs References Committee inquiry into out of home care:</w:t>
            </w:r>
          </w:p>
          <w:p w:rsidR="000B5C96" w:rsidRPr="003E3932" w:rsidRDefault="000B5C96" w:rsidP="000B5C96">
            <w:pPr>
              <w:pStyle w:val="PullOutBoxBullet2"/>
              <w:numPr>
                <w:ilvl w:val="1"/>
                <w:numId w:val="2"/>
              </w:numPr>
              <w:ind w:left="737"/>
              <w:rPr>
                <w:lang w:eastAsia="en-AU"/>
              </w:rPr>
            </w:pPr>
            <w:r w:rsidRPr="003E3932">
              <w:rPr>
                <w:lang w:eastAsia="en-AU"/>
              </w:rPr>
              <w:t>Recommendations 1, 4-7, 9-13, 15, 17, 20, 23</w:t>
            </w:r>
            <w:r w:rsidRPr="003E3932">
              <w:rPr>
                <w:lang w:eastAsia="en-AU"/>
              </w:rPr>
              <w:noBreakHyphen/>
              <w:t>28, 31-32 and 34-49</w:t>
            </w:r>
          </w:p>
          <w:p w:rsidR="000B5C96" w:rsidRPr="003E3932" w:rsidRDefault="000B5C96" w:rsidP="000B5C96">
            <w:pPr>
              <w:pStyle w:val="ListParagraph"/>
              <w:numPr>
                <w:ilvl w:val="0"/>
                <w:numId w:val="112"/>
              </w:numPr>
              <w:tabs>
                <w:tab w:val="num" w:pos="624"/>
              </w:tabs>
              <w:spacing w:after="113"/>
              <w:ind w:left="1361" w:hanging="454"/>
              <w:contextualSpacing w:val="0"/>
              <w:rPr>
                <w:rFonts w:ascii="Calibri" w:eastAsia="Calibri" w:hAnsi="Calibri" w:cs="Times New Roman"/>
              </w:rPr>
            </w:pPr>
            <w:r w:rsidRPr="003E3932">
              <w:rPr>
                <w:rFonts w:ascii="Calibri" w:eastAsia="Calibri" w:hAnsi="Calibri" w:cs="Times New Roman"/>
              </w:rPr>
              <w:t>Provide additional capped funding of $10 million over the 2016</w:t>
            </w:r>
            <w:r w:rsidRPr="003E3932">
              <w:rPr>
                <w:rFonts w:ascii="Calibri" w:eastAsia="Calibri" w:hAnsi="Calibri" w:cs="Times New Roman"/>
              </w:rPr>
              <w:noBreakHyphen/>
              <w:t>17 Budget forward estimates period to the Department of Social Services (DSS) to support progress of these recommendations.</w:t>
            </w:r>
          </w:p>
          <w:p w:rsidR="000B5C96" w:rsidRPr="003E3932" w:rsidRDefault="000B5C96" w:rsidP="000B5C96">
            <w:pPr>
              <w:pStyle w:val="PullOutBoxBullet2"/>
              <w:numPr>
                <w:ilvl w:val="1"/>
                <w:numId w:val="2"/>
              </w:numPr>
              <w:ind w:left="737"/>
              <w:rPr>
                <w:lang w:eastAsia="en-AU"/>
              </w:rPr>
            </w:pPr>
            <w:r w:rsidRPr="003E3932">
              <w:rPr>
                <w:lang w:eastAsia="en-AU"/>
              </w:rPr>
              <w:t xml:space="preserve">Recommendations 2, 3 and 19 </w:t>
            </w:r>
          </w:p>
          <w:p w:rsidR="000B5C96" w:rsidRDefault="000B5C96" w:rsidP="000B5C96">
            <w:pPr>
              <w:pStyle w:val="PullOutBoxBullet3"/>
              <w:numPr>
                <w:ilvl w:val="2"/>
                <w:numId w:val="2"/>
              </w:numPr>
              <w:ind w:left="1077"/>
            </w:pPr>
            <w:r w:rsidRPr="003E3932">
              <w:t>Provide additional funding of $1.5 million to the Australian Institute of Health and Welfare (AIHW) over the 2016</w:t>
            </w:r>
            <w:r w:rsidRPr="003E3932">
              <w:noBreakHyphen/>
              <w:t>17 Budget forward estimates period to improve data collection.</w:t>
            </w:r>
          </w:p>
          <w:p w:rsidR="000B5C96" w:rsidRPr="003E3932" w:rsidRDefault="000B5C96" w:rsidP="000B5C96">
            <w:pPr>
              <w:pStyle w:val="PullOutBoxBullet2"/>
              <w:numPr>
                <w:ilvl w:val="1"/>
                <w:numId w:val="2"/>
              </w:numPr>
              <w:ind w:left="737"/>
              <w:rPr>
                <w:lang w:eastAsia="en-AU"/>
              </w:rPr>
            </w:pPr>
            <w:r w:rsidRPr="003E3932">
              <w:rPr>
                <w:lang w:eastAsia="en-AU"/>
              </w:rPr>
              <w:t>Recommendation 14</w:t>
            </w:r>
          </w:p>
          <w:p w:rsidR="000B5C96" w:rsidRPr="003E3932" w:rsidRDefault="000B5C96" w:rsidP="000B5C96">
            <w:pPr>
              <w:pStyle w:val="PullOutBoxBullet3"/>
              <w:numPr>
                <w:ilvl w:val="2"/>
                <w:numId w:val="2"/>
              </w:numPr>
              <w:ind w:left="1077"/>
            </w:pPr>
            <w:r w:rsidRPr="00862AB8">
              <w:t xml:space="preserve">The DSS, the Department of Human Services (DHS) and the Department of Immigration and Border Protection (DIBP) to review parental consent requirements for identity </w:t>
            </w:r>
            <w:r w:rsidRPr="003E3932">
              <w:t>documents.</w:t>
            </w:r>
          </w:p>
          <w:p w:rsidR="000B5C96" w:rsidRPr="003E3932" w:rsidRDefault="000B5C96" w:rsidP="000B5C96">
            <w:pPr>
              <w:pStyle w:val="PullOutBoxBullet2"/>
              <w:numPr>
                <w:ilvl w:val="1"/>
                <w:numId w:val="2"/>
              </w:numPr>
              <w:ind w:left="737"/>
              <w:rPr>
                <w:lang w:eastAsia="en-AU"/>
              </w:rPr>
            </w:pPr>
            <w:r w:rsidRPr="003E3932">
              <w:rPr>
                <w:lang w:eastAsia="en-AU"/>
              </w:rPr>
              <w:t xml:space="preserve">Recommendation 21 </w:t>
            </w:r>
          </w:p>
          <w:p w:rsidR="000B5C96" w:rsidRPr="003E3932" w:rsidRDefault="000B5C96" w:rsidP="000B5C96">
            <w:pPr>
              <w:pStyle w:val="PullOutBoxBullet3"/>
              <w:numPr>
                <w:ilvl w:val="2"/>
                <w:numId w:val="2"/>
              </w:numPr>
              <w:ind w:left="1077"/>
            </w:pPr>
            <w:r w:rsidRPr="003E3932">
              <w:t>Increase the Transition to Independent Living Allowance (TILA) from $1,500 to $3,000 per eligible person.</w:t>
            </w:r>
          </w:p>
          <w:p w:rsidR="000B5C96" w:rsidRPr="003E3932" w:rsidRDefault="000B5C96" w:rsidP="000B5C96">
            <w:pPr>
              <w:pStyle w:val="PullOutBoxBullet2"/>
              <w:numPr>
                <w:ilvl w:val="1"/>
                <w:numId w:val="2"/>
              </w:numPr>
              <w:ind w:left="737"/>
              <w:rPr>
                <w:lang w:eastAsia="en-AU"/>
              </w:rPr>
            </w:pPr>
            <w:r w:rsidRPr="003E3932">
              <w:rPr>
                <w:lang w:eastAsia="en-AU"/>
              </w:rPr>
              <w:t>Recommendation 33</w:t>
            </w:r>
          </w:p>
          <w:p w:rsidR="000B5C96" w:rsidRPr="003E3932" w:rsidRDefault="000B5C96" w:rsidP="000B5C96">
            <w:pPr>
              <w:pStyle w:val="PullOutBoxBullet3"/>
              <w:numPr>
                <w:ilvl w:val="2"/>
                <w:numId w:val="2"/>
              </w:numPr>
              <w:ind w:left="1077"/>
            </w:pPr>
            <w:r w:rsidRPr="003E3932">
              <w:t>National Disability Insurance Agency (NDIA) to review support available.</w:t>
            </w:r>
          </w:p>
          <w:p w:rsidR="000B5C96" w:rsidRPr="003E3932" w:rsidRDefault="000B5C96" w:rsidP="003F606A">
            <w:pPr>
              <w:pStyle w:val="PullOutBoxBodyText"/>
            </w:pPr>
            <w:r w:rsidRPr="003E3932">
              <w:t>The proposal would have effect from 1 September 2016.</w:t>
            </w:r>
          </w:p>
        </w:tc>
      </w:tr>
      <w:tr w:rsidR="000B5C96" w:rsidRPr="003E3932" w:rsidTr="003F606A">
        <w:tc>
          <w:tcPr>
            <w:tcW w:w="3005" w:type="dxa"/>
          </w:tcPr>
          <w:p w:rsidR="000B5C96" w:rsidRPr="003E3932" w:rsidRDefault="000B5C96" w:rsidP="003F606A">
            <w:pPr>
              <w:pStyle w:val="PullOutBoxBodyText"/>
            </w:pPr>
            <w:r w:rsidRPr="003E3932">
              <w:t>Person/party requesting costing:</w:t>
            </w:r>
          </w:p>
        </w:tc>
        <w:tc>
          <w:tcPr>
            <w:tcW w:w="5335" w:type="dxa"/>
          </w:tcPr>
          <w:p w:rsidR="000B5C96" w:rsidRPr="003E3932" w:rsidRDefault="000B5C96" w:rsidP="003F606A">
            <w:pPr>
              <w:pStyle w:val="PullOutBoxBodyText"/>
            </w:pPr>
            <w:r w:rsidRPr="003E3932">
              <w:t>Senator Richard Di Natale, Australian Greens</w:t>
            </w:r>
          </w:p>
        </w:tc>
      </w:tr>
      <w:tr w:rsidR="000B5C96" w:rsidRPr="003E3932" w:rsidTr="003F606A">
        <w:tc>
          <w:tcPr>
            <w:tcW w:w="3005" w:type="dxa"/>
          </w:tcPr>
          <w:p w:rsidR="000B5C96" w:rsidRPr="003E3932" w:rsidRDefault="000B5C96" w:rsidP="003F606A">
            <w:pPr>
              <w:pStyle w:val="PullOutBoxBodyText"/>
            </w:pPr>
            <w:r w:rsidRPr="003E3932">
              <w:t>Date of public release of policy:</w:t>
            </w:r>
          </w:p>
        </w:tc>
        <w:tc>
          <w:tcPr>
            <w:tcW w:w="5335" w:type="dxa"/>
          </w:tcPr>
          <w:p w:rsidR="000B5C96" w:rsidRPr="003E3932" w:rsidRDefault="000B5C96" w:rsidP="003F606A">
            <w:pPr>
              <w:pStyle w:val="PullOutBoxBodyText"/>
            </w:pPr>
            <w:r w:rsidRPr="003E3932">
              <w:t>26 May 2016</w:t>
            </w:r>
          </w:p>
          <w:p w:rsidR="000B5C96" w:rsidRPr="003E3932" w:rsidRDefault="00E46526" w:rsidP="003F606A">
            <w:pPr>
              <w:pStyle w:val="PullOutBoxBodyText"/>
            </w:pPr>
            <w:hyperlink r:id="rId372" w:history="1">
              <w:r w:rsidR="000B5C96" w:rsidRPr="003E3932">
                <w:rPr>
                  <w:color w:val="0000FF"/>
                  <w:u w:val="single"/>
                </w:rPr>
                <w:t>http://greens.org.au/stolen-generation</w:t>
              </w:r>
            </w:hyperlink>
            <w:r w:rsidR="000B5C96" w:rsidRPr="003E3932">
              <w:t xml:space="preserve">; </w:t>
            </w:r>
            <w:hyperlink r:id="rId373" w:history="1">
              <w:r w:rsidR="000B5C96" w:rsidRPr="003E3932">
                <w:rPr>
                  <w:color w:val="0000FF"/>
                  <w:u w:val="single"/>
                </w:rPr>
                <w:t>http://rachel-siewert.greensmps.org.au/content/media-releases/greens-launch-package-stop-another-stolen-generation</w:t>
              </w:r>
            </w:hyperlink>
            <w:r w:rsidR="000B5C96" w:rsidRPr="003E3932">
              <w:t>.</w:t>
            </w:r>
          </w:p>
        </w:tc>
      </w:tr>
      <w:tr w:rsidR="000B5C96" w:rsidRPr="003E3932" w:rsidTr="003F606A">
        <w:tc>
          <w:tcPr>
            <w:tcW w:w="3005" w:type="dxa"/>
          </w:tcPr>
          <w:p w:rsidR="000B5C96" w:rsidRPr="003E3932" w:rsidRDefault="000B5C96" w:rsidP="003F606A">
            <w:pPr>
              <w:pStyle w:val="PullOutBoxBodyText"/>
            </w:pPr>
            <w:r w:rsidRPr="003E3932">
              <w:t>Date costing request received:</w:t>
            </w:r>
          </w:p>
        </w:tc>
        <w:tc>
          <w:tcPr>
            <w:tcW w:w="5335" w:type="dxa"/>
          </w:tcPr>
          <w:p w:rsidR="000B5C96" w:rsidRPr="003E3932" w:rsidRDefault="000B5C96" w:rsidP="003F606A">
            <w:pPr>
              <w:pStyle w:val="PullOutBoxBodyText"/>
            </w:pPr>
            <w:r w:rsidRPr="003E3932">
              <w:t>28 June 2016</w:t>
            </w:r>
          </w:p>
        </w:tc>
      </w:tr>
      <w:tr w:rsidR="000B5C96" w:rsidRPr="003E3932" w:rsidTr="003F606A">
        <w:tc>
          <w:tcPr>
            <w:tcW w:w="3005" w:type="dxa"/>
          </w:tcPr>
          <w:p w:rsidR="000B5C96" w:rsidRPr="003E3932" w:rsidRDefault="000B5C96" w:rsidP="003F606A">
            <w:pPr>
              <w:pStyle w:val="PullOutBoxBodyText"/>
            </w:pPr>
            <w:r w:rsidRPr="003E3932">
              <w:t>Date costing completed:</w:t>
            </w:r>
          </w:p>
        </w:tc>
        <w:tc>
          <w:tcPr>
            <w:tcW w:w="5335" w:type="dxa"/>
          </w:tcPr>
          <w:p w:rsidR="000B5C96" w:rsidRPr="003E3932" w:rsidRDefault="000B5C96" w:rsidP="003F606A">
            <w:pPr>
              <w:pStyle w:val="PullOutBoxBodyText"/>
            </w:pPr>
            <w:r w:rsidRPr="003E3932">
              <w:t>29 June 2016</w:t>
            </w:r>
          </w:p>
        </w:tc>
      </w:tr>
      <w:tr w:rsidR="000B5C96" w:rsidRPr="003E3932" w:rsidTr="003F606A">
        <w:tc>
          <w:tcPr>
            <w:tcW w:w="3005" w:type="dxa"/>
          </w:tcPr>
          <w:p w:rsidR="000B5C96" w:rsidRPr="003E3932" w:rsidRDefault="000B5C96" w:rsidP="003F606A">
            <w:pPr>
              <w:pStyle w:val="PullOutBoxBodyText"/>
            </w:pPr>
            <w:r w:rsidRPr="003E3932">
              <w:t>Expiry date for the costing:</w:t>
            </w:r>
          </w:p>
        </w:tc>
        <w:tc>
          <w:tcPr>
            <w:tcW w:w="5335" w:type="dxa"/>
          </w:tcPr>
          <w:p w:rsidR="000B5C96" w:rsidRPr="003E3932" w:rsidRDefault="000B5C96" w:rsidP="003F606A">
            <w:pPr>
              <w:pStyle w:val="PullOutBoxBodyText"/>
            </w:pPr>
            <w:r w:rsidRPr="003E3932">
              <w:t>Release of the next economic and fiscal outlook report</w:t>
            </w:r>
          </w:p>
        </w:tc>
      </w:tr>
    </w:tbl>
    <w:p w:rsidR="000B5C96" w:rsidRPr="003E3932" w:rsidRDefault="000B5C96" w:rsidP="003F606A">
      <w:pPr>
        <w:pStyle w:val="CostingsH7"/>
        <w:rPr>
          <w:rFonts w:eastAsia="Calibri"/>
        </w:rPr>
      </w:pPr>
      <w:r w:rsidRPr="003E3932">
        <w:rPr>
          <w:rFonts w:eastAsia="Calibri"/>
        </w:rPr>
        <w:t>Costing overview</w:t>
      </w:r>
    </w:p>
    <w:p w:rsidR="000B5C96" w:rsidRPr="003E3932" w:rsidRDefault="000B5C96" w:rsidP="003F606A">
      <w:pPr>
        <w:pStyle w:val="BodyText"/>
      </w:pPr>
      <w:r w:rsidRPr="003E3932">
        <w:t xml:space="preserve">This proposal would be expected to decrease both the fiscal and underlying cash balances by $41.4 million over the 2016-17 Budget forward estimates period.  This reflects an increase in administered expenses of $25.4 million and an increase in departmental expenses of $16.0 million over this period.  A detailed breakdown of the financial implications by component is at </w:t>
      </w:r>
      <w:r w:rsidRPr="003E3932">
        <w:rPr>
          <w:u w:val="single"/>
        </w:rPr>
        <w:t>Attachment A</w:t>
      </w:r>
      <w:r>
        <w:t>.</w:t>
      </w:r>
    </w:p>
    <w:p w:rsidR="000B5C96" w:rsidRPr="003E3932" w:rsidRDefault="000B5C96" w:rsidP="003F606A">
      <w:pPr>
        <w:pStyle w:val="BodyText"/>
      </w:pPr>
      <w:r w:rsidRPr="003E3932">
        <w:t xml:space="preserve">The only ongoing financial impact beyond the 2016-17 Budget forward estimates relates to the TILA component of the costing, which is estimated to be $1.4 million per year.  All other specified funding amounts cease at the end of 2019-20. </w:t>
      </w:r>
    </w:p>
    <w:p w:rsidR="000B5C96" w:rsidRPr="003E3932" w:rsidRDefault="000B5C96" w:rsidP="003F606A">
      <w:pPr>
        <w:pStyle w:val="BodyText"/>
      </w:pPr>
      <w:r w:rsidRPr="003E3932">
        <w:t>The first component (funding for projects to reduce out of home care) and the first two elements of the second component (funding for DSS and AIHW) of the costing are considered to be of high reliability as the amount of funding is fixed.  However, no analysis has been undertaken to determine the adequacy of the prescribed funding amounts to achieve the objective of the proposal.</w:t>
      </w:r>
    </w:p>
    <w:p w:rsidR="000B5C96" w:rsidRPr="003E3932" w:rsidRDefault="000B5C96" w:rsidP="003F606A">
      <w:pPr>
        <w:pStyle w:val="BodyText"/>
      </w:pPr>
      <w:r w:rsidRPr="003E3932">
        <w:t>The remaining elements of the costing (the increase in the TILA, and funding for the review of parental consent requirements and NDIA support) are considered to be of medium reliability as they are based on departmental costs of similar programs and DSS 2016</w:t>
      </w:r>
      <w:r w:rsidRPr="003E3932">
        <w:noBreakHyphen/>
        <w:t>17 Budget forward estimates projections</w:t>
      </w:r>
      <w:r>
        <w:t xml:space="preserve"> (for future TILA recipients).</w:t>
      </w:r>
    </w:p>
    <w:p w:rsidR="000B5C96" w:rsidRPr="003E3932" w:rsidRDefault="000B5C96" w:rsidP="003F606A">
      <w:pPr>
        <w:pStyle w:val="Caption"/>
      </w:pPr>
      <w:r w:rsidRPr="003E3932">
        <w:t>Table 1: Financial implications (outturn prices)</w:t>
      </w:r>
      <w:r w:rsidRPr="003E3932">
        <w:rPr>
          <w:vertAlign w:val="superscript"/>
        </w:rPr>
        <w:t>(a)(b)</w:t>
      </w:r>
    </w:p>
    <w:tbl>
      <w:tblPr>
        <w:tblStyle w:val="TableGrid14"/>
        <w:tblW w:w="4993" w:type="pct"/>
        <w:tblLook w:val="04A0" w:firstRow="1" w:lastRow="0" w:firstColumn="1" w:lastColumn="0" w:noHBand="0" w:noVBand="1"/>
      </w:tblPr>
      <w:tblGrid>
        <w:gridCol w:w="2645"/>
        <w:gridCol w:w="1134"/>
        <w:gridCol w:w="1133"/>
        <w:gridCol w:w="1133"/>
        <w:gridCol w:w="1133"/>
        <w:gridCol w:w="1132"/>
      </w:tblGrid>
      <w:tr w:rsidR="000B5C96" w:rsidRPr="003E3932"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3E3932" w:rsidRDefault="000B5C96" w:rsidP="003F606A">
            <w:pPr>
              <w:keepNext/>
              <w:keepLines/>
              <w:rPr>
                <w:szCs w:val="20"/>
              </w:rPr>
            </w:pPr>
            <w:r w:rsidRPr="003E3932">
              <w:rPr>
                <w:szCs w:val="20"/>
              </w:rPr>
              <w:t>Impact on ($m)</w:t>
            </w:r>
          </w:p>
        </w:tc>
        <w:tc>
          <w:tcPr>
            <w:tcW w:w="682" w:type="pct"/>
          </w:tcPr>
          <w:p w:rsidR="000B5C96" w:rsidRPr="003E3932" w:rsidRDefault="000B5C96" w:rsidP="003F606A">
            <w:pPr>
              <w:keepNext/>
              <w:keepLines/>
              <w:cnfStyle w:val="100000000000" w:firstRow="1" w:lastRow="0" w:firstColumn="0" w:lastColumn="0" w:oddVBand="0" w:evenVBand="0" w:oddHBand="0" w:evenHBand="0" w:firstRowFirstColumn="0" w:firstRowLastColumn="0" w:lastRowFirstColumn="0" w:lastRowLastColumn="0"/>
              <w:rPr>
                <w:szCs w:val="20"/>
              </w:rPr>
            </w:pPr>
            <w:r w:rsidRPr="003E3932">
              <w:rPr>
                <w:szCs w:val="20"/>
              </w:rPr>
              <w:t>2016–17</w:t>
            </w:r>
          </w:p>
        </w:tc>
        <w:tc>
          <w:tcPr>
            <w:tcW w:w="682" w:type="pct"/>
          </w:tcPr>
          <w:p w:rsidR="000B5C96" w:rsidRPr="003E3932" w:rsidRDefault="000B5C96" w:rsidP="003F606A">
            <w:pPr>
              <w:keepNext/>
              <w:keepLines/>
              <w:cnfStyle w:val="100000000000" w:firstRow="1" w:lastRow="0" w:firstColumn="0" w:lastColumn="0" w:oddVBand="0" w:evenVBand="0" w:oddHBand="0" w:evenHBand="0" w:firstRowFirstColumn="0" w:firstRowLastColumn="0" w:lastRowFirstColumn="0" w:lastRowLastColumn="0"/>
              <w:rPr>
                <w:szCs w:val="20"/>
              </w:rPr>
            </w:pPr>
            <w:r w:rsidRPr="003E3932">
              <w:rPr>
                <w:szCs w:val="20"/>
              </w:rPr>
              <w:t>2017–18</w:t>
            </w:r>
          </w:p>
        </w:tc>
        <w:tc>
          <w:tcPr>
            <w:tcW w:w="682" w:type="pct"/>
          </w:tcPr>
          <w:p w:rsidR="000B5C96" w:rsidRPr="003E3932" w:rsidRDefault="000B5C96" w:rsidP="003F606A">
            <w:pPr>
              <w:keepNext/>
              <w:keepLines/>
              <w:cnfStyle w:val="100000000000" w:firstRow="1" w:lastRow="0" w:firstColumn="0" w:lastColumn="0" w:oddVBand="0" w:evenVBand="0" w:oddHBand="0" w:evenHBand="0" w:firstRowFirstColumn="0" w:firstRowLastColumn="0" w:lastRowFirstColumn="0" w:lastRowLastColumn="0"/>
              <w:rPr>
                <w:szCs w:val="20"/>
              </w:rPr>
            </w:pPr>
            <w:r w:rsidRPr="003E3932">
              <w:rPr>
                <w:szCs w:val="20"/>
              </w:rPr>
              <w:t>2018–19</w:t>
            </w:r>
          </w:p>
        </w:tc>
        <w:tc>
          <w:tcPr>
            <w:tcW w:w="682" w:type="pct"/>
          </w:tcPr>
          <w:p w:rsidR="000B5C96" w:rsidRPr="003E3932" w:rsidRDefault="000B5C96" w:rsidP="003F606A">
            <w:pPr>
              <w:keepNext/>
              <w:keepLines/>
              <w:cnfStyle w:val="100000000000" w:firstRow="1" w:lastRow="0" w:firstColumn="0" w:lastColumn="0" w:oddVBand="0" w:evenVBand="0" w:oddHBand="0" w:evenHBand="0" w:firstRowFirstColumn="0" w:firstRowLastColumn="0" w:lastRowFirstColumn="0" w:lastRowLastColumn="0"/>
              <w:rPr>
                <w:b/>
                <w:szCs w:val="20"/>
              </w:rPr>
            </w:pPr>
            <w:r w:rsidRPr="003E3932">
              <w:rPr>
                <w:szCs w:val="20"/>
              </w:rPr>
              <w:t>2019–20</w:t>
            </w:r>
          </w:p>
        </w:tc>
        <w:tc>
          <w:tcPr>
            <w:tcW w:w="681" w:type="pct"/>
          </w:tcPr>
          <w:p w:rsidR="000B5C96" w:rsidRPr="003E3932" w:rsidRDefault="000B5C96" w:rsidP="003F606A">
            <w:pPr>
              <w:keepNext/>
              <w:keepLines/>
              <w:cnfStyle w:val="100000000000" w:firstRow="1" w:lastRow="0" w:firstColumn="0" w:lastColumn="0" w:oddVBand="0" w:evenVBand="0" w:oddHBand="0" w:evenHBand="0" w:firstRowFirstColumn="0" w:firstRowLastColumn="0" w:lastRowFirstColumn="0" w:lastRowLastColumn="0"/>
              <w:rPr>
                <w:b/>
                <w:szCs w:val="20"/>
              </w:rPr>
            </w:pPr>
            <w:r w:rsidRPr="003E3932">
              <w:rPr>
                <w:b/>
                <w:szCs w:val="20"/>
              </w:rPr>
              <w:t>Total</w:t>
            </w:r>
          </w:p>
        </w:tc>
      </w:tr>
      <w:tr w:rsidR="000B5C96" w:rsidRPr="003E393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3E3932" w:rsidRDefault="000B5C96" w:rsidP="003F606A">
            <w:pPr>
              <w:keepNext/>
              <w:keepLines/>
              <w:rPr>
                <w:szCs w:val="20"/>
              </w:rPr>
            </w:pPr>
            <w:r w:rsidRPr="003E3932">
              <w:rPr>
                <w:szCs w:val="20"/>
              </w:rPr>
              <w:t>Fiscal balance</w:t>
            </w:r>
          </w:p>
        </w:tc>
        <w:tc>
          <w:tcPr>
            <w:tcW w:w="682" w:type="pct"/>
            <w:shd w:val="clear" w:color="auto" w:fill="auto"/>
          </w:tcPr>
          <w:p w:rsidR="000B5C96" w:rsidRPr="003E3932"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3932">
              <w:rPr>
                <w:rFonts w:ascii="Calibri" w:hAnsi="Calibri"/>
                <w:szCs w:val="20"/>
              </w:rPr>
              <w:t>-10.8</w:t>
            </w:r>
          </w:p>
        </w:tc>
        <w:tc>
          <w:tcPr>
            <w:tcW w:w="682" w:type="pct"/>
            <w:shd w:val="clear" w:color="auto" w:fill="auto"/>
          </w:tcPr>
          <w:p w:rsidR="000B5C96" w:rsidRPr="003E3932"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3932">
              <w:rPr>
                <w:rFonts w:ascii="Calibri" w:hAnsi="Calibri"/>
                <w:szCs w:val="20"/>
              </w:rPr>
              <w:t>-10.2</w:t>
            </w:r>
          </w:p>
        </w:tc>
        <w:tc>
          <w:tcPr>
            <w:tcW w:w="682" w:type="pct"/>
            <w:shd w:val="clear" w:color="auto" w:fill="auto"/>
          </w:tcPr>
          <w:p w:rsidR="000B5C96" w:rsidRPr="003E3932"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3932">
              <w:rPr>
                <w:rFonts w:ascii="Calibri" w:hAnsi="Calibri"/>
                <w:szCs w:val="20"/>
              </w:rPr>
              <w:t>-10.2</w:t>
            </w:r>
          </w:p>
        </w:tc>
        <w:tc>
          <w:tcPr>
            <w:tcW w:w="682" w:type="pct"/>
            <w:shd w:val="clear" w:color="auto" w:fill="auto"/>
          </w:tcPr>
          <w:p w:rsidR="000B5C96" w:rsidRPr="003E3932"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3932">
              <w:rPr>
                <w:rFonts w:ascii="Calibri" w:hAnsi="Calibri"/>
                <w:szCs w:val="20"/>
              </w:rPr>
              <w:t>-10.2</w:t>
            </w:r>
          </w:p>
        </w:tc>
        <w:tc>
          <w:tcPr>
            <w:tcW w:w="681" w:type="pct"/>
            <w:shd w:val="clear" w:color="auto" w:fill="auto"/>
          </w:tcPr>
          <w:p w:rsidR="000B5C96" w:rsidRPr="003E3932"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E3932">
              <w:rPr>
                <w:rFonts w:ascii="Calibri" w:hAnsi="Calibri"/>
                <w:b/>
                <w:szCs w:val="20"/>
              </w:rPr>
              <w:t>-41.4</w:t>
            </w:r>
          </w:p>
        </w:tc>
      </w:tr>
      <w:tr w:rsidR="000B5C96" w:rsidRPr="003E3932"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E3932" w:rsidRDefault="000B5C96" w:rsidP="003F606A">
            <w:pPr>
              <w:keepNext/>
              <w:keepLines/>
              <w:rPr>
                <w:szCs w:val="20"/>
              </w:rPr>
            </w:pPr>
            <w:r w:rsidRPr="003E3932">
              <w:rPr>
                <w:szCs w:val="20"/>
              </w:rPr>
              <w:t>Underlying cash balance</w:t>
            </w:r>
          </w:p>
        </w:tc>
        <w:tc>
          <w:tcPr>
            <w:tcW w:w="682"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3932">
              <w:rPr>
                <w:rFonts w:ascii="Calibri" w:hAnsi="Calibri"/>
                <w:szCs w:val="20"/>
              </w:rPr>
              <w:t>-10.8</w:t>
            </w:r>
          </w:p>
        </w:tc>
        <w:tc>
          <w:tcPr>
            <w:tcW w:w="682"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3932">
              <w:rPr>
                <w:rFonts w:ascii="Calibri" w:hAnsi="Calibri"/>
                <w:szCs w:val="20"/>
              </w:rPr>
              <w:t>-10.2</w:t>
            </w:r>
          </w:p>
        </w:tc>
        <w:tc>
          <w:tcPr>
            <w:tcW w:w="682"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3932">
              <w:rPr>
                <w:rFonts w:ascii="Calibri" w:hAnsi="Calibri"/>
                <w:szCs w:val="20"/>
              </w:rPr>
              <w:t>-10.2</w:t>
            </w:r>
          </w:p>
        </w:tc>
        <w:tc>
          <w:tcPr>
            <w:tcW w:w="682"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3932">
              <w:rPr>
                <w:rFonts w:ascii="Calibri" w:hAnsi="Calibri"/>
                <w:szCs w:val="20"/>
              </w:rPr>
              <w:t>-10.2</w:t>
            </w:r>
          </w:p>
        </w:tc>
        <w:tc>
          <w:tcPr>
            <w:tcW w:w="681"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3932">
              <w:rPr>
                <w:rFonts w:ascii="Calibri" w:hAnsi="Calibri"/>
                <w:b/>
                <w:szCs w:val="20"/>
              </w:rPr>
              <w:t>-41.4</w:t>
            </w:r>
          </w:p>
        </w:tc>
      </w:tr>
    </w:tbl>
    <w:p w:rsidR="000B5C96" w:rsidRPr="003E3932" w:rsidRDefault="000B5C96" w:rsidP="00BD209D">
      <w:pPr>
        <w:pStyle w:val="Footnotes"/>
        <w:numPr>
          <w:ilvl w:val="0"/>
          <w:numId w:val="177"/>
        </w:numPr>
        <w:ind w:left="284" w:hanging="284"/>
      </w:pPr>
      <w:r w:rsidRPr="003E3932">
        <w:t>A positive number indicates an increase in the relevant budget balance, a negative number represents a decrease.</w:t>
      </w:r>
    </w:p>
    <w:p w:rsidR="000B5C96" w:rsidRPr="003E3932" w:rsidRDefault="000B5C96" w:rsidP="00BD209D">
      <w:pPr>
        <w:pStyle w:val="Footnotes"/>
        <w:numPr>
          <w:ilvl w:val="0"/>
          <w:numId w:val="177"/>
        </w:numPr>
        <w:ind w:left="284" w:hanging="284"/>
      </w:pPr>
      <w:r w:rsidRPr="003E3932">
        <w:t>Figures may not sum to totals due to rounding.</w:t>
      </w:r>
    </w:p>
    <w:p w:rsidR="000B5C96" w:rsidRPr="003E3932" w:rsidRDefault="000B5C96" w:rsidP="003F606A">
      <w:pPr>
        <w:pStyle w:val="CostingsH7"/>
        <w:rPr>
          <w:rFonts w:eastAsia="Calibri"/>
        </w:rPr>
      </w:pPr>
      <w:r w:rsidRPr="003E3932">
        <w:rPr>
          <w:rFonts w:eastAsia="Calibri"/>
        </w:rPr>
        <w:t>Methodology</w:t>
      </w:r>
    </w:p>
    <w:p w:rsidR="000B5C96" w:rsidRPr="003E3932" w:rsidRDefault="000B5C96" w:rsidP="003F606A">
      <w:pPr>
        <w:pStyle w:val="BodyText"/>
      </w:pPr>
      <w:r w:rsidRPr="003E3932">
        <w:t>Administered costs that account for the increased TILA are based on the number of eligible individuals multiplied by the amount of the increase.</w:t>
      </w:r>
    </w:p>
    <w:p w:rsidR="000B5C96" w:rsidRPr="003E3932" w:rsidRDefault="000B5C96" w:rsidP="003F606A">
      <w:pPr>
        <w:pStyle w:val="BodyText"/>
        <w:rPr>
          <w:b/>
        </w:rPr>
      </w:pPr>
      <w:r w:rsidRPr="003E3932">
        <w:t xml:space="preserve">Estimated Departmental expenditure estimates (other than the specified capped amounts) are based on other like programs.  Estimates allow for the net effect of indexation parameters and the efficiency dividend, in accordance with the Department of Finance’s costing practices. </w:t>
      </w:r>
    </w:p>
    <w:p w:rsidR="000B5C96" w:rsidRPr="003E3932" w:rsidRDefault="000B5C96" w:rsidP="003F606A">
      <w:pPr>
        <w:pStyle w:val="CostingsH7"/>
        <w:rPr>
          <w:rFonts w:eastAsia="Calibri"/>
        </w:rPr>
      </w:pPr>
      <w:r w:rsidRPr="003E3932">
        <w:rPr>
          <w:rFonts w:eastAsia="Calibri"/>
        </w:rPr>
        <w:t>Data sources</w:t>
      </w:r>
    </w:p>
    <w:p w:rsidR="000B5C96" w:rsidRPr="003E3932" w:rsidRDefault="000B5C96" w:rsidP="000B5C96">
      <w:pPr>
        <w:pStyle w:val="ListBullet"/>
        <w:keepLines w:val="0"/>
        <w:numPr>
          <w:ilvl w:val="0"/>
          <w:numId w:val="2"/>
        </w:numPr>
        <w:spacing w:before="113"/>
        <w:ind w:left="454" w:hanging="454"/>
        <w:rPr>
          <w:lang w:eastAsia="en-AU"/>
        </w:rPr>
      </w:pPr>
      <w:r w:rsidRPr="003E3932">
        <w:rPr>
          <w:lang w:eastAsia="en-AU"/>
        </w:rPr>
        <w:t xml:space="preserve">Senate Community Affairs References Committee </w:t>
      </w:r>
      <w:r w:rsidRPr="003E3932">
        <w:rPr>
          <w:i/>
          <w:lang w:eastAsia="en-AU"/>
        </w:rPr>
        <w:t>Out of home care</w:t>
      </w:r>
      <w:r w:rsidRPr="003E3932">
        <w:rPr>
          <w:lang w:eastAsia="en-AU"/>
        </w:rPr>
        <w:t xml:space="preserve"> inquiry, August 2015.</w:t>
      </w:r>
    </w:p>
    <w:p w:rsidR="000B5C96" w:rsidRPr="003E3932" w:rsidRDefault="000B5C96" w:rsidP="000B5C96">
      <w:pPr>
        <w:pStyle w:val="ListBullet"/>
        <w:keepLines w:val="0"/>
        <w:numPr>
          <w:ilvl w:val="0"/>
          <w:numId w:val="2"/>
        </w:numPr>
        <w:spacing w:before="113"/>
        <w:ind w:left="454" w:hanging="454"/>
        <w:rPr>
          <w:lang w:eastAsia="en-AU"/>
        </w:rPr>
      </w:pPr>
      <w:r w:rsidRPr="003E3932">
        <w:rPr>
          <w:lang w:eastAsia="en-AU"/>
        </w:rPr>
        <w:t>Department of Finance provided indexation and efficiency dividend parameters.</w:t>
      </w:r>
    </w:p>
    <w:p w:rsidR="000B5C96" w:rsidRPr="003E3932" w:rsidRDefault="000B5C96" w:rsidP="000B5C96">
      <w:pPr>
        <w:pStyle w:val="ListBullet"/>
        <w:keepLines w:val="0"/>
        <w:numPr>
          <w:ilvl w:val="0"/>
          <w:numId w:val="2"/>
        </w:numPr>
        <w:spacing w:before="113"/>
        <w:ind w:left="454" w:hanging="454"/>
        <w:rPr>
          <w:lang w:eastAsia="en-AU"/>
        </w:rPr>
      </w:pPr>
      <w:r w:rsidRPr="003E3932">
        <w:rPr>
          <w:lang w:eastAsia="en-AU"/>
        </w:rPr>
        <w:t xml:space="preserve">Department of the Prime Minister and Cabinet, </w:t>
      </w:r>
      <w:r w:rsidRPr="003E3932">
        <w:rPr>
          <w:i/>
          <w:lang w:eastAsia="en-AU"/>
        </w:rPr>
        <w:t>Portfolio Budget Statements 2016-17.</w:t>
      </w:r>
    </w:p>
    <w:p w:rsidR="000B5C96" w:rsidRPr="003E3932" w:rsidRDefault="000B5C96" w:rsidP="003F606A">
      <w:pPr>
        <w:pStyle w:val="BodyText"/>
      </w:pPr>
    </w:p>
    <w:p w:rsidR="000B5C96" w:rsidRPr="003E3932" w:rsidRDefault="000B5C96" w:rsidP="003F606A">
      <w:pPr>
        <w:pStyle w:val="BodyText"/>
        <w:rPr>
          <w:highlight w:val="yellow"/>
        </w:rPr>
        <w:sectPr w:rsidR="000B5C96" w:rsidRPr="003E3932" w:rsidSect="003F606A">
          <w:headerReference w:type="even" r:id="rId374"/>
          <w:headerReference w:type="default" r:id="rId375"/>
          <w:footerReference w:type="even" r:id="rId376"/>
          <w:footerReference w:type="default" r:id="rId377"/>
          <w:headerReference w:type="first" r:id="rId378"/>
          <w:footerReference w:type="first" r:id="rId379"/>
          <w:footnotePr>
            <w:numRestart w:val="eachSect"/>
          </w:footnotePr>
          <w:pgSz w:w="11906" w:h="16838"/>
          <w:pgMar w:top="1361" w:right="1797" w:bottom="1474" w:left="1797" w:header="283" w:footer="454" w:gutter="0"/>
          <w:cols w:space="708"/>
          <w:docGrid w:linePitch="360"/>
        </w:sectPr>
      </w:pPr>
    </w:p>
    <w:p w:rsidR="000B5C96" w:rsidRPr="003E3932" w:rsidRDefault="000B5C96" w:rsidP="000B5C96">
      <w:pPr>
        <w:pStyle w:val="Heading6"/>
        <w:numPr>
          <w:ilvl w:val="0"/>
          <w:numId w:val="5"/>
        </w:numPr>
        <w:tabs>
          <w:tab w:val="clear" w:pos="0"/>
          <w:tab w:val="num" w:pos="360"/>
          <w:tab w:val="right" w:pos="1418"/>
          <w:tab w:val="right" w:pos="1701"/>
          <w:tab w:val="right" w:pos="1985"/>
        </w:tabs>
      </w:pPr>
      <w:r w:rsidRPr="003E3932">
        <w:t>Attachment A: Stopping another stolen generation: Reducing the number of Aboriginal and Torres Strait Islander children in out of home care—financial implications</w:t>
      </w:r>
    </w:p>
    <w:p w:rsidR="000B5C96" w:rsidRPr="003E3932" w:rsidRDefault="000B5C96" w:rsidP="003F606A">
      <w:pPr>
        <w:pStyle w:val="Caption"/>
        <w:rPr>
          <w:vertAlign w:val="superscript"/>
        </w:rPr>
      </w:pPr>
      <w:r w:rsidRPr="003E3932">
        <w:t>Table A1: Combined impact of all components—Financial implications (outturn prices)</w:t>
      </w:r>
      <w:r w:rsidRPr="003E3932">
        <w:rPr>
          <w:vertAlign w:val="superscript"/>
        </w:rPr>
        <w:t>(a)(b)</w:t>
      </w:r>
    </w:p>
    <w:tbl>
      <w:tblPr>
        <w:tblStyle w:val="TableGrid1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3233"/>
        <w:gridCol w:w="1098"/>
        <w:gridCol w:w="1099"/>
        <w:gridCol w:w="954"/>
        <w:gridCol w:w="991"/>
        <w:gridCol w:w="939"/>
      </w:tblGrid>
      <w:tr w:rsidR="000B5C96" w:rsidRPr="003E3932"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94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rPr>
                <w:b/>
                <w:szCs w:val="20"/>
              </w:rPr>
            </w:pPr>
            <w:r w:rsidRPr="003E3932">
              <w:rPr>
                <w:szCs w:val="20"/>
              </w:rPr>
              <w:t xml:space="preserve"> ($m)</w:t>
            </w:r>
          </w:p>
        </w:tc>
        <w:tc>
          <w:tcPr>
            <w:tcW w:w="660"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rPr>
            </w:pPr>
            <w:r w:rsidRPr="003E3932">
              <w:t>2016–17</w:t>
            </w:r>
          </w:p>
        </w:tc>
        <w:tc>
          <w:tcPr>
            <w:tcW w:w="661"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rPr>
            </w:pPr>
            <w:r w:rsidRPr="003E3932">
              <w:t>2017–18</w:t>
            </w:r>
          </w:p>
        </w:tc>
        <w:tc>
          <w:tcPr>
            <w:tcW w:w="57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rPr>
            </w:pPr>
            <w:r w:rsidRPr="003E3932">
              <w:t>2018–19</w:t>
            </w:r>
          </w:p>
        </w:tc>
        <w:tc>
          <w:tcPr>
            <w:tcW w:w="596"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szCs w:val="20"/>
              </w:rPr>
            </w:pPr>
            <w:r w:rsidRPr="003E3932">
              <w:t>2019–20</w:t>
            </w:r>
          </w:p>
        </w:tc>
        <w:tc>
          <w:tcPr>
            <w:tcW w:w="565"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vertAlign w:val="superscript"/>
              </w:rPr>
            </w:pPr>
            <w:r w:rsidRPr="003E3932">
              <w:rPr>
                <w:b/>
              </w:rPr>
              <w:t>Total</w:t>
            </w:r>
            <w:r w:rsidRPr="003E3932">
              <w:rPr>
                <w:b/>
                <w:szCs w:val="20"/>
              </w:rPr>
              <w:t xml:space="preserve"> to 2019–20</w:t>
            </w:r>
          </w:p>
        </w:tc>
      </w:tr>
      <w:tr w:rsidR="000B5C96" w:rsidRPr="003E393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keepNext/>
              <w:keepLines/>
              <w:ind w:left="85" w:right="85"/>
              <w:rPr>
                <w:b/>
              </w:rPr>
            </w:pPr>
            <w:r w:rsidRPr="003E3932">
              <w:rPr>
                <w:b/>
              </w:rPr>
              <w:t>Impact on fiscal and underlying cash balances</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94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227"/>
              <w:rPr>
                <w:szCs w:val="20"/>
              </w:rPr>
            </w:pPr>
            <w:r w:rsidRPr="003E3932">
              <w:t>Administered</w:t>
            </w:r>
          </w:p>
        </w:tc>
        <w:tc>
          <w:tcPr>
            <w:tcW w:w="660"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-6.4</w:t>
            </w:r>
          </w:p>
        </w:tc>
        <w:tc>
          <w:tcPr>
            <w:tcW w:w="661"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-6.4</w:t>
            </w:r>
          </w:p>
        </w:tc>
        <w:tc>
          <w:tcPr>
            <w:tcW w:w="57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-6.4</w:t>
            </w:r>
          </w:p>
        </w:tc>
        <w:tc>
          <w:tcPr>
            <w:tcW w:w="596"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-6.4</w:t>
            </w:r>
          </w:p>
        </w:tc>
        <w:tc>
          <w:tcPr>
            <w:tcW w:w="565"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-25.4</w:t>
            </w:r>
          </w:p>
        </w:tc>
      </w:tr>
      <w:tr w:rsidR="000B5C96" w:rsidRPr="003E393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227"/>
              <w:rPr>
                <w:i/>
                <w:szCs w:val="20"/>
              </w:rPr>
            </w:pPr>
            <w:r w:rsidRPr="003E3932">
              <w:t>Departmental</w:t>
            </w:r>
          </w:p>
        </w:tc>
        <w:tc>
          <w:tcPr>
            <w:tcW w:w="660"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E3932">
              <w:rPr>
                <w:rFonts w:ascii="Calibri" w:hAnsi="Calibri"/>
                <w:i/>
              </w:rPr>
              <w:t>-4.5</w:t>
            </w:r>
          </w:p>
        </w:tc>
        <w:tc>
          <w:tcPr>
            <w:tcW w:w="661"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E3932">
              <w:rPr>
                <w:rFonts w:ascii="Calibri" w:hAnsi="Calibri"/>
                <w:i/>
              </w:rPr>
              <w:t>-3.8</w:t>
            </w:r>
          </w:p>
        </w:tc>
        <w:tc>
          <w:tcPr>
            <w:tcW w:w="57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E3932">
              <w:rPr>
                <w:rFonts w:ascii="Calibri" w:hAnsi="Calibri"/>
                <w:i/>
              </w:rPr>
              <w:t>-3.8</w:t>
            </w:r>
          </w:p>
        </w:tc>
        <w:tc>
          <w:tcPr>
            <w:tcW w:w="596"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E3932">
              <w:rPr>
                <w:rFonts w:ascii="Calibri" w:hAnsi="Calibri"/>
                <w:i/>
              </w:rPr>
              <w:t>-3.9</w:t>
            </w:r>
          </w:p>
        </w:tc>
        <w:tc>
          <w:tcPr>
            <w:tcW w:w="565"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3E3932">
              <w:rPr>
                <w:rFonts w:ascii="Calibri" w:hAnsi="Calibri"/>
                <w:b/>
                <w:i/>
              </w:rPr>
              <w:t>-16.0</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944"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keepNext/>
              <w:keepLines/>
              <w:rPr>
                <w:b/>
                <w:szCs w:val="20"/>
              </w:rPr>
            </w:pPr>
            <w:r w:rsidRPr="003E3932">
              <w:rPr>
                <w:b/>
                <w:szCs w:val="20"/>
              </w:rPr>
              <w:t>Total</w:t>
            </w:r>
          </w:p>
        </w:tc>
        <w:tc>
          <w:tcPr>
            <w:tcW w:w="660"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-10.8</w:t>
            </w:r>
          </w:p>
        </w:tc>
        <w:tc>
          <w:tcPr>
            <w:tcW w:w="661"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-10.2</w:t>
            </w:r>
          </w:p>
        </w:tc>
        <w:tc>
          <w:tcPr>
            <w:tcW w:w="574"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-10.2</w:t>
            </w:r>
          </w:p>
        </w:tc>
        <w:tc>
          <w:tcPr>
            <w:tcW w:w="596"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-10.2</w:t>
            </w:r>
          </w:p>
        </w:tc>
        <w:tc>
          <w:tcPr>
            <w:tcW w:w="565"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-41.4</w:t>
            </w:r>
          </w:p>
        </w:tc>
      </w:tr>
    </w:tbl>
    <w:p w:rsidR="000B5C96" w:rsidRPr="003E3932" w:rsidRDefault="000B5C96" w:rsidP="00424141">
      <w:pPr>
        <w:pStyle w:val="Footnotes"/>
        <w:numPr>
          <w:ilvl w:val="0"/>
          <w:numId w:val="178"/>
        </w:numPr>
        <w:ind w:left="284" w:hanging="284"/>
      </w:pPr>
      <w:r w:rsidRPr="003E3932">
        <w:t>A positive number for the fiscal and underlying cash balances indicates a decrease in expenditure.  A negative number for the fiscal and underlying cash balances indicates an increase in expenditure.</w:t>
      </w:r>
    </w:p>
    <w:p w:rsidR="000B5C96" w:rsidRPr="003E3932" w:rsidRDefault="000B5C96" w:rsidP="00424141">
      <w:pPr>
        <w:pStyle w:val="Footnotes"/>
        <w:numPr>
          <w:ilvl w:val="0"/>
          <w:numId w:val="178"/>
        </w:numPr>
        <w:ind w:left="284" w:hanging="284"/>
      </w:pPr>
      <w:r w:rsidRPr="003E3932">
        <w:t>Figures may not sum to totals due to rounding.</w:t>
      </w:r>
    </w:p>
    <w:p w:rsidR="000B5C96" w:rsidRPr="003E3932" w:rsidRDefault="000B5C96" w:rsidP="003F606A">
      <w:pPr>
        <w:pStyle w:val="Caption"/>
        <w:rPr>
          <w:vertAlign w:val="superscript"/>
        </w:rPr>
      </w:pPr>
      <w:r w:rsidRPr="003E3932">
        <w:t>Table A2: Component 1: Funding for projects to reduce out of home care—Financial implications (outturn prices)</w:t>
      </w:r>
      <w:r w:rsidRPr="003E3932">
        <w:rPr>
          <w:vertAlign w:val="superscript"/>
        </w:rPr>
        <w:t>(a)(b)</w:t>
      </w:r>
    </w:p>
    <w:tbl>
      <w:tblPr>
        <w:tblStyle w:val="TableGrid1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3233"/>
        <w:gridCol w:w="1098"/>
        <w:gridCol w:w="1099"/>
        <w:gridCol w:w="954"/>
        <w:gridCol w:w="991"/>
        <w:gridCol w:w="939"/>
      </w:tblGrid>
      <w:tr w:rsidR="000B5C96" w:rsidRPr="003E3932"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94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rPr>
                <w:b/>
                <w:szCs w:val="20"/>
              </w:rPr>
            </w:pPr>
            <w:r w:rsidRPr="003E3932">
              <w:rPr>
                <w:szCs w:val="20"/>
              </w:rPr>
              <w:t xml:space="preserve"> ($m)</w:t>
            </w:r>
          </w:p>
        </w:tc>
        <w:tc>
          <w:tcPr>
            <w:tcW w:w="660"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rPr>
            </w:pPr>
            <w:r w:rsidRPr="003E3932">
              <w:t>2016–17</w:t>
            </w:r>
          </w:p>
        </w:tc>
        <w:tc>
          <w:tcPr>
            <w:tcW w:w="661"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rPr>
            </w:pPr>
            <w:r w:rsidRPr="003E3932">
              <w:t>2017–18</w:t>
            </w:r>
          </w:p>
        </w:tc>
        <w:tc>
          <w:tcPr>
            <w:tcW w:w="57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rPr>
            </w:pPr>
            <w:r w:rsidRPr="003E3932">
              <w:t>2018–19</w:t>
            </w:r>
          </w:p>
        </w:tc>
        <w:tc>
          <w:tcPr>
            <w:tcW w:w="596"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szCs w:val="20"/>
              </w:rPr>
            </w:pPr>
            <w:r w:rsidRPr="003E3932">
              <w:t>2019–20</w:t>
            </w:r>
          </w:p>
        </w:tc>
        <w:tc>
          <w:tcPr>
            <w:tcW w:w="565"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vertAlign w:val="superscript"/>
              </w:rPr>
            </w:pPr>
            <w:r w:rsidRPr="003E3932">
              <w:rPr>
                <w:b/>
              </w:rPr>
              <w:t>Total</w:t>
            </w:r>
            <w:r w:rsidRPr="003E3932">
              <w:rPr>
                <w:b/>
                <w:szCs w:val="20"/>
              </w:rPr>
              <w:t xml:space="preserve"> to 2019–20</w:t>
            </w:r>
          </w:p>
        </w:tc>
      </w:tr>
      <w:tr w:rsidR="000B5C96" w:rsidRPr="003E393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keepNext/>
              <w:keepLines/>
              <w:ind w:left="85" w:right="85"/>
              <w:rPr>
                <w:b/>
              </w:rPr>
            </w:pPr>
            <w:r w:rsidRPr="003E3932">
              <w:rPr>
                <w:b/>
              </w:rPr>
              <w:t>Impact on fiscal and underlying cash balances</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94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227"/>
              <w:rPr>
                <w:szCs w:val="20"/>
              </w:rPr>
            </w:pPr>
            <w:r w:rsidRPr="003E3932">
              <w:t>Administered (DSS)</w:t>
            </w:r>
          </w:p>
        </w:tc>
        <w:tc>
          <w:tcPr>
            <w:tcW w:w="660"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-5.0</w:t>
            </w:r>
          </w:p>
        </w:tc>
        <w:tc>
          <w:tcPr>
            <w:tcW w:w="661"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-5.0</w:t>
            </w:r>
          </w:p>
        </w:tc>
        <w:tc>
          <w:tcPr>
            <w:tcW w:w="57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-5.0</w:t>
            </w:r>
          </w:p>
        </w:tc>
        <w:tc>
          <w:tcPr>
            <w:tcW w:w="596"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-5.0</w:t>
            </w:r>
          </w:p>
        </w:tc>
        <w:tc>
          <w:tcPr>
            <w:tcW w:w="565"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-20.0</w:t>
            </w:r>
          </w:p>
        </w:tc>
      </w:tr>
      <w:tr w:rsidR="000B5C96" w:rsidRPr="003E393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ind w:left="227"/>
              <w:rPr>
                <w:szCs w:val="20"/>
              </w:rPr>
            </w:pPr>
            <w:r w:rsidRPr="003E3932">
              <w:rPr>
                <w:szCs w:val="20"/>
              </w:rPr>
              <w:t>Departmental</w:t>
            </w:r>
            <w:r w:rsidRPr="003E3932">
              <w:t xml:space="preserve"> (DSS)</w:t>
            </w:r>
          </w:p>
        </w:tc>
        <w:tc>
          <w:tcPr>
            <w:tcW w:w="660"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E3932">
              <w:rPr>
                <w:rFonts w:ascii="Calibri" w:hAnsi="Calibri"/>
                <w:i/>
              </w:rPr>
              <w:t>-0.8</w:t>
            </w:r>
          </w:p>
        </w:tc>
        <w:tc>
          <w:tcPr>
            <w:tcW w:w="661"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E3932">
              <w:rPr>
                <w:rFonts w:ascii="Calibri" w:hAnsi="Calibri"/>
                <w:i/>
              </w:rPr>
              <w:t>-0.9</w:t>
            </w:r>
          </w:p>
        </w:tc>
        <w:tc>
          <w:tcPr>
            <w:tcW w:w="574"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E3932">
              <w:rPr>
                <w:rFonts w:ascii="Calibri" w:hAnsi="Calibri"/>
                <w:i/>
              </w:rPr>
              <w:t>-0.9</w:t>
            </w:r>
          </w:p>
        </w:tc>
        <w:tc>
          <w:tcPr>
            <w:tcW w:w="596"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E3932">
              <w:rPr>
                <w:rFonts w:ascii="Calibri" w:hAnsi="Calibri"/>
                <w:i/>
              </w:rPr>
              <w:t>-0.9</w:t>
            </w:r>
          </w:p>
        </w:tc>
        <w:tc>
          <w:tcPr>
            <w:tcW w:w="565" w:type="pct"/>
            <w:tcBorders>
              <w:top w:val="single" w:sz="4" w:space="0" w:color="788184"/>
              <w:left w:val="single" w:sz="4" w:space="0" w:color="788184"/>
              <w:bottom w:val="single" w:sz="4" w:space="0" w:color="788184"/>
              <w:right w:val="single" w:sz="4" w:space="0" w:color="788184"/>
            </w:tcBorders>
          </w:tcPr>
          <w:p w:rsidR="000B5C96" w:rsidRPr="003E3932"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3E3932">
              <w:rPr>
                <w:rFonts w:ascii="Calibri" w:hAnsi="Calibri"/>
                <w:b/>
                <w:i/>
              </w:rPr>
              <w:t>-3.5</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944"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keepNext/>
              <w:keepLines/>
              <w:rPr>
                <w:b/>
                <w:szCs w:val="20"/>
              </w:rPr>
            </w:pPr>
            <w:r w:rsidRPr="003E3932">
              <w:rPr>
                <w:b/>
                <w:szCs w:val="20"/>
              </w:rPr>
              <w:t>Total</w:t>
            </w:r>
          </w:p>
        </w:tc>
        <w:tc>
          <w:tcPr>
            <w:tcW w:w="660"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-5.8</w:t>
            </w:r>
          </w:p>
        </w:tc>
        <w:tc>
          <w:tcPr>
            <w:tcW w:w="661"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-5.9</w:t>
            </w:r>
          </w:p>
        </w:tc>
        <w:tc>
          <w:tcPr>
            <w:tcW w:w="574"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-5.9</w:t>
            </w:r>
          </w:p>
        </w:tc>
        <w:tc>
          <w:tcPr>
            <w:tcW w:w="596"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-5.9</w:t>
            </w:r>
          </w:p>
        </w:tc>
        <w:tc>
          <w:tcPr>
            <w:tcW w:w="565" w:type="pct"/>
            <w:tcBorders>
              <w:top w:val="single" w:sz="4" w:space="0" w:color="788184"/>
              <w:left w:val="single" w:sz="4" w:space="0" w:color="788184"/>
              <w:bottom w:val="single" w:sz="4" w:space="0" w:color="788184"/>
              <w:right w:val="single" w:sz="4" w:space="0" w:color="788184"/>
            </w:tcBorders>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-23.5</w:t>
            </w:r>
          </w:p>
        </w:tc>
      </w:tr>
    </w:tbl>
    <w:p w:rsidR="000B5C96" w:rsidRPr="003E3932" w:rsidRDefault="000B5C96" w:rsidP="00424141">
      <w:pPr>
        <w:pStyle w:val="Footnotes"/>
        <w:keepNext/>
        <w:keepLines/>
        <w:numPr>
          <w:ilvl w:val="0"/>
          <w:numId w:val="179"/>
        </w:numPr>
        <w:ind w:left="284" w:hanging="284"/>
      </w:pPr>
      <w:r w:rsidRPr="003E3932">
        <w:t xml:space="preserve">A positive number for the fiscal and underlying cash balances indicates a decrease in expenditure.  A negative number for the fiscal and underlying cash balances indicates an increase in expenditure. </w:t>
      </w:r>
    </w:p>
    <w:p w:rsidR="000B5C96" w:rsidRPr="003E3932" w:rsidRDefault="000B5C96" w:rsidP="00424141">
      <w:pPr>
        <w:pStyle w:val="Footnotes"/>
        <w:numPr>
          <w:ilvl w:val="0"/>
          <w:numId w:val="179"/>
        </w:numPr>
        <w:ind w:left="284" w:hanging="284"/>
      </w:pPr>
      <w:r w:rsidRPr="003E3932">
        <w:t>Figures may not sum to totals due to rounding.</w:t>
      </w:r>
    </w:p>
    <w:p w:rsidR="000B5C96" w:rsidRPr="003E3932" w:rsidRDefault="000B5C96" w:rsidP="003F606A">
      <w:pPr>
        <w:spacing w:before="114" w:line="240" w:lineRule="auto"/>
        <w:rPr>
          <w:rFonts w:ascii="Calibri" w:eastAsia="Calibri" w:hAnsi="Calibri" w:cs="Times New Roman"/>
          <w:sz w:val="20"/>
          <w:szCs w:val="20"/>
        </w:rPr>
      </w:pPr>
    </w:p>
    <w:p w:rsidR="000B5C96" w:rsidRPr="003E3932" w:rsidRDefault="000B5C96" w:rsidP="003F606A">
      <w:pPr>
        <w:spacing w:before="114" w:line="240" w:lineRule="auto"/>
        <w:rPr>
          <w:rFonts w:ascii="Calibri" w:eastAsia="Calibri" w:hAnsi="Calibri" w:cs="Times New Roman"/>
          <w:sz w:val="20"/>
          <w:szCs w:val="20"/>
        </w:rPr>
        <w:sectPr w:rsidR="000B5C96" w:rsidRPr="003E3932" w:rsidSect="003F606A">
          <w:headerReference w:type="even" r:id="rId380"/>
          <w:headerReference w:type="default" r:id="rId381"/>
          <w:footerReference w:type="even" r:id="rId382"/>
          <w:footerReference w:type="default" r:id="rId383"/>
          <w:headerReference w:type="first" r:id="rId384"/>
          <w:footerReference w:type="first" r:id="rId385"/>
          <w:footnotePr>
            <w:numRestart w:val="eachSect"/>
          </w:footnotePr>
          <w:pgSz w:w="11906" w:h="16838"/>
          <w:pgMar w:top="1361" w:right="1797" w:bottom="1474" w:left="1797" w:header="283" w:footer="454" w:gutter="0"/>
          <w:cols w:space="708"/>
          <w:docGrid w:linePitch="360"/>
        </w:sectPr>
      </w:pPr>
    </w:p>
    <w:p w:rsidR="000B5C96" w:rsidRPr="003E3932" w:rsidRDefault="000B5C96" w:rsidP="003F606A">
      <w:pPr>
        <w:pStyle w:val="Caption"/>
        <w:rPr>
          <w:vertAlign w:val="superscript"/>
        </w:rPr>
      </w:pPr>
      <w:r w:rsidRPr="003E3932">
        <w:t>Table A3: Component 2: Improving support for children in out of home care—Financial implications (outturn prices)</w:t>
      </w:r>
      <w:r w:rsidRPr="003E3932">
        <w:rPr>
          <w:vertAlign w:val="superscript"/>
        </w:rPr>
        <w:t>(a)(b)</w:t>
      </w:r>
    </w:p>
    <w:tbl>
      <w:tblPr>
        <w:tblStyle w:val="TableGrid14"/>
        <w:tblW w:w="4940" w:type="pct"/>
        <w:tblInd w:w="5" w:type="dxa"/>
        <w:tblLayout w:type="fixed"/>
        <w:tblLook w:val="0680" w:firstRow="0" w:lastRow="0" w:firstColumn="1" w:lastColumn="0" w:noHBand="1" w:noVBand="1"/>
      </w:tblPr>
      <w:tblGrid>
        <w:gridCol w:w="3120"/>
        <w:gridCol w:w="992"/>
        <w:gridCol w:w="993"/>
        <w:gridCol w:w="995"/>
        <w:gridCol w:w="988"/>
        <w:gridCol w:w="1135"/>
      </w:tblGrid>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897" w:type="pct"/>
            <w:shd w:val="clear" w:color="auto" w:fill="D7DDE9"/>
          </w:tcPr>
          <w:p w:rsidR="000B5C96" w:rsidRPr="003E3932" w:rsidRDefault="000B5C96" w:rsidP="003F606A">
            <w:pPr>
              <w:keepNext/>
              <w:keepLines/>
              <w:ind w:left="57" w:right="57"/>
              <w:rPr>
                <w:b/>
              </w:rPr>
            </w:pPr>
            <w:r w:rsidRPr="003E3932">
              <w:rPr>
                <w:b/>
              </w:rPr>
              <w:t>($m)</w:t>
            </w:r>
          </w:p>
        </w:tc>
        <w:tc>
          <w:tcPr>
            <w:tcW w:w="603" w:type="pct"/>
            <w:shd w:val="clear" w:color="auto" w:fill="D7DDE9"/>
          </w:tcPr>
          <w:p w:rsidR="000B5C96" w:rsidRPr="003E3932" w:rsidRDefault="000B5C96" w:rsidP="003F606A">
            <w:pPr>
              <w:keepNext/>
              <w:keepLines/>
              <w:spacing w:before="60" w:after="60"/>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2016–17</w:t>
            </w:r>
          </w:p>
        </w:tc>
        <w:tc>
          <w:tcPr>
            <w:tcW w:w="604" w:type="pct"/>
            <w:shd w:val="clear" w:color="auto" w:fill="D7DDE9"/>
          </w:tcPr>
          <w:p w:rsidR="000B5C96" w:rsidRPr="003E3932" w:rsidRDefault="000B5C96" w:rsidP="003F606A">
            <w:pPr>
              <w:keepNext/>
              <w:keepLines/>
              <w:spacing w:before="60" w:after="60"/>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2017–18</w:t>
            </w:r>
          </w:p>
        </w:tc>
        <w:tc>
          <w:tcPr>
            <w:tcW w:w="605" w:type="pct"/>
            <w:shd w:val="clear" w:color="auto" w:fill="D7DDE9"/>
          </w:tcPr>
          <w:p w:rsidR="000B5C96" w:rsidRPr="003E3932" w:rsidRDefault="000B5C96" w:rsidP="003F606A">
            <w:pPr>
              <w:keepNext/>
              <w:keepLines/>
              <w:spacing w:before="60" w:after="60"/>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2018–19</w:t>
            </w:r>
          </w:p>
        </w:tc>
        <w:tc>
          <w:tcPr>
            <w:tcW w:w="601" w:type="pct"/>
            <w:shd w:val="clear" w:color="auto" w:fill="D7DDE9"/>
          </w:tcPr>
          <w:p w:rsidR="000B5C96" w:rsidRPr="003E3932" w:rsidRDefault="000B5C96" w:rsidP="003F606A">
            <w:pPr>
              <w:keepNext/>
              <w:keepLines/>
              <w:spacing w:before="60" w:after="60"/>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E3932">
              <w:rPr>
                <w:rFonts w:ascii="Calibri" w:hAnsi="Calibri"/>
              </w:rPr>
              <w:t>2019–20</w:t>
            </w:r>
          </w:p>
        </w:tc>
        <w:tc>
          <w:tcPr>
            <w:tcW w:w="690" w:type="pct"/>
            <w:shd w:val="clear" w:color="auto" w:fill="D7DDE9"/>
          </w:tcPr>
          <w:p w:rsidR="000B5C96" w:rsidRPr="003E3932" w:rsidRDefault="000B5C96" w:rsidP="003F606A">
            <w:pPr>
              <w:keepNext/>
              <w:keepLines/>
              <w:spacing w:before="60" w:after="60"/>
              <w:ind w:left="-57"/>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Total</w:t>
            </w:r>
            <w:r w:rsidRPr="003E3932">
              <w:rPr>
                <w:rFonts w:ascii="Calibri" w:hAnsi="Calibri"/>
                <w:b/>
                <w:szCs w:val="20"/>
              </w:rPr>
              <w:t xml:space="preserve"> to 2019–20</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808080"/>
            </w:tcBorders>
            <w:shd w:val="clear" w:color="auto" w:fill="D7DDE9"/>
          </w:tcPr>
          <w:p w:rsidR="000B5C96" w:rsidRPr="003E3932" w:rsidRDefault="000B5C96" w:rsidP="003F606A">
            <w:pPr>
              <w:keepNext/>
              <w:keepLines/>
              <w:ind w:left="57" w:right="57"/>
              <w:rPr>
                <w:b/>
              </w:rPr>
            </w:pPr>
            <w:r w:rsidRPr="003E3932">
              <w:rPr>
                <w:b/>
              </w:rPr>
              <w:t>Impact on fiscal and underlying cash balances</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3E3932" w:rsidRDefault="000B5C96" w:rsidP="003F606A">
            <w:pPr>
              <w:keepNext/>
              <w:keepLines/>
              <w:ind w:left="57" w:right="57"/>
              <w:rPr>
                <w:b/>
              </w:rPr>
            </w:pPr>
            <w:r w:rsidRPr="003E3932">
              <w:rPr>
                <w:b/>
              </w:rPr>
              <w:t>Administered</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897" w:type="pct"/>
          </w:tcPr>
          <w:p w:rsidR="000B5C96" w:rsidRPr="003E3932" w:rsidRDefault="000B5C96" w:rsidP="003F606A">
            <w:pPr>
              <w:keepNext/>
              <w:keepLines/>
              <w:ind w:left="57" w:right="57"/>
              <w:rPr>
                <w:bCs/>
                <w:color w:val="000000"/>
              </w:rPr>
            </w:pPr>
            <w:r w:rsidRPr="003E3932">
              <w:rPr>
                <w:bCs/>
                <w:color w:val="000000"/>
              </w:rPr>
              <w:t>Increase TILA</w:t>
            </w:r>
          </w:p>
        </w:tc>
        <w:tc>
          <w:tcPr>
            <w:tcW w:w="603"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-1.4</w:t>
            </w:r>
          </w:p>
        </w:tc>
        <w:tc>
          <w:tcPr>
            <w:tcW w:w="604"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-1.4</w:t>
            </w:r>
          </w:p>
        </w:tc>
        <w:tc>
          <w:tcPr>
            <w:tcW w:w="60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-1.4</w:t>
            </w:r>
          </w:p>
        </w:tc>
        <w:tc>
          <w:tcPr>
            <w:tcW w:w="601"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-1.4</w:t>
            </w:r>
          </w:p>
        </w:tc>
        <w:tc>
          <w:tcPr>
            <w:tcW w:w="690"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-5.4</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897" w:type="pct"/>
            <w:tcBorders>
              <w:bottom w:val="single" w:sz="4" w:space="0" w:color="808080"/>
            </w:tcBorders>
          </w:tcPr>
          <w:p w:rsidR="000B5C96" w:rsidRPr="003E3932" w:rsidRDefault="000B5C96" w:rsidP="003F606A">
            <w:pPr>
              <w:keepNext/>
              <w:keepLines/>
              <w:ind w:left="57" w:right="57"/>
              <w:rPr>
                <w:b/>
              </w:rPr>
            </w:pPr>
            <w:r w:rsidRPr="003E3932">
              <w:rPr>
                <w:b/>
              </w:rPr>
              <w:t>Total - Administered</w:t>
            </w:r>
          </w:p>
        </w:tc>
        <w:tc>
          <w:tcPr>
            <w:tcW w:w="603" w:type="pct"/>
            <w:tcBorders>
              <w:bottom w:val="single" w:sz="4" w:space="0" w:color="808080"/>
            </w:tcBorders>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-1.4</w:t>
            </w:r>
          </w:p>
        </w:tc>
        <w:tc>
          <w:tcPr>
            <w:tcW w:w="604" w:type="pct"/>
            <w:tcBorders>
              <w:bottom w:val="single" w:sz="4" w:space="0" w:color="808080"/>
            </w:tcBorders>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-1.4</w:t>
            </w:r>
          </w:p>
        </w:tc>
        <w:tc>
          <w:tcPr>
            <w:tcW w:w="605" w:type="pct"/>
            <w:tcBorders>
              <w:bottom w:val="single" w:sz="4" w:space="0" w:color="808080"/>
            </w:tcBorders>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-1.4</w:t>
            </w:r>
          </w:p>
        </w:tc>
        <w:tc>
          <w:tcPr>
            <w:tcW w:w="601" w:type="pct"/>
            <w:tcBorders>
              <w:bottom w:val="single" w:sz="4" w:space="0" w:color="808080"/>
            </w:tcBorders>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-1.4</w:t>
            </w:r>
          </w:p>
        </w:tc>
        <w:tc>
          <w:tcPr>
            <w:tcW w:w="690" w:type="pct"/>
            <w:tcBorders>
              <w:bottom w:val="single" w:sz="4" w:space="0" w:color="808080"/>
            </w:tcBorders>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-5.4</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3E3932" w:rsidRDefault="000B5C96" w:rsidP="003F606A">
            <w:pPr>
              <w:keepNext/>
              <w:keepLines/>
              <w:ind w:left="57" w:right="57"/>
              <w:rPr>
                <w:b/>
              </w:rPr>
            </w:pPr>
            <w:r w:rsidRPr="003E3932">
              <w:rPr>
                <w:b/>
              </w:rPr>
              <w:t>Departmental</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897" w:type="pct"/>
          </w:tcPr>
          <w:p w:rsidR="000B5C96" w:rsidRPr="003E3932" w:rsidRDefault="000B5C96" w:rsidP="003F606A">
            <w:pPr>
              <w:keepNext/>
              <w:keepLines/>
              <w:ind w:left="57" w:right="57"/>
              <w:rPr>
                <w:color w:val="000000"/>
              </w:rPr>
            </w:pPr>
            <w:r w:rsidRPr="003E3932">
              <w:rPr>
                <w:color w:val="000000"/>
              </w:rPr>
              <w:t>Additional funding (DSS)</w:t>
            </w:r>
          </w:p>
        </w:tc>
        <w:tc>
          <w:tcPr>
            <w:tcW w:w="603"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-2.5</w:t>
            </w:r>
          </w:p>
        </w:tc>
        <w:tc>
          <w:tcPr>
            <w:tcW w:w="604"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-2.5</w:t>
            </w:r>
          </w:p>
        </w:tc>
        <w:tc>
          <w:tcPr>
            <w:tcW w:w="60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-2.5</w:t>
            </w:r>
          </w:p>
        </w:tc>
        <w:tc>
          <w:tcPr>
            <w:tcW w:w="601"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-2.5</w:t>
            </w:r>
          </w:p>
        </w:tc>
        <w:tc>
          <w:tcPr>
            <w:tcW w:w="690"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-10.0</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897" w:type="pct"/>
          </w:tcPr>
          <w:p w:rsidR="000B5C96" w:rsidRPr="003E3932" w:rsidRDefault="000B5C96" w:rsidP="003F606A">
            <w:pPr>
              <w:keepNext/>
              <w:keepLines/>
              <w:ind w:left="57" w:right="57"/>
              <w:rPr>
                <w:color w:val="000000"/>
              </w:rPr>
            </w:pPr>
            <w:r w:rsidRPr="003E3932">
              <w:rPr>
                <w:color w:val="000000"/>
              </w:rPr>
              <w:t>Improve data collection (AIHW)</w:t>
            </w:r>
          </w:p>
        </w:tc>
        <w:tc>
          <w:tcPr>
            <w:tcW w:w="603"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-0.4</w:t>
            </w:r>
          </w:p>
        </w:tc>
        <w:tc>
          <w:tcPr>
            <w:tcW w:w="604"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-0.4</w:t>
            </w:r>
          </w:p>
        </w:tc>
        <w:tc>
          <w:tcPr>
            <w:tcW w:w="60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-0.4</w:t>
            </w:r>
          </w:p>
        </w:tc>
        <w:tc>
          <w:tcPr>
            <w:tcW w:w="601"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-0.4</w:t>
            </w:r>
          </w:p>
        </w:tc>
        <w:tc>
          <w:tcPr>
            <w:tcW w:w="690"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-1.5</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897" w:type="pct"/>
          </w:tcPr>
          <w:p w:rsidR="000B5C96" w:rsidRPr="003E3932" w:rsidRDefault="000B5C96" w:rsidP="003F606A">
            <w:pPr>
              <w:keepNext/>
              <w:keepLines/>
              <w:ind w:left="57" w:right="57"/>
              <w:rPr>
                <w:bCs/>
                <w:color w:val="000000"/>
              </w:rPr>
            </w:pPr>
            <w:r w:rsidRPr="003E3932">
              <w:t>Review parental consent requirements for identity documents (DSS, DHS, DIBP)</w:t>
            </w:r>
          </w:p>
        </w:tc>
        <w:tc>
          <w:tcPr>
            <w:tcW w:w="603"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-0.1</w:t>
            </w:r>
          </w:p>
        </w:tc>
        <w:tc>
          <w:tcPr>
            <w:tcW w:w="604"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-0.1</w:t>
            </w:r>
          </w:p>
        </w:tc>
        <w:tc>
          <w:tcPr>
            <w:tcW w:w="60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-0.1</w:t>
            </w:r>
          </w:p>
        </w:tc>
        <w:tc>
          <w:tcPr>
            <w:tcW w:w="601"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-0.1</w:t>
            </w:r>
          </w:p>
        </w:tc>
        <w:tc>
          <w:tcPr>
            <w:tcW w:w="690"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-0.3</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897" w:type="pct"/>
          </w:tcPr>
          <w:p w:rsidR="000B5C96" w:rsidRPr="003E3932" w:rsidRDefault="000B5C96" w:rsidP="003F606A">
            <w:pPr>
              <w:keepNext/>
              <w:keepLines/>
              <w:ind w:left="57" w:right="57"/>
              <w:rPr>
                <w:bCs/>
                <w:color w:val="000000"/>
              </w:rPr>
            </w:pPr>
            <w:r w:rsidRPr="003E3932">
              <w:rPr>
                <w:bCs/>
                <w:color w:val="000000"/>
              </w:rPr>
              <w:t>Review support available (NDIA)</w:t>
            </w:r>
          </w:p>
        </w:tc>
        <w:tc>
          <w:tcPr>
            <w:tcW w:w="603"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-0.7</w:t>
            </w:r>
          </w:p>
        </w:tc>
        <w:tc>
          <w:tcPr>
            <w:tcW w:w="604"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w:t>
            </w:r>
          </w:p>
        </w:tc>
        <w:tc>
          <w:tcPr>
            <w:tcW w:w="60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w:t>
            </w:r>
          </w:p>
        </w:tc>
        <w:tc>
          <w:tcPr>
            <w:tcW w:w="601"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E3932">
              <w:rPr>
                <w:rFonts w:ascii="Calibri" w:hAnsi="Calibri"/>
                <w:i/>
              </w:rPr>
              <w:t>-</w:t>
            </w:r>
          </w:p>
        </w:tc>
        <w:tc>
          <w:tcPr>
            <w:tcW w:w="690"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-0.7</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897" w:type="pct"/>
          </w:tcPr>
          <w:p w:rsidR="000B5C96" w:rsidRPr="003E3932" w:rsidRDefault="000B5C96" w:rsidP="003F606A">
            <w:pPr>
              <w:keepNext/>
              <w:keepLines/>
              <w:ind w:left="57" w:right="57"/>
              <w:rPr>
                <w:b/>
              </w:rPr>
            </w:pPr>
            <w:r w:rsidRPr="003E3932">
              <w:rPr>
                <w:b/>
              </w:rPr>
              <w:t>Total - Departmental</w:t>
            </w:r>
          </w:p>
        </w:tc>
        <w:tc>
          <w:tcPr>
            <w:tcW w:w="603"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-3.6</w:t>
            </w:r>
          </w:p>
        </w:tc>
        <w:tc>
          <w:tcPr>
            <w:tcW w:w="604"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-2.9</w:t>
            </w:r>
          </w:p>
        </w:tc>
        <w:tc>
          <w:tcPr>
            <w:tcW w:w="605"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-2.9</w:t>
            </w:r>
          </w:p>
        </w:tc>
        <w:tc>
          <w:tcPr>
            <w:tcW w:w="601"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-2.9</w:t>
            </w:r>
          </w:p>
        </w:tc>
        <w:tc>
          <w:tcPr>
            <w:tcW w:w="690" w:type="pct"/>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3E3932">
              <w:rPr>
                <w:rFonts w:ascii="Calibri" w:hAnsi="Calibri"/>
                <w:b/>
                <w:i/>
              </w:rPr>
              <w:t>-12.4</w:t>
            </w:r>
          </w:p>
        </w:tc>
      </w:tr>
      <w:tr w:rsidR="000B5C96" w:rsidRPr="003E3932" w:rsidTr="003F606A">
        <w:trPr>
          <w:cantSplit/>
        </w:trPr>
        <w:tc>
          <w:tcPr>
            <w:cnfStyle w:val="001000000000" w:firstRow="0" w:lastRow="0" w:firstColumn="1" w:lastColumn="0" w:oddVBand="0" w:evenVBand="0" w:oddHBand="0" w:evenHBand="0" w:firstRowFirstColumn="0" w:firstRowLastColumn="0" w:lastRowFirstColumn="0" w:lastRowLastColumn="0"/>
            <w:tcW w:w="1897" w:type="pct"/>
            <w:shd w:val="clear" w:color="auto" w:fill="D7DDE9"/>
          </w:tcPr>
          <w:p w:rsidR="000B5C96" w:rsidRPr="003E3932" w:rsidRDefault="000B5C96" w:rsidP="003F606A">
            <w:pPr>
              <w:keepNext/>
              <w:keepLines/>
              <w:ind w:left="57" w:right="57"/>
              <w:rPr>
                <w:b/>
              </w:rPr>
            </w:pPr>
            <w:r w:rsidRPr="003E3932">
              <w:rPr>
                <w:b/>
              </w:rPr>
              <w:t>Total</w:t>
            </w:r>
          </w:p>
        </w:tc>
        <w:tc>
          <w:tcPr>
            <w:tcW w:w="603"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-5.0</w:t>
            </w:r>
          </w:p>
        </w:tc>
        <w:tc>
          <w:tcPr>
            <w:tcW w:w="604"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-4.3</w:t>
            </w:r>
          </w:p>
        </w:tc>
        <w:tc>
          <w:tcPr>
            <w:tcW w:w="605"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-4.3</w:t>
            </w:r>
          </w:p>
        </w:tc>
        <w:tc>
          <w:tcPr>
            <w:tcW w:w="601"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-4.3</w:t>
            </w:r>
          </w:p>
        </w:tc>
        <w:tc>
          <w:tcPr>
            <w:tcW w:w="690" w:type="pct"/>
            <w:shd w:val="clear" w:color="auto" w:fill="D7DDE9"/>
          </w:tcPr>
          <w:p w:rsidR="000B5C96" w:rsidRPr="003E393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E3932">
              <w:rPr>
                <w:rFonts w:ascii="Calibri" w:hAnsi="Calibri"/>
                <w:b/>
              </w:rPr>
              <w:t>-17.9</w:t>
            </w:r>
          </w:p>
        </w:tc>
      </w:tr>
    </w:tbl>
    <w:p w:rsidR="000B5C96" w:rsidRPr="003E3932" w:rsidRDefault="000B5C96" w:rsidP="00424141">
      <w:pPr>
        <w:pStyle w:val="Footnotes"/>
        <w:keepNext/>
        <w:keepLines/>
        <w:numPr>
          <w:ilvl w:val="0"/>
          <w:numId w:val="180"/>
        </w:numPr>
        <w:ind w:left="284" w:hanging="284"/>
      </w:pPr>
      <w:r w:rsidRPr="003E3932">
        <w:t>A positive number for the fiscal and underlying cash balances indicates a decrease in expenditure.  A negative number for the fiscal and underlying cash balances indicates an increase in expenditure.</w:t>
      </w:r>
    </w:p>
    <w:p w:rsidR="000B5C96" w:rsidRPr="003E3932" w:rsidRDefault="000B5C96" w:rsidP="00424141">
      <w:pPr>
        <w:pStyle w:val="Footnotes"/>
        <w:keepNext/>
        <w:keepLines/>
        <w:numPr>
          <w:ilvl w:val="0"/>
          <w:numId w:val="180"/>
        </w:numPr>
        <w:ind w:left="284" w:hanging="284"/>
      </w:pPr>
      <w:r w:rsidRPr="003E3932">
        <w:t>Figures may not sum to totals due to rounding.</w:t>
      </w:r>
    </w:p>
    <w:p w:rsidR="000B5C96" w:rsidRPr="003E3932" w:rsidRDefault="000B5C96" w:rsidP="003F606A">
      <w:pPr>
        <w:pStyle w:val="Footnotes"/>
        <w:keepNext/>
        <w:keepLines/>
        <w:numPr>
          <w:ilvl w:val="0"/>
          <w:numId w:val="0"/>
        </w:numPr>
        <w:ind w:left="284" w:hanging="284"/>
      </w:pPr>
      <w:r w:rsidRPr="003E3932">
        <w:t>-</w:t>
      </w:r>
      <w:r w:rsidRPr="003E3932">
        <w:tab/>
        <w:t>Indicates nil.</w:t>
      </w:r>
    </w:p>
    <w:p w:rsidR="000B5C96" w:rsidRDefault="000B5C96" w:rsidP="003F606A">
      <w:pPr>
        <w:pStyle w:val="BodyText"/>
      </w:pP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39" w:name="_Toc457979357"/>
      <w:bookmarkStart w:id="140" w:name="_Toc458069215"/>
      <w:r>
        <w:t>GRN040: Royal Commission into Disability Abuse</w:t>
      </w:r>
      <w:bookmarkEnd w:id="139"/>
      <w:bookmarkEnd w:id="140"/>
    </w:p>
    <w:p w:rsidR="000B5C96" w:rsidRPr="009C09D3" w:rsidRDefault="000B5C96" w:rsidP="003F606A">
      <w:pPr>
        <w:pStyle w:val="BodyText"/>
      </w:pPr>
      <w:r w:rsidRPr="009C09D3">
        <w:rPr>
          <w:noProof/>
          <w:lang w:eastAsia="en-AU"/>
        </w:rPr>
        <w:drawing>
          <wp:inline distT="0" distB="0" distL="0" distR="0" wp14:anchorId="722CA831" wp14:editId="363D481A">
            <wp:extent cx="2696845" cy="572135"/>
            <wp:effectExtent l="0" t="0" r="8255" b="0"/>
            <wp:docPr id="31" name="Picture 3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702008" w:rsidRDefault="000B5C96" w:rsidP="000B5C96">
      <w:pPr>
        <w:pStyle w:val="Heading6"/>
        <w:numPr>
          <w:ilvl w:val="0"/>
          <w:numId w:val="5"/>
        </w:numPr>
        <w:tabs>
          <w:tab w:val="clear" w:pos="0"/>
          <w:tab w:val="num" w:pos="360"/>
          <w:tab w:val="right" w:pos="1418"/>
          <w:tab w:val="right" w:pos="1701"/>
          <w:tab w:val="right" w:pos="1985"/>
        </w:tabs>
      </w:pPr>
      <w:r w:rsidRPr="00702008">
        <w:t>Policy costing—during the caretaker period for the 2016 general election</w:t>
      </w:r>
    </w:p>
    <w:tbl>
      <w:tblPr>
        <w:tblStyle w:val="Style15"/>
        <w:tblW w:w="8340" w:type="dxa"/>
        <w:tblLook w:val="04A0" w:firstRow="1" w:lastRow="0" w:firstColumn="1" w:lastColumn="0" w:noHBand="0" w:noVBand="1"/>
      </w:tblPr>
      <w:tblGrid>
        <w:gridCol w:w="3005"/>
        <w:gridCol w:w="5335"/>
      </w:tblGrid>
      <w:tr w:rsidR="000B5C96" w:rsidRPr="007314A8" w:rsidTr="007314A8">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7314A8" w:rsidRDefault="000B5C96" w:rsidP="003F606A">
            <w:pPr>
              <w:pStyle w:val="PullOutBoxHeading"/>
            </w:pPr>
            <w:r w:rsidRPr="007314A8">
              <w:t>Name of proposal:</w:t>
            </w:r>
          </w:p>
        </w:tc>
        <w:tc>
          <w:tcPr>
            <w:tcW w:w="5335" w:type="dxa"/>
          </w:tcPr>
          <w:p w:rsidR="000B5C96" w:rsidRPr="007314A8" w:rsidRDefault="000B5C96" w:rsidP="003F606A">
            <w:pPr>
              <w:pStyle w:val="PullOutBoxHeading"/>
            </w:pPr>
            <w:r w:rsidRPr="007314A8">
              <w:t>Support for people with disability: A Royal Commission into abuse, violence and neglect</w:t>
            </w:r>
          </w:p>
        </w:tc>
      </w:tr>
      <w:tr w:rsidR="000B5C96" w:rsidRPr="007314A8" w:rsidTr="007314A8">
        <w:tc>
          <w:tcPr>
            <w:tcW w:w="3005" w:type="dxa"/>
          </w:tcPr>
          <w:p w:rsidR="000B5C96" w:rsidRPr="007314A8" w:rsidRDefault="000B5C96" w:rsidP="003F606A">
            <w:pPr>
              <w:pStyle w:val="PullOutBoxBodyText"/>
            </w:pPr>
            <w:r w:rsidRPr="007314A8">
              <w:t>Summary of proposal:</w:t>
            </w:r>
          </w:p>
        </w:tc>
        <w:tc>
          <w:tcPr>
            <w:tcW w:w="5335" w:type="dxa"/>
          </w:tcPr>
          <w:p w:rsidR="000B5C96" w:rsidRPr="007314A8" w:rsidRDefault="000B5C96" w:rsidP="003F606A">
            <w:pPr>
              <w:pStyle w:val="PullOutBoxBodyText"/>
            </w:pPr>
            <w:r w:rsidRPr="007314A8">
              <w:t>The proposal would provide capped funding of $400 million over five years ($42 million in 2016</w:t>
            </w:r>
            <w:r w:rsidRPr="007314A8">
              <w:noBreakHyphen/>
              <w:t>17, $89 million in 2017</w:t>
            </w:r>
            <w:r w:rsidRPr="007314A8">
              <w:noBreakHyphen/>
              <w:t>18, 2018</w:t>
            </w:r>
            <w:r w:rsidRPr="007314A8">
              <w:noBreakHyphen/>
              <w:t>19 and 2019</w:t>
            </w:r>
            <w:r w:rsidRPr="007314A8">
              <w:noBreakHyphen/>
              <w:t>20 and $91 million in 2020</w:t>
            </w:r>
            <w:r w:rsidRPr="007314A8">
              <w:noBreakHyphen/>
              <w:t>21) to establish a Royal Commission into violence, abuse and neglect of people with disability.</w:t>
            </w:r>
          </w:p>
          <w:p w:rsidR="000B5C96" w:rsidRPr="007314A8" w:rsidRDefault="000B5C96" w:rsidP="003F606A">
            <w:pPr>
              <w:pStyle w:val="PullOutBoxBodyText"/>
            </w:pPr>
            <w:r w:rsidRPr="007314A8">
              <w:t>The Royal Commission would have a reporting date of 30 June 2021, with departmental costs to be met from within the capped funding amounts.</w:t>
            </w:r>
          </w:p>
        </w:tc>
      </w:tr>
      <w:tr w:rsidR="000B5C96" w:rsidRPr="007314A8" w:rsidTr="007314A8">
        <w:tc>
          <w:tcPr>
            <w:tcW w:w="3005" w:type="dxa"/>
          </w:tcPr>
          <w:p w:rsidR="000B5C96" w:rsidRPr="007314A8" w:rsidRDefault="000B5C96" w:rsidP="003F606A">
            <w:pPr>
              <w:pStyle w:val="PullOutBoxBodyText"/>
            </w:pPr>
            <w:r w:rsidRPr="007314A8">
              <w:t>Person/party requesting costing:</w:t>
            </w:r>
          </w:p>
        </w:tc>
        <w:tc>
          <w:tcPr>
            <w:tcW w:w="5335" w:type="dxa"/>
          </w:tcPr>
          <w:p w:rsidR="000B5C96" w:rsidRPr="007314A8" w:rsidRDefault="000B5C96" w:rsidP="003F606A">
            <w:pPr>
              <w:pStyle w:val="PullOutBoxBodyText"/>
            </w:pPr>
            <w:r w:rsidRPr="007314A8">
              <w:t>Senator Richard Di Natale, Australian Greens</w:t>
            </w:r>
          </w:p>
        </w:tc>
      </w:tr>
      <w:tr w:rsidR="000B5C96" w:rsidRPr="007314A8" w:rsidTr="007314A8">
        <w:tc>
          <w:tcPr>
            <w:tcW w:w="3005" w:type="dxa"/>
          </w:tcPr>
          <w:p w:rsidR="000B5C96" w:rsidRPr="007314A8" w:rsidRDefault="000B5C96" w:rsidP="003F606A">
            <w:pPr>
              <w:pStyle w:val="PullOutBoxBodyText"/>
            </w:pPr>
            <w:r w:rsidRPr="007314A8">
              <w:t>Date of public release of policy:</w:t>
            </w:r>
          </w:p>
        </w:tc>
        <w:tc>
          <w:tcPr>
            <w:tcW w:w="5335" w:type="dxa"/>
          </w:tcPr>
          <w:p w:rsidR="000B5C96" w:rsidRPr="007314A8" w:rsidRDefault="000B5C96" w:rsidP="003F606A">
            <w:pPr>
              <w:pStyle w:val="PullOutBoxBodyText"/>
            </w:pPr>
            <w:r w:rsidRPr="007314A8">
              <w:t>23 June 2016</w:t>
            </w:r>
          </w:p>
          <w:p w:rsidR="000B5C96" w:rsidRPr="007314A8" w:rsidRDefault="00E46526" w:rsidP="003F606A">
            <w:pPr>
              <w:pStyle w:val="PullOutBoxBodyText"/>
            </w:pPr>
            <w:hyperlink r:id="rId386" w:history="1">
              <w:r w:rsidR="000B5C96" w:rsidRPr="007314A8">
                <w:rPr>
                  <w:color w:val="0000FF"/>
                  <w:u w:val="single"/>
                </w:rPr>
                <w:t>http://rachel-siewert.greensmps.org.au/content/media-releases/greens-commit-royal-commission-abuse-violence-and-neglect-people-disability-a</w:t>
              </w:r>
            </w:hyperlink>
          </w:p>
        </w:tc>
      </w:tr>
      <w:tr w:rsidR="000B5C96" w:rsidRPr="007314A8" w:rsidTr="007314A8">
        <w:tc>
          <w:tcPr>
            <w:tcW w:w="3005" w:type="dxa"/>
          </w:tcPr>
          <w:p w:rsidR="000B5C96" w:rsidRPr="007314A8" w:rsidRDefault="000B5C96" w:rsidP="003F606A">
            <w:pPr>
              <w:pStyle w:val="PullOutBoxBodyText"/>
            </w:pPr>
            <w:r w:rsidRPr="007314A8">
              <w:t>Date costing request received:</w:t>
            </w:r>
          </w:p>
        </w:tc>
        <w:tc>
          <w:tcPr>
            <w:tcW w:w="5335" w:type="dxa"/>
          </w:tcPr>
          <w:p w:rsidR="000B5C96" w:rsidRPr="007314A8" w:rsidRDefault="000B5C96" w:rsidP="003F606A">
            <w:pPr>
              <w:pStyle w:val="PullOutBoxBodyText"/>
            </w:pPr>
            <w:r w:rsidRPr="007314A8">
              <w:t>28 June 2016</w:t>
            </w:r>
          </w:p>
        </w:tc>
      </w:tr>
      <w:tr w:rsidR="000B5C96" w:rsidRPr="007314A8" w:rsidTr="007314A8">
        <w:tc>
          <w:tcPr>
            <w:tcW w:w="3005" w:type="dxa"/>
          </w:tcPr>
          <w:p w:rsidR="000B5C96" w:rsidRPr="007314A8" w:rsidRDefault="000B5C96" w:rsidP="003F606A">
            <w:pPr>
              <w:pStyle w:val="PullOutBoxBodyText"/>
            </w:pPr>
            <w:r w:rsidRPr="007314A8">
              <w:t>Date costing completed:</w:t>
            </w:r>
          </w:p>
        </w:tc>
        <w:tc>
          <w:tcPr>
            <w:tcW w:w="5335" w:type="dxa"/>
          </w:tcPr>
          <w:p w:rsidR="000B5C96" w:rsidRPr="007314A8" w:rsidRDefault="000B5C96" w:rsidP="003F606A">
            <w:pPr>
              <w:pStyle w:val="PullOutBoxBodyText"/>
            </w:pPr>
            <w:r w:rsidRPr="007314A8">
              <w:t>29 June 2016</w:t>
            </w:r>
          </w:p>
        </w:tc>
      </w:tr>
      <w:tr w:rsidR="000B5C96" w:rsidRPr="007314A8" w:rsidTr="007314A8">
        <w:tc>
          <w:tcPr>
            <w:tcW w:w="3005" w:type="dxa"/>
          </w:tcPr>
          <w:p w:rsidR="000B5C96" w:rsidRPr="007314A8" w:rsidRDefault="000B5C96" w:rsidP="003F606A">
            <w:pPr>
              <w:pStyle w:val="PullOutBoxBodyText"/>
            </w:pPr>
            <w:r w:rsidRPr="007314A8">
              <w:t>Expiry date for the costing:</w:t>
            </w:r>
          </w:p>
        </w:tc>
        <w:tc>
          <w:tcPr>
            <w:tcW w:w="5335" w:type="dxa"/>
          </w:tcPr>
          <w:p w:rsidR="000B5C96" w:rsidRPr="007314A8" w:rsidRDefault="000B5C96" w:rsidP="003F606A">
            <w:pPr>
              <w:pStyle w:val="PullOutBoxBodyText"/>
            </w:pPr>
            <w:r w:rsidRPr="007314A8">
              <w:t>Release of the next economic and fiscal outlook report</w:t>
            </w:r>
          </w:p>
        </w:tc>
      </w:tr>
    </w:tbl>
    <w:p w:rsidR="000B5C96" w:rsidRPr="00702008" w:rsidRDefault="000B5C96" w:rsidP="003F606A">
      <w:pPr>
        <w:pStyle w:val="CostingsH7"/>
        <w:rPr>
          <w:rFonts w:eastAsia="Calibri"/>
        </w:rPr>
      </w:pPr>
      <w:r w:rsidRPr="00702008">
        <w:rPr>
          <w:rFonts w:eastAsia="Calibri"/>
        </w:rPr>
        <w:t>Costing overview</w:t>
      </w:r>
    </w:p>
    <w:p w:rsidR="000B5C96" w:rsidRPr="00702008" w:rsidRDefault="000B5C96" w:rsidP="003F606A">
      <w:pPr>
        <w:pStyle w:val="BodyText"/>
      </w:pPr>
      <w:r w:rsidRPr="00702008">
        <w:t>This proposal would be expected to decrease both the fiscal and underlying cash balances by $309.0 million over the 2016</w:t>
      </w:r>
      <w:r w:rsidRPr="00702008">
        <w:noBreakHyphen/>
        <w:t>17 Budget forward estimates period.  The impact is due to an increase in administered expenses of $295.0 million and an increase in departmental expenses of $14.0 million.</w:t>
      </w:r>
    </w:p>
    <w:p w:rsidR="000B5C96" w:rsidRPr="00702008" w:rsidRDefault="000B5C96" w:rsidP="003F606A">
      <w:pPr>
        <w:pStyle w:val="BodyText"/>
      </w:pPr>
      <w:r w:rsidRPr="00702008">
        <w:t>This proposal would have an impact beyond the 2016</w:t>
      </w:r>
      <w:r w:rsidRPr="00702008">
        <w:noBreakHyphen/>
        <w:t>17 Budget forward estimates period, with funding of $91 million proposed for 2020</w:t>
      </w:r>
      <w:r w:rsidRPr="00702008">
        <w:noBreakHyphen/>
        <w:t xml:space="preserve">21.  Detailed financial implications are provided at </w:t>
      </w:r>
      <w:r w:rsidRPr="00702008">
        <w:rPr>
          <w:u w:val="single"/>
        </w:rPr>
        <w:t>Attachment A</w:t>
      </w:r>
      <w:r w:rsidRPr="00702008">
        <w:t>.</w:t>
      </w:r>
    </w:p>
    <w:p w:rsidR="000B5C96" w:rsidRPr="00702008" w:rsidRDefault="000B5C96" w:rsidP="003F606A">
      <w:pPr>
        <w:pStyle w:val="BodyText"/>
      </w:pPr>
      <w:r w:rsidRPr="00702008">
        <w:t>This costing is considered to be of high reliability as it is based on specified capped amounts.  However, no analysis has been undertaken to determine the adequacy of the prescribed funding amounts to achieve the objective of the proposal.</w:t>
      </w:r>
    </w:p>
    <w:p w:rsidR="000B5C96" w:rsidRPr="00702008" w:rsidRDefault="000B5C96" w:rsidP="003F606A">
      <w:pPr>
        <w:pStyle w:val="Caption"/>
      </w:pPr>
      <w:r w:rsidRPr="00702008">
        <w:t>Table 1: Financial implications (outturn prices)</w:t>
      </w:r>
      <w:r w:rsidRPr="00702008">
        <w:rPr>
          <w:vertAlign w:val="superscript"/>
        </w:rPr>
        <w:t>(a)(b)</w:t>
      </w:r>
    </w:p>
    <w:tbl>
      <w:tblPr>
        <w:tblStyle w:val="TableGrid15"/>
        <w:tblW w:w="4993" w:type="pct"/>
        <w:tblLook w:val="04A0" w:firstRow="1" w:lastRow="0" w:firstColumn="1" w:lastColumn="0" w:noHBand="0" w:noVBand="1"/>
      </w:tblPr>
      <w:tblGrid>
        <w:gridCol w:w="2645"/>
        <w:gridCol w:w="1134"/>
        <w:gridCol w:w="1133"/>
        <w:gridCol w:w="1133"/>
        <w:gridCol w:w="1133"/>
        <w:gridCol w:w="1132"/>
      </w:tblGrid>
      <w:tr w:rsidR="000B5C96" w:rsidRPr="00702008"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702008" w:rsidRDefault="000B5C96" w:rsidP="003F606A">
            <w:pPr>
              <w:keepNext/>
              <w:keepLines/>
              <w:spacing w:line="240" w:lineRule="auto"/>
              <w:ind w:left="57" w:right="57"/>
              <w:rPr>
                <w:szCs w:val="20"/>
              </w:rPr>
            </w:pPr>
            <w:r w:rsidRPr="00702008">
              <w:rPr>
                <w:szCs w:val="20"/>
              </w:rPr>
              <w:t>Impact on ($m)</w:t>
            </w:r>
          </w:p>
        </w:tc>
        <w:tc>
          <w:tcPr>
            <w:tcW w:w="682" w:type="pct"/>
            <w:vAlign w:val="center"/>
          </w:tcPr>
          <w:p w:rsidR="000B5C96" w:rsidRPr="007020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02008">
              <w:rPr>
                <w:szCs w:val="20"/>
              </w:rPr>
              <w:t>2016–17</w:t>
            </w:r>
          </w:p>
        </w:tc>
        <w:tc>
          <w:tcPr>
            <w:tcW w:w="682" w:type="pct"/>
            <w:vAlign w:val="center"/>
          </w:tcPr>
          <w:p w:rsidR="000B5C96" w:rsidRPr="007020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02008">
              <w:rPr>
                <w:szCs w:val="20"/>
              </w:rPr>
              <w:t>2017–18</w:t>
            </w:r>
          </w:p>
        </w:tc>
        <w:tc>
          <w:tcPr>
            <w:tcW w:w="682" w:type="pct"/>
            <w:vAlign w:val="center"/>
          </w:tcPr>
          <w:p w:rsidR="000B5C96" w:rsidRPr="007020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702008">
              <w:rPr>
                <w:szCs w:val="20"/>
              </w:rPr>
              <w:t>2018–19</w:t>
            </w:r>
          </w:p>
        </w:tc>
        <w:tc>
          <w:tcPr>
            <w:tcW w:w="682" w:type="pct"/>
            <w:vAlign w:val="center"/>
          </w:tcPr>
          <w:p w:rsidR="000B5C96" w:rsidRPr="007020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02008">
              <w:rPr>
                <w:szCs w:val="20"/>
              </w:rPr>
              <w:t>2019–20</w:t>
            </w:r>
          </w:p>
        </w:tc>
        <w:tc>
          <w:tcPr>
            <w:tcW w:w="681" w:type="pct"/>
            <w:vAlign w:val="center"/>
          </w:tcPr>
          <w:p w:rsidR="000B5C96" w:rsidRPr="007020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702008">
              <w:rPr>
                <w:b/>
                <w:szCs w:val="20"/>
              </w:rPr>
              <w:t>Total</w:t>
            </w:r>
          </w:p>
        </w:tc>
      </w:tr>
      <w:tr w:rsidR="000B5C96" w:rsidRPr="00702008"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702008" w:rsidRDefault="000B5C96" w:rsidP="003F606A">
            <w:pPr>
              <w:keepNext/>
              <w:keepLines/>
              <w:ind w:left="57" w:right="57"/>
              <w:rPr>
                <w:szCs w:val="20"/>
              </w:rPr>
            </w:pPr>
            <w:r w:rsidRPr="00702008">
              <w:rPr>
                <w:szCs w:val="20"/>
              </w:rPr>
              <w:t>Fiscal balance</w:t>
            </w:r>
          </w:p>
        </w:tc>
        <w:tc>
          <w:tcPr>
            <w:tcW w:w="682" w:type="pct"/>
          </w:tcPr>
          <w:p w:rsidR="000B5C96" w:rsidRPr="007020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02008">
              <w:rPr>
                <w:rFonts w:ascii="Calibri" w:hAnsi="Calibri"/>
              </w:rPr>
              <w:t>-42.0</w:t>
            </w:r>
          </w:p>
        </w:tc>
        <w:tc>
          <w:tcPr>
            <w:tcW w:w="682" w:type="pct"/>
          </w:tcPr>
          <w:p w:rsidR="000B5C96" w:rsidRPr="007020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02008">
              <w:rPr>
                <w:rFonts w:ascii="Calibri" w:hAnsi="Calibri"/>
              </w:rPr>
              <w:t>-89.0</w:t>
            </w:r>
          </w:p>
        </w:tc>
        <w:tc>
          <w:tcPr>
            <w:tcW w:w="682" w:type="pct"/>
          </w:tcPr>
          <w:p w:rsidR="000B5C96" w:rsidRPr="007020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02008">
              <w:rPr>
                <w:rFonts w:ascii="Calibri" w:hAnsi="Calibri"/>
              </w:rPr>
              <w:t>-89.0</w:t>
            </w:r>
          </w:p>
        </w:tc>
        <w:tc>
          <w:tcPr>
            <w:tcW w:w="682" w:type="pct"/>
          </w:tcPr>
          <w:p w:rsidR="000B5C96" w:rsidRPr="007020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702008">
              <w:rPr>
                <w:rFonts w:ascii="Calibri" w:hAnsi="Calibri"/>
              </w:rPr>
              <w:t>-89.0</w:t>
            </w:r>
          </w:p>
        </w:tc>
        <w:tc>
          <w:tcPr>
            <w:tcW w:w="681" w:type="pct"/>
          </w:tcPr>
          <w:p w:rsidR="000B5C96" w:rsidRPr="007020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702008">
              <w:rPr>
                <w:rFonts w:ascii="Calibri" w:hAnsi="Calibri"/>
                <w:b/>
              </w:rPr>
              <w:t>-309.0</w:t>
            </w:r>
          </w:p>
        </w:tc>
      </w:tr>
      <w:tr w:rsidR="000B5C96" w:rsidRPr="00702008"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702008" w:rsidRDefault="000B5C96" w:rsidP="003F606A">
            <w:pPr>
              <w:keepNext/>
              <w:keepLines/>
              <w:ind w:left="57" w:right="57"/>
              <w:rPr>
                <w:szCs w:val="20"/>
              </w:rPr>
            </w:pPr>
            <w:r w:rsidRPr="00702008">
              <w:rPr>
                <w:szCs w:val="20"/>
              </w:rPr>
              <w:t>Underlying cash balance</w:t>
            </w:r>
          </w:p>
        </w:tc>
        <w:tc>
          <w:tcPr>
            <w:tcW w:w="682"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-42.0</w:t>
            </w:r>
          </w:p>
        </w:tc>
        <w:tc>
          <w:tcPr>
            <w:tcW w:w="682"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-89.0</w:t>
            </w:r>
          </w:p>
        </w:tc>
        <w:tc>
          <w:tcPr>
            <w:tcW w:w="682"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-89.0</w:t>
            </w:r>
          </w:p>
        </w:tc>
        <w:tc>
          <w:tcPr>
            <w:tcW w:w="682"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-89.0</w:t>
            </w:r>
          </w:p>
        </w:tc>
        <w:tc>
          <w:tcPr>
            <w:tcW w:w="681"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-309.0</w:t>
            </w:r>
          </w:p>
        </w:tc>
      </w:tr>
    </w:tbl>
    <w:p w:rsidR="000B5C96" w:rsidRDefault="000B5C96" w:rsidP="007314A8">
      <w:pPr>
        <w:pStyle w:val="Footnotes"/>
        <w:numPr>
          <w:ilvl w:val="0"/>
          <w:numId w:val="181"/>
        </w:numPr>
        <w:ind w:left="284" w:hanging="284"/>
      </w:pPr>
      <w:r w:rsidRPr="00702008">
        <w:t xml:space="preserve">A positive number represents an increase in the relevant budget balance, a negative number represents a decrease. </w:t>
      </w:r>
    </w:p>
    <w:p w:rsidR="000B5C96" w:rsidRPr="00702008" w:rsidRDefault="000B5C96" w:rsidP="007314A8">
      <w:pPr>
        <w:pStyle w:val="Footnotes"/>
        <w:numPr>
          <w:ilvl w:val="0"/>
          <w:numId w:val="181"/>
        </w:numPr>
        <w:ind w:left="284" w:hanging="284"/>
      </w:pPr>
      <w:r w:rsidRPr="00702008">
        <w:t>Figures may not sum to totals due to rounding.</w:t>
      </w:r>
    </w:p>
    <w:p w:rsidR="000B5C96" w:rsidRPr="00702008" w:rsidRDefault="000B5C96" w:rsidP="003F606A">
      <w:pPr>
        <w:pStyle w:val="CostingsH7"/>
        <w:rPr>
          <w:rFonts w:eastAsia="Calibri"/>
        </w:rPr>
      </w:pPr>
      <w:r w:rsidRPr="00702008">
        <w:rPr>
          <w:rFonts w:eastAsia="Calibri"/>
        </w:rPr>
        <w:t>Methodology</w:t>
      </w:r>
    </w:p>
    <w:p w:rsidR="000B5C96" w:rsidRPr="00702008" w:rsidRDefault="000B5C96" w:rsidP="003F606A">
      <w:pPr>
        <w:pStyle w:val="BodyText"/>
      </w:pPr>
      <w:r w:rsidRPr="00702008">
        <w:t>The total impact of the proposal reflects the capped funding amount as specified in the request.</w:t>
      </w:r>
    </w:p>
    <w:p w:rsidR="000B5C96" w:rsidRPr="00702008" w:rsidRDefault="000B5C96" w:rsidP="003F606A">
      <w:pPr>
        <w:pStyle w:val="BodyText"/>
      </w:pPr>
      <w:r w:rsidRPr="00702008">
        <w:t>Departmental expenditure estimates were calculated by applying appropriate indexation rates to the average annual operating costs of the Attorney</w:t>
      </w:r>
      <w:r w:rsidRPr="00702008">
        <w:noBreakHyphen/>
        <w:t>General’s Department in relation to the Royal Commission into Institutional Responses to Child Se</w:t>
      </w:r>
      <w:r w:rsidRPr="00702008">
        <w:rPr>
          <w:bCs/>
          <w:iCs/>
        </w:rPr>
        <w:t>xual Abuse over 2012</w:t>
      </w:r>
      <w:r w:rsidRPr="00702008">
        <w:rPr>
          <w:bCs/>
          <w:iCs/>
        </w:rPr>
        <w:noBreakHyphen/>
        <w:t>13 to 2017</w:t>
      </w:r>
      <w:r w:rsidRPr="00702008">
        <w:rPr>
          <w:bCs/>
          <w:iCs/>
        </w:rPr>
        <w:noBreakHyphen/>
      </w:r>
      <w:r w:rsidRPr="00702008">
        <w:t>18.</w:t>
      </w:r>
    </w:p>
    <w:p w:rsidR="000B5C96" w:rsidRPr="00702008" w:rsidRDefault="000B5C96" w:rsidP="003F606A">
      <w:pPr>
        <w:pStyle w:val="BodyText"/>
      </w:pPr>
      <w:r w:rsidRPr="00702008">
        <w:t>Administered expenditure estimates are the remainder of the capped funding amounts after allowing for estimated departmental expenditure.</w:t>
      </w:r>
    </w:p>
    <w:p w:rsidR="000B5C96" w:rsidRPr="00702008" w:rsidRDefault="000B5C96" w:rsidP="003F606A">
      <w:pPr>
        <w:pStyle w:val="CostingsH7"/>
        <w:rPr>
          <w:rFonts w:eastAsia="Calibri"/>
        </w:rPr>
      </w:pPr>
      <w:r w:rsidRPr="00702008">
        <w:rPr>
          <w:rFonts w:eastAsia="Calibri"/>
        </w:rPr>
        <w:t>Data sources</w:t>
      </w:r>
    </w:p>
    <w:p w:rsidR="000B5C96" w:rsidRPr="00702008" w:rsidRDefault="000B5C96" w:rsidP="003F606A">
      <w:pPr>
        <w:pStyle w:val="BodyText"/>
      </w:pPr>
      <w:r w:rsidRPr="00702008">
        <w:t>The Attorney-General’s Department provided actual expenditure and expenditure estimates for the Royal Commission into Institutional Responses to Child Sexual Abuse over 2012-13 to 2017-18.</w:t>
      </w:r>
    </w:p>
    <w:p w:rsidR="000B5C96" w:rsidRPr="00702008" w:rsidRDefault="000B5C96" w:rsidP="003F606A">
      <w:pPr>
        <w:pStyle w:val="BodyText"/>
        <w:rPr>
          <w:highlight w:val="yellow"/>
        </w:rPr>
      </w:pPr>
      <w:r w:rsidRPr="00702008">
        <w:t>The Department of Finance provided indexation and efficiency dividend parameters.</w:t>
      </w:r>
    </w:p>
    <w:p w:rsidR="000B5C96" w:rsidRPr="00702008" w:rsidRDefault="000B5C96" w:rsidP="003F606A">
      <w:pPr>
        <w:pStyle w:val="BodyText"/>
        <w:rPr>
          <w:highlight w:val="yellow"/>
        </w:rPr>
        <w:sectPr w:rsidR="000B5C96" w:rsidRPr="00702008" w:rsidSect="003F606A">
          <w:headerReference w:type="even" r:id="rId387"/>
          <w:headerReference w:type="default" r:id="rId388"/>
          <w:footerReference w:type="even" r:id="rId389"/>
          <w:footerReference w:type="default" r:id="rId390"/>
          <w:headerReference w:type="first" r:id="rId391"/>
          <w:footerReference w:type="first" r:id="rId392"/>
          <w:footnotePr>
            <w:numRestart w:val="eachSect"/>
          </w:footnotePr>
          <w:pgSz w:w="11906" w:h="16838"/>
          <w:pgMar w:top="1361" w:right="1797" w:bottom="1474" w:left="1797" w:header="283" w:footer="454" w:gutter="0"/>
          <w:cols w:space="708"/>
          <w:docGrid w:linePitch="360"/>
        </w:sectPr>
      </w:pPr>
    </w:p>
    <w:p w:rsidR="000B5C96" w:rsidRPr="00702008" w:rsidRDefault="000B5C96" w:rsidP="000B5C96">
      <w:pPr>
        <w:pStyle w:val="Heading6"/>
        <w:numPr>
          <w:ilvl w:val="0"/>
          <w:numId w:val="5"/>
        </w:numPr>
        <w:tabs>
          <w:tab w:val="clear" w:pos="0"/>
          <w:tab w:val="num" w:pos="360"/>
          <w:tab w:val="right" w:pos="1418"/>
          <w:tab w:val="right" w:pos="1701"/>
          <w:tab w:val="right" w:pos="1985"/>
        </w:tabs>
      </w:pPr>
      <w:r w:rsidRPr="00702008">
        <w:t>Attachment A: Support for people with disability: A Royal Commission into abuse, violence and neglect—financial implications</w:t>
      </w:r>
    </w:p>
    <w:p w:rsidR="000B5C96" w:rsidRPr="00702008" w:rsidRDefault="000B5C96" w:rsidP="003F606A">
      <w:pPr>
        <w:pStyle w:val="Caption"/>
      </w:pPr>
      <w:r w:rsidRPr="00702008">
        <w:t>Table A1: Support for people with disability: A Royal Commission into abuse, violence and neglect—financial implications</w:t>
      </w:r>
      <w:r w:rsidRPr="00702008">
        <w:rPr>
          <w:vertAlign w:val="superscript"/>
        </w:rPr>
        <w:t>(a)(b)</w:t>
      </w:r>
    </w:p>
    <w:tbl>
      <w:tblPr>
        <w:tblStyle w:val="TableGrid15"/>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702008"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702008" w:rsidRDefault="000B5C96" w:rsidP="003F606A">
            <w:pPr>
              <w:keepNext/>
              <w:keepLines/>
              <w:ind w:left="57" w:right="57"/>
            </w:pPr>
            <w:r w:rsidRPr="00702008">
              <w:t>($m)</w:t>
            </w:r>
          </w:p>
        </w:tc>
        <w:tc>
          <w:tcPr>
            <w:tcW w:w="326"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2016–17</w:t>
            </w:r>
          </w:p>
        </w:tc>
        <w:tc>
          <w:tcPr>
            <w:tcW w:w="325"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2017–18</w:t>
            </w:r>
          </w:p>
        </w:tc>
        <w:tc>
          <w:tcPr>
            <w:tcW w:w="325"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2018–19</w:t>
            </w:r>
          </w:p>
        </w:tc>
        <w:tc>
          <w:tcPr>
            <w:tcW w:w="325"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2019–20</w:t>
            </w:r>
          </w:p>
        </w:tc>
        <w:tc>
          <w:tcPr>
            <w:tcW w:w="327"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Total to 2019–20</w:t>
            </w:r>
          </w:p>
        </w:tc>
        <w:tc>
          <w:tcPr>
            <w:tcW w:w="325"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2020–21</w:t>
            </w:r>
          </w:p>
        </w:tc>
        <w:tc>
          <w:tcPr>
            <w:tcW w:w="325"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2021–22</w:t>
            </w:r>
          </w:p>
        </w:tc>
        <w:tc>
          <w:tcPr>
            <w:tcW w:w="325"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2022–23</w:t>
            </w:r>
          </w:p>
        </w:tc>
        <w:tc>
          <w:tcPr>
            <w:tcW w:w="325"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2023–24</w:t>
            </w:r>
          </w:p>
        </w:tc>
        <w:tc>
          <w:tcPr>
            <w:tcW w:w="325"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2024–25</w:t>
            </w:r>
          </w:p>
        </w:tc>
        <w:tc>
          <w:tcPr>
            <w:tcW w:w="325"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2025–26</w:t>
            </w:r>
          </w:p>
        </w:tc>
        <w:tc>
          <w:tcPr>
            <w:tcW w:w="325"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702008">
              <w:rPr>
                <w:rFonts w:ascii="Calibri" w:hAnsi="Calibri"/>
              </w:rPr>
              <w:t>2026–27</w:t>
            </w:r>
          </w:p>
        </w:tc>
        <w:tc>
          <w:tcPr>
            <w:tcW w:w="326" w:type="pct"/>
            <w:shd w:val="clear" w:color="auto" w:fill="D7DDE9"/>
          </w:tcPr>
          <w:p w:rsidR="000B5C96" w:rsidRPr="007020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Total to 2026–27</w:t>
            </w:r>
          </w:p>
        </w:tc>
      </w:tr>
      <w:tr w:rsidR="000B5C96" w:rsidRPr="00702008"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702008" w:rsidRDefault="000B5C96" w:rsidP="003F606A">
            <w:pPr>
              <w:ind w:left="57" w:right="57"/>
            </w:pPr>
            <w:r w:rsidRPr="00702008">
              <w:t>Administered</w:t>
            </w:r>
          </w:p>
        </w:tc>
        <w:tc>
          <w:tcPr>
            <w:tcW w:w="326"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-40.0</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-85.0</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-85.0</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-85.0</w:t>
            </w:r>
          </w:p>
        </w:tc>
        <w:tc>
          <w:tcPr>
            <w:tcW w:w="327"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702008">
              <w:rPr>
                <w:rFonts w:ascii="Calibri" w:hAnsi="Calibri"/>
                <w:b/>
                <w:i/>
              </w:rPr>
              <w:t>-295.0</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-86.0</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6"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702008">
              <w:rPr>
                <w:rFonts w:ascii="Calibri" w:hAnsi="Calibri"/>
                <w:b/>
                <w:i/>
              </w:rPr>
              <w:t>-381.0</w:t>
            </w:r>
          </w:p>
        </w:tc>
      </w:tr>
      <w:tr w:rsidR="000B5C96" w:rsidRPr="00702008"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702008" w:rsidRDefault="000B5C96" w:rsidP="003F606A">
            <w:pPr>
              <w:ind w:left="57" w:right="57"/>
            </w:pPr>
            <w:r w:rsidRPr="00702008">
              <w:t>Departmental – Attorney General’s Department</w:t>
            </w:r>
          </w:p>
        </w:tc>
        <w:tc>
          <w:tcPr>
            <w:tcW w:w="326"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-2.0</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-4.0</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-4.0</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-4.0</w:t>
            </w:r>
          </w:p>
        </w:tc>
        <w:tc>
          <w:tcPr>
            <w:tcW w:w="327"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702008">
              <w:rPr>
                <w:rFonts w:ascii="Calibri" w:hAnsi="Calibri"/>
                <w:b/>
                <w:i/>
              </w:rPr>
              <w:t>-14.0</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-5.0</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5"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702008">
              <w:rPr>
                <w:rFonts w:ascii="Calibri" w:hAnsi="Calibri"/>
                <w:i/>
              </w:rPr>
              <w:t>-</w:t>
            </w:r>
          </w:p>
        </w:tc>
        <w:tc>
          <w:tcPr>
            <w:tcW w:w="326" w:type="pct"/>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702008">
              <w:rPr>
                <w:rFonts w:ascii="Calibri" w:hAnsi="Calibri"/>
                <w:b/>
                <w:i/>
              </w:rPr>
              <w:t>-19.0</w:t>
            </w:r>
          </w:p>
        </w:tc>
      </w:tr>
      <w:tr w:rsidR="000B5C96" w:rsidRPr="00702008"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702008" w:rsidRDefault="000B5C96" w:rsidP="003F606A">
            <w:pPr>
              <w:ind w:left="57" w:right="57"/>
              <w:rPr>
                <w:b/>
              </w:rPr>
            </w:pPr>
            <w:r w:rsidRPr="00702008">
              <w:rPr>
                <w:b/>
              </w:rPr>
              <w:t>Total</w:t>
            </w:r>
          </w:p>
        </w:tc>
        <w:tc>
          <w:tcPr>
            <w:tcW w:w="326"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-42.0</w:t>
            </w:r>
          </w:p>
        </w:tc>
        <w:tc>
          <w:tcPr>
            <w:tcW w:w="325"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-89.0</w:t>
            </w:r>
          </w:p>
        </w:tc>
        <w:tc>
          <w:tcPr>
            <w:tcW w:w="325"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-89.0</w:t>
            </w:r>
          </w:p>
        </w:tc>
        <w:tc>
          <w:tcPr>
            <w:tcW w:w="325"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-89.0</w:t>
            </w:r>
          </w:p>
        </w:tc>
        <w:tc>
          <w:tcPr>
            <w:tcW w:w="327"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-309.0</w:t>
            </w:r>
          </w:p>
        </w:tc>
        <w:tc>
          <w:tcPr>
            <w:tcW w:w="325"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-91.0</w:t>
            </w:r>
          </w:p>
        </w:tc>
        <w:tc>
          <w:tcPr>
            <w:tcW w:w="325"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w:t>
            </w:r>
          </w:p>
        </w:tc>
        <w:tc>
          <w:tcPr>
            <w:tcW w:w="325"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w:t>
            </w:r>
          </w:p>
        </w:tc>
        <w:tc>
          <w:tcPr>
            <w:tcW w:w="325"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w:t>
            </w:r>
          </w:p>
        </w:tc>
        <w:tc>
          <w:tcPr>
            <w:tcW w:w="325"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w:t>
            </w:r>
          </w:p>
        </w:tc>
        <w:tc>
          <w:tcPr>
            <w:tcW w:w="325"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w:t>
            </w:r>
          </w:p>
        </w:tc>
        <w:tc>
          <w:tcPr>
            <w:tcW w:w="325"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w:t>
            </w:r>
          </w:p>
        </w:tc>
        <w:tc>
          <w:tcPr>
            <w:tcW w:w="326" w:type="pct"/>
            <w:shd w:val="clear" w:color="auto" w:fill="D7DDE9"/>
          </w:tcPr>
          <w:p w:rsidR="000B5C96" w:rsidRPr="007020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702008">
              <w:rPr>
                <w:rFonts w:ascii="Calibri" w:hAnsi="Calibri"/>
                <w:b/>
              </w:rPr>
              <w:t>-400.0</w:t>
            </w:r>
          </w:p>
        </w:tc>
      </w:tr>
    </w:tbl>
    <w:p w:rsidR="000B5C96" w:rsidRDefault="000B5C96" w:rsidP="002172C7">
      <w:pPr>
        <w:pStyle w:val="Footnotes"/>
        <w:numPr>
          <w:ilvl w:val="0"/>
          <w:numId w:val="182"/>
        </w:numPr>
        <w:ind w:left="284" w:hanging="284"/>
      </w:pPr>
      <w:r w:rsidRPr="00702008">
        <w:t xml:space="preserve">A positive number indicates an increase in revenue or a decrease in expenses in accrual and cash terms.  A negative number indicates a decrease in revenue or an increase in expenses in accrual and cash terms. </w:t>
      </w:r>
    </w:p>
    <w:p w:rsidR="000B5C96" w:rsidRPr="00702008" w:rsidRDefault="000B5C96" w:rsidP="002172C7">
      <w:pPr>
        <w:pStyle w:val="Footnotes"/>
        <w:numPr>
          <w:ilvl w:val="0"/>
          <w:numId w:val="182"/>
        </w:numPr>
        <w:ind w:left="284" w:hanging="284"/>
      </w:pPr>
      <w:r w:rsidRPr="00702008">
        <w:t>Figures may not sum to totals due to rounding.</w:t>
      </w:r>
    </w:p>
    <w:p w:rsidR="000B5C96" w:rsidRPr="00702008" w:rsidRDefault="000B5C96" w:rsidP="003F606A">
      <w:pPr>
        <w:pStyle w:val="Footnotes"/>
        <w:numPr>
          <w:ilvl w:val="0"/>
          <w:numId w:val="0"/>
        </w:numPr>
        <w:ind w:left="284" w:hanging="284"/>
      </w:pPr>
      <w:r w:rsidRPr="00702008">
        <w:t>-</w:t>
      </w:r>
      <w:r w:rsidRPr="00702008">
        <w:tab/>
        <w:t>Indicates nil.</w:t>
      </w:r>
    </w:p>
    <w:p w:rsidR="000B5C96" w:rsidRDefault="000B5C96" w:rsidP="003F606A">
      <w:pPr>
        <w:pStyle w:val="BodyText"/>
      </w:pPr>
    </w:p>
    <w:p w:rsidR="000B5C96" w:rsidRDefault="000B5C96" w:rsidP="003F606A">
      <w:pPr>
        <w:pStyle w:val="BodyText"/>
        <w:sectPr w:rsidR="000B5C96" w:rsidSect="003F606A">
          <w:headerReference w:type="even" r:id="rId393"/>
          <w:headerReference w:type="default" r:id="rId394"/>
          <w:footerReference w:type="even" r:id="rId395"/>
          <w:footerReference w:type="default" r:id="rId396"/>
          <w:footnotePr>
            <w:numRestart w:val="eachSect"/>
          </w:footnotePr>
          <w:pgSz w:w="16839" w:h="11907" w:orient="landscape" w:code="9"/>
          <w:pgMar w:top="1361" w:right="1797" w:bottom="1474" w:left="1797" w:header="283" w:footer="454" w:gutter="0"/>
          <w:cols w:space="708"/>
          <w:docGrid w:linePitch="360"/>
        </w:sectPr>
      </w:pPr>
    </w:p>
    <w:p w:rsidR="000B5C96" w:rsidRDefault="000B5C96" w:rsidP="003F606A">
      <w:pPr>
        <w:pStyle w:val="Heading5"/>
        <w:spacing w:before="0"/>
      </w:pPr>
      <w:bookmarkStart w:id="141" w:name="_Toc457979358"/>
      <w:bookmarkStart w:id="142" w:name="_Toc458069216"/>
      <w:r>
        <w:t>GRN041: Child Abuse Redress Scheme</w:t>
      </w:r>
      <w:bookmarkEnd w:id="141"/>
      <w:bookmarkEnd w:id="142"/>
    </w:p>
    <w:p w:rsidR="000B5C96" w:rsidRPr="009C09D3" w:rsidRDefault="000B5C96" w:rsidP="003F606A">
      <w:pPr>
        <w:pStyle w:val="BodyText"/>
      </w:pPr>
      <w:r w:rsidRPr="009C09D3">
        <w:rPr>
          <w:noProof/>
          <w:lang w:eastAsia="en-AU"/>
        </w:rPr>
        <w:drawing>
          <wp:inline distT="0" distB="0" distL="0" distR="0" wp14:anchorId="6803E14A" wp14:editId="77E6B789">
            <wp:extent cx="2696845" cy="572135"/>
            <wp:effectExtent l="0" t="0" r="8255" b="0"/>
            <wp:docPr id="452" name="Picture 45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9F1949" w:rsidRDefault="000B5C96" w:rsidP="000B5C96">
      <w:pPr>
        <w:pStyle w:val="Heading6"/>
        <w:numPr>
          <w:ilvl w:val="0"/>
          <w:numId w:val="5"/>
        </w:numPr>
        <w:tabs>
          <w:tab w:val="clear" w:pos="0"/>
          <w:tab w:val="num" w:pos="360"/>
          <w:tab w:val="right" w:pos="1418"/>
          <w:tab w:val="right" w:pos="1701"/>
          <w:tab w:val="right" w:pos="1985"/>
        </w:tabs>
      </w:pPr>
      <w:r w:rsidRPr="009F1949">
        <w:t>Policy costing—during the caretaker period for the 2016 general election</w:t>
      </w:r>
    </w:p>
    <w:tbl>
      <w:tblPr>
        <w:tblStyle w:val="Style15"/>
        <w:tblW w:w="8613" w:type="dxa"/>
        <w:tblLook w:val="04A0" w:firstRow="1" w:lastRow="0" w:firstColumn="1" w:lastColumn="0" w:noHBand="0" w:noVBand="1"/>
      </w:tblPr>
      <w:tblGrid>
        <w:gridCol w:w="2943"/>
        <w:gridCol w:w="5670"/>
      </w:tblGrid>
      <w:tr w:rsidR="000B5C96" w:rsidRPr="00862AB8" w:rsidTr="004B4310">
        <w:trPr>
          <w:cnfStyle w:val="100000000000" w:firstRow="1" w:lastRow="0" w:firstColumn="0" w:lastColumn="0" w:oddVBand="0" w:evenVBand="0" w:oddHBand="0" w:evenHBand="0" w:firstRowFirstColumn="0" w:firstRowLastColumn="0" w:lastRowFirstColumn="0" w:lastRowLastColumn="0"/>
        </w:trPr>
        <w:tc>
          <w:tcPr>
            <w:tcW w:w="2943" w:type="dxa"/>
          </w:tcPr>
          <w:p w:rsidR="000B5C96" w:rsidRPr="004B4310" w:rsidRDefault="000B5C96" w:rsidP="004B4310">
            <w:pPr>
              <w:pStyle w:val="PullOutBoxHeading"/>
              <w:spacing w:before="113" w:after="113"/>
              <w:ind w:left="0" w:right="0"/>
              <w:rPr>
                <w:b w:val="0"/>
              </w:rPr>
            </w:pPr>
            <w:r w:rsidRPr="004B4310">
              <w:t>Name of proposal:</w:t>
            </w:r>
          </w:p>
        </w:tc>
        <w:tc>
          <w:tcPr>
            <w:tcW w:w="5670" w:type="dxa"/>
          </w:tcPr>
          <w:p w:rsidR="000B5C96" w:rsidRPr="004B4310" w:rsidRDefault="000B5C96" w:rsidP="004B4310">
            <w:pPr>
              <w:pStyle w:val="PullOutBoxHeading"/>
              <w:spacing w:before="113" w:after="113"/>
              <w:ind w:left="0" w:right="0"/>
              <w:rPr>
                <w:b w:val="0"/>
              </w:rPr>
            </w:pPr>
            <w:r w:rsidRPr="004B4310">
              <w:t>Child Abuse Redress Scheme</w:t>
            </w:r>
          </w:p>
        </w:tc>
      </w:tr>
      <w:tr w:rsidR="000B5C96" w:rsidRPr="009F1949" w:rsidTr="004B4310">
        <w:tc>
          <w:tcPr>
            <w:tcW w:w="2943" w:type="dxa"/>
          </w:tcPr>
          <w:p w:rsidR="000B5C96" w:rsidRPr="004B4310" w:rsidRDefault="000B5C96" w:rsidP="004B4310">
            <w:pPr>
              <w:pStyle w:val="PullOutBoxBodyText"/>
              <w:ind w:left="0" w:right="0"/>
            </w:pPr>
            <w:r w:rsidRPr="004B4310">
              <w:t>Summary of proposal:</w:t>
            </w:r>
          </w:p>
        </w:tc>
        <w:tc>
          <w:tcPr>
            <w:tcW w:w="5670" w:type="dxa"/>
          </w:tcPr>
          <w:p w:rsidR="000B5C96" w:rsidRPr="004B4310" w:rsidRDefault="000B5C96" w:rsidP="004B4310">
            <w:pPr>
              <w:pStyle w:val="PullOutBoxBodyText"/>
              <w:ind w:left="0" w:right="0"/>
            </w:pPr>
            <w:r w:rsidRPr="004B4310">
              <w:t xml:space="preserve">The proposal would establish a National Redress Scheme (the scheme) to administer monetary payments and provide funding for counselling and psychological care services as recommended in the </w:t>
            </w:r>
            <w:r w:rsidRPr="004B4310">
              <w:rPr>
                <w:i/>
              </w:rPr>
              <w:t>Redress and civil litigation report</w:t>
            </w:r>
            <w:r w:rsidRPr="004B4310">
              <w:t xml:space="preserve"> of the Royal Commission into Institutional Responses to Child Sexual Abuse.  State and territory governments and relevant institutions are expected to provide part of the required funding.  The Commonwealth would provide 50 per cent of the funding for funding of last resort.</w:t>
            </w:r>
          </w:p>
          <w:p w:rsidR="000B5C96" w:rsidRPr="004B4310" w:rsidRDefault="000B5C96" w:rsidP="004B4310">
            <w:pPr>
              <w:pStyle w:val="PullOutBoxBodyText"/>
              <w:ind w:left="0" w:right="0"/>
            </w:pPr>
            <w:r w:rsidRPr="004B4310">
              <w:t xml:space="preserve">The Scheme would be established from 1 November 2016.  </w:t>
            </w:r>
            <w:r w:rsidRPr="004B4310">
              <w:rPr>
                <w:rFonts w:eastAsia="Calibri"/>
              </w:rPr>
              <w:t>Monetary payments and counselling and psychological care would be available from 1 July 2018</w:t>
            </w:r>
            <w:r w:rsidRPr="004B4310">
              <w:t>.</w:t>
            </w:r>
          </w:p>
        </w:tc>
      </w:tr>
      <w:tr w:rsidR="000B5C96" w:rsidRPr="009F1949" w:rsidTr="004B4310">
        <w:tc>
          <w:tcPr>
            <w:tcW w:w="2943" w:type="dxa"/>
          </w:tcPr>
          <w:p w:rsidR="000B5C96" w:rsidRPr="004B4310" w:rsidRDefault="000B5C96" w:rsidP="004B4310">
            <w:pPr>
              <w:pStyle w:val="PullOutBoxBodyText"/>
              <w:ind w:left="0" w:right="0"/>
            </w:pPr>
            <w:r w:rsidRPr="004B4310">
              <w:t>Person/party requesting costing:</w:t>
            </w:r>
          </w:p>
        </w:tc>
        <w:tc>
          <w:tcPr>
            <w:tcW w:w="5670" w:type="dxa"/>
          </w:tcPr>
          <w:p w:rsidR="000B5C96" w:rsidRPr="004B4310" w:rsidRDefault="000B5C96" w:rsidP="004B4310">
            <w:pPr>
              <w:pStyle w:val="PullOutBoxBodyText"/>
              <w:ind w:left="0" w:right="0"/>
            </w:pPr>
            <w:r w:rsidRPr="004B4310">
              <w:t>Senator Richard Di Natale, Australian Greens</w:t>
            </w:r>
          </w:p>
        </w:tc>
      </w:tr>
      <w:tr w:rsidR="000B5C96" w:rsidRPr="009F1949" w:rsidTr="004B4310">
        <w:tc>
          <w:tcPr>
            <w:tcW w:w="2943" w:type="dxa"/>
          </w:tcPr>
          <w:p w:rsidR="000B5C96" w:rsidRPr="004B4310" w:rsidRDefault="000B5C96" w:rsidP="004B4310">
            <w:pPr>
              <w:pStyle w:val="PullOutBoxBodyText"/>
              <w:ind w:left="0" w:right="0"/>
            </w:pPr>
            <w:r w:rsidRPr="004B4310">
              <w:t>Date of public release of policy:</w:t>
            </w:r>
          </w:p>
        </w:tc>
        <w:tc>
          <w:tcPr>
            <w:tcW w:w="5670" w:type="dxa"/>
          </w:tcPr>
          <w:p w:rsidR="000B5C96" w:rsidRPr="004B4310" w:rsidRDefault="000B5C96" w:rsidP="004B4310">
            <w:pPr>
              <w:pStyle w:val="PullOutBoxBodyText"/>
              <w:ind w:left="0" w:right="0"/>
            </w:pPr>
            <w:r w:rsidRPr="004B4310">
              <w:t>10 May 2016</w:t>
            </w:r>
          </w:p>
        </w:tc>
      </w:tr>
      <w:tr w:rsidR="000B5C96" w:rsidRPr="009F1949" w:rsidTr="004B4310">
        <w:tc>
          <w:tcPr>
            <w:tcW w:w="2943" w:type="dxa"/>
          </w:tcPr>
          <w:p w:rsidR="000B5C96" w:rsidRPr="004B4310" w:rsidRDefault="000B5C96" w:rsidP="004B4310">
            <w:pPr>
              <w:pStyle w:val="PullOutBoxBodyText"/>
              <w:ind w:left="0" w:right="0"/>
            </w:pPr>
            <w:r w:rsidRPr="004B4310">
              <w:t>Date costing request received:</w:t>
            </w:r>
          </w:p>
        </w:tc>
        <w:tc>
          <w:tcPr>
            <w:tcW w:w="5670" w:type="dxa"/>
          </w:tcPr>
          <w:p w:rsidR="000B5C96" w:rsidRPr="004B4310" w:rsidRDefault="000B5C96" w:rsidP="004B4310">
            <w:pPr>
              <w:pStyle w:val="PullOutBoxBodyText"/>
              <w:ind w:left="0" w:right="0"/>
            </w:pPr>
            <w:r w:rsidRPr="004B4310">
              <w:t>28 June 2016</w:t>
            </w:r>
          </w:p>
        </w:tc>
      </w:tr>
      <w:tr w:rsidR="000B5C96" w:rsidRPr="009F1949" w:rsidTr="004B4310">
        <w:tc>
          <w:tcPr>
            <w:tcW w:w="2943" w:type="dxa"/>
          </w:tcPr>
          <w:p w:rsidR="000B5C96" w:rsidRPr="004B4310" w:rsidRDefault="000B5C96" w:rsidP="004B4310">
            <w:pPr>
              <w:pStyle w:val="PullOutBoxBodyText"/>
              <w:ind w:left="0" w:right="0"/>
            </w:pPr>
            <w:r w:rsidRPr="004B4310">
              <w:t>Date costing completed:</w:t>
            </w:r>
          </w:p>
        </w:tc>
        <w:tc>
          <w:tcPr>
            <w:tcW w:w="5670" w:type="dxa"/>
          </w:tcPr>
          <w:p w:rsidR="000B5C96" w:rsidRPr="004B4310" w:rsidRDefault="000B5C96" w:rsidP="004B4310">
            <w:pPr>
              <w:pStyle w:val="PullOutBoxBodyText"/>
              <w:ind w:left="0" w:right="0"/>
            </w:pPr>
            <w:r w:rsidRPr="004B4310">
              <w:t>29 June 2016</w:t>
            </w:r>
          </w:p>
        </w:tc>
      </w:tr>
      <w:tr w:rsidR="000B5C96" w:rsidRPr="009F1949" w:rsidTr="004B4310">
        <w:tc>
          <w:tcPr>
            <w:tcW w:w="2943" w:type="dxa"/>
          </w:tcPr>
          <w:p w:rsidR="000B5C96" w:rsidRPr="004B4310" w:rsidRDefault="000B5C96" w:rsidP="004B4310">
            <w:pPr>
              <w:pStyle w:val="PullOutBoxBodyText"/>
              <w:ind w:left="0" w:right="0"/>
            </w:pPr>
            <w:r w:rsidRPr="004B4310">
              <w:t>Expiry date for the costing:</w:t>
            </w:r>
          </w:p>
        </w:tc>
        <w:tc>
          <w:tcPr>
            <w:tcW w:w="5670" w:type="dxa"/>
          </w:tcPr>
          <w:p w:rsidR="000B5C96" w:rsidRPr="004B4310" w:rsidRDefault="000B5C96" w:rsidP="004B4310">
            <w:pPr>
              <w:pStyle w:val="PullOutBoxBodyText"/>
              <w:ind w:left="0" w:right="0"/>
            </w:pPr>
            <w:r w:rsidRPr="004B4310">
              <w:t>Release of the next economic and fiscal outlook report</w:t>
            </w:r>
          </w:p>
        </w:tc>
      </w:tr>
    </w:tbl>
    <w:p w:rsidR="000B5C96" w:rsidRPr="009F1949" w:rsidRDefault="000B5C96" w:rsidP="003F606A">
      <w:pPr>
        <w:pStyle w:val="CostingsH7"/>
        <w:rPr>
          <w:rFonts w:eastAsia="Calibri"/>
        </w:rPr>
      </w:pPr>
      <w:r w:rsidRPr="009F1949">
        <w:rPr>
          <w:rFonts w:eastAsia="Calibri"/>
        </w:rPr>
        <w:t>Costing overview</w:t>
      </w:r>
    </w:p>
    <w:p w:rsidR="000B5C96" w:rsidRPr="009F1949" w:rsidRDefault="000B5C96" w:rsidP="003F606A">
      <w:pPr>
        <w:pStyle w:val="BodyText"/>
      </w:pPr>
      <w:r w:rsidRPr="009F1949">
        <w:t xml:space="preserve">The scheme is intended to provide monetary payments and counselling and support services to victims of institutional child sexual abuse.  The scheme was recommended in the </w:t>
      </w:r>
      <w:r w:rsidRPr="009F1949">
        <w:rPr>
          <w:i/>
        </w:rPr>
        <w:t>Redress and civil litigation report</w:t>
      </w:r>
      <w:r w:rsidRPr="009F1949">
        <w:t xml:space="preserve"> from the Royal Commission into Institutional Responses to Child Sexual Abuse.</w:t>
      </w:r>
    </w:p>
    <w:p w:rsidR="000B5C96" w:rsidRPr="009F1949" w:rsidRDefault="000B5C96" w:rsidP="003F606A">
      <w:pPr>
        <w:pStyle w:val="BodyText"/>
      </w:pPr>
      <w:r w:rsidRPr="009F1949">
        <w:t xml:space="preserve">The </w:t>
      </w:r>
      <w:r w:rsidRPr="009F1949">
        <w:rPr>
          <w:i/>
        </w:rPr>
        <w:t>Redress and civil litigation report</w:t>
      </w:r>
      <w:r w:rsidRPr="009F1949">
        <w:t xml:space="preserve"> provided expected aggregate costs associated with providing the monetary payments and counselling and psychological care to victims (where government responsibility has been adjusted to take on the role of funder of last resort).  As funder of last resort the Government’s liability would be increased to offset the expected shortfall in institutional funding because institutions no longer exist or have insufficient assets to meet their liability under the scheme.  </w:t>
      </w:r>
    </w:p>
    <w:p w:rsidR="000B5C96" w:rsidRPr="009F1949" w:rsidRDefault="000B5C96" w:rsidP="003F606A">
      <w:pPr>
        <w:pStyle w:val="BodyText"/>
      </w:pPr>
      <w:r w:rsidRPr="009F1949">
        <w:t>This proposal would be expected to decrease the fiscal and underlying cash balances by $251.2 million over the 2016-17 Budget forward estimates period.  This reflects an increase in administered expenses by $213.7 million and an increa</w:t>
      </w:r>
      <w:r>
        <w:t xml:space="preserve">se in departmental expenses of </w:t>
      </w:r>
      <w:r w:rsidRPr="009F1949">
        <w:t>$37.5 million.</w:t>
      </w:r>
    </w:p>
    <w:p w:rsidR="000B5C96" w:rsidRPr="009F1949" w:rsidRDefault="000B5C96" w:rsidP="003F606A">
      <w:pPr>
        <w:pStyle w:val="BodyText"/>
      </w:pPr>
      <w:r w:rsidRPr="009F1949">
        <w:t xml:space="preserve">This costing would have ongoing financial implications beyond the 2016-17 Budget forward estimates period.  Financial implications over the period 2016-17 to 2026-27 are at </w:t>
      </w:r>
      <w:r w:rsidRPr="009F1949">
        <w:rPr>
          <w:u w:val="single"/>
        </w:rPr>
        <w:t>Attachment A</w:t>
      </w:r>
      <w:r w:rsidRPr="009F1949">
        <w:t>.</w:t>
      </w:r>
    </w:p>
    <w:p w:rsidR="000B5C96" w:rsidRPr="009F1949" w:rsidRDefault="000B5C96" w:rsidP="003F606A">
      <w:pPr>
        <w:pStyle w:val="BodyText"/>
        <w:rPr>
          <w:highlight w:val="yellow"/>
        </w:rPr>
      </w:pPr>
      <w:r w:rsidRPr="009F1949">
        <w:t>This costing is considered to be of medium reliability.  It relies on estimates of the victim population and take up rates which are subject to some uncertainty.</w:t>
      </w:r>
    </w:p>
    <w:p w:rsidR="000B5C96" w:rsidRPr="009F1949" w:rsidRDefault="000B5C96" w:rsidP="003F606A">
      <w:pPr>
        <w:pStyle w:val="Caption"/>
      </w:pPr>
      <w:r w:rsidRPr="009F1949">
        <w:t>Table 1: Financial implications (outturn prices)</w:t>
      </w:r>
      <w:r w:rsidRPr="009F1949">
        <w:rPr>
          <w:vertAlign w:val="superscript"/>
        </w:rPr>
        <w:t>(a)</w:t>
      </w:r>
    </w:p>
    <w:tbl>
      <w:tblPr>
        <w:tblStyle w:val="TableGrid16"/>
        <w:tblW w:w="4993" w:type="pct"/>
        <w:tblLook w:val="04A0" w:firstRow="1" w:lastRow="0" w:firstColumn="1" w:lastColumn="0" w:noHBand="0" w:noVBand="1"/>
      </w:tblPr>
      <w:tblGrid>
        <w:gridCol w:w="2645"/>
        <w:gridCol w:w="1134"/>
        <w:gridCol w:w="1133"/>
        <w:gridCol w:w="1133"/>
        <w:gridCol w:w="1133"/>
        <w:gridCol w:w="1132"/>
      </w:tblGrid>
      <w:tr w:rsidR="000B5C96" w:rsidRPr="009F1949"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9F1949" w:rsidRDefault="000B5C96" w:rsidP="003F606A">
            <w:pPr>
              <w:keepNext/>
              <w:keepLines/>
              <w:spacing w:line="240" w:lineRule="auto"/>
              <w:ind w:left="57" w:right="57"/>
              <w:rPr>
                <w:szCs w:val="20"/>
              </w:rPr>
            </w:pPr>
            <w:r w:rsidRPr="009F1949">
              <w:rPr>
                <w:szCs w:val="20"/>
              </w:rPr>
              <w:t>Impact on ($m)</w:t>
            </w:r>
          </w:p>
        </w:tc>
        <w:tc>
          <w:tcPr>
            <w:tcW w:w="682" w:type="pct"/>
            <w:vAlign w:val="center"/>
          </w:tcPr>
          <w:p w:rsidR="000B5C96" w:rsidRPr="009F194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F1949">
              <w:rPr>
                <w:szCs w:val="20"/>
              </w:rPr>
              <w:t>2016–17</w:t>
            </w:r>
          </w:p>
        </w:tc>
        <w:tc>
          <w:tcPr>
            <w:tcW w:w="682" w:type="pct"/>
            <w:vAlign w:val="center"/>
          </w:tcPr>
          <w:p w:rsidR="000B5C96" w:rsidRPr="009F194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F1949">
              <w:rPr>
                <w:szCs w:val="20"/>
              </w:rPr>
              <w:t>2017–18</w:t>
            </w:r>
          </w:p>
        </w:tc>
        <w:tc>
          <w:tcPr>
            <w:tcW w:w="682" w:type="pct"/>
            <w:vAlign w:val="center"/>
          </w:tcPr>
          <w:p w:rsidR="000B5C96" w:rsidRPr="009F194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F1949">
              <w:rPr>
                <w:szCs w:val="20"/>
              </w:rPr>
              <w:t>2018–19</w:t>
            </w:r>
          </w:p>
        </w:tc>
        <w:tc>
          <w:tcPr>
            <w:tcW w:w="682" w:type="pct"/>
            <w:vAlign w:val="center"/>
          </w:tcPr>
          <w:p w:rsidR="000B5C96" w:rsidRPr="009F194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F1949">
              <w:rPr>
                <w:szCs w:val="20"/>
              </w:rPr>
              <w:t>2019–20</w:t>
            </w:r>
          </w:p>
        </w:tc>
        <w:tc>
          <w:tcPr>
            <w:tcW w:w="681" w:type="pct"/>
            <w:vAlign w:val="center"/>
          </w:tcPr>
          <w:p w:rsidR="000B5C96" w:rsidRPr="009F194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F1949">
              <w:rPr>
                <w:szCs w:val="20"/>
              </w:rPr>
              <w:t>Total</w:t>
            </w:r>
          </w:p>
        </w:tc>
      </w:tr>
      <w:tr w:rsidR="000B5C96" w:rsidRPr="009F1949"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9F1949" w:rsidRDefault="000B5C96" w:rsidP="003F606A">
            <w:pPr>
              <w:keepNext/>
              <w:keepLines/>
              <w:ind w:left="57" w:right="57"/>
              <w:rPr>
                <w:szCs w:val="20"/>
              </w:rPr>
            </w:pPr>
            <w:r w:rsidRPr="009F1949">
              <w:rPr>
                <w:szCs w:val="20"/>
              </w:rPr>
              <w:t>Fiscal balance</w:t>
            </w:r>
          </w:p>
        </w:tc>
        <w:tc>
          <w:tcPr>
            <w:tcW w:w="682" w:type="pct"/>
          </w:tcPr>
          <w:p w:rsidR="000B5C96" w:rsidRPr="009F194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9F1949">
              <w:rPr>
                <w:rFonts w:ascii="Calibri" w:hAnsi="Calibri"/>
                <w:color w:val="000000"/>
                <w:szCs w:val="20"/>
              </w:rPr>
              <w:t xml:space="preserve">-7.6 </w:t>
            </w:r>
          </w:p>
        </w:tc>
        <w:tc>
          <w:tcPr>
            <w:tcW w:w="682" w:type="pct"/>
          </w:tcPr>
          <w:p w:rsidR="000B5C96" w:rsidRPr="009F194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9F1949">
              <w:rPr>
                <w:rFonts w:ascii="Calibri" w:hAnsi="Calibri"/>
                <w:color w:val="000000"/>
                <w:szCs w:val="20"/>
              </w:rPr>
              <w:t xml:space="preserve">-17.2 </w:t>
            </w:r>
          </w:p>
        </w:tc>
        <w:tc>
          <w:tcPr>
            <w:tcW w:w="682" w:type="pct"/>
          </w:tcPr>
          <w:p w:rsidR="000B5C96" w:rsidRPr="009F194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9F1949">
              <w:rPr>
                <w:rFonts w:ascii="Calibri" w:hAnsi="Calibri"/>
                <w:color w:val="000000"/>
                <w:szCs w:val="20"/>
              </w:rPr>
              <w:t>-84.3</w:t>
            </w:r>
          </w:p>
        </w:tc>
        <w:tc>
          <w:tcPr>
            <w:tcW w:w="682" w:type="pct"/>
          </w:tcPr>
          <w:p w:rsidR="000B5C96" w:rsidRPr="009F194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9F1949">
              <w:rPr>
                <w:rFonts w:ascii="Calibri" w:hAnsi="Calibri"/>
                <w:color w:val="000000"/>
                <w:szCs w:val="20"/>
              </w:rPr>
              <w:t xml:space="preserve">-142.0 </w:t>
            </w:r>
          </w:p>
        </w:tc>
        <w:tc>
          <w:tcPr>
            <w:tcW w:w="681" w:type="pct"/>
          </w:tcPr>
          <w:p w:rsidR="000B5C96" w:rsidRPr="009F194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Cs w:val="20"/>
              </w:rPr>
            </w:pPr>
            <w:r w:rsidRPr="009F1949">
              <w:rPr>
                <w:rFonts w:ascii="Calibri" w:hAnsi="Calibri"/>
                <w:b/>
                <w:color w:val="000000"/>
                <w:szCs w:val="20"/>
              </w:rPr>
              <w:t xml:space="preserve">-251.2 </w:t>
            </w:r>
          </w:p>
        </w:tc>
      </w:tr>
      <w:tr w:rsidR="000B5C96" w:rsidRPr="009F1949"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9F1949" w:rsidRDefault="000B5C96" w:rsidP="003F606A">
            <w:pPr>
              <w:keepNext/>
              <w:keepLines/>
              <w:ind w:left="57" w:right="57"/>
              <w:rPr>
                <w:szCs w:val="20"/>
              </w:rPr>
            </w:pPr>
            <w:r w:rsidRPr="009F1949">
              <w:rPr>
                <w:szCs w:val="20"/>
              </w:rPr>
              <w:t>Underlying cash balance</w:t>
            </w:r>
          </w:p>
        </w:tc>
        <w:tc>
          <w:tcPr>
            <w:tcW w:w="682"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9F1949">
              <w:rPr>
                <w:rFonts w:ascii="Calibri" w:hAnsi="Calibri"/>
                <w:color w:val="000000"/>
                <w:szCs w:val="20"/>
              </w:rPr>
              <w:t xml:space="preserve">-7.6 </w:t>
            </w:r>
          </w:p>
        </w:tc>
        <w:tc>
          <w:tcPr>
            <w:tcW w:w="682"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9F1949">
              <w:rPr>
                <w:rFonts w:ascii="Calibri" w:hAnsi="Calibri"/>
                <w:color w:val="000000"/>
                <w:szCs w:val="20"/>
              </w:rPr>
              <w:t xml:space="preserve">-17.2 </w:t>
            </w:r>
          </w:p>
        </w:tc>
        <w:tc>
          <w:tcPr>
            <w:tcW w:w="682"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9F1949">
              <w:rPr>
                <w:rFonts w:ascii="Calibri" w:hAnsi="Calibri"/>
                <w:color w:val="000000"/>
                <w:szCs w:val="20"/>
              </w:rPr>
              <w:t>-84.3</w:t>
            </w:r>
          </w:p>
        </w:tc>
        <w:tc>
          <w:tcPr>
            <w:tcW w:w="682"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9F1949">
              <w:rPr>
                <w:rFonts w:ascii="Calibri" w:hAnsi="Calibri"/>
                <w:color w:val="000000"/>
                <w:szCs w:val="20"/>
              </w:rPr>
              <w:t xml:space="preserve">-142.0 </w:t>
            </w:r>
          </w:p>
        </w:tc>
        <w:tc>
          <w:tcPr>
            <w:tcW w:w="681"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9F1949">
              <w:rPr>
                <w:rFonts w:ascii="Calibri" w:hAnsi="Calibri"/>
                <w:b/>
                <w:color w:val="000000"/>
                <w:szCs w:val="20"/>
              </w:rPr>
              <w:t xml:space="preserve">-251.2 </w:t>
            </w:r>
          </w:p>
        </w:tc>
      </w:tr>
    </w:tbl>
    <w:p w:rsidR="000B5C96" w:rsidRPr="009F1949" w:rsidRDefault="000B5C96" w:rsidP="0028211E">
      <w:pPr>
        <w:pStyle w:val="Footnotes"/>
        <w:numPr>
          <w:ilvl w:val="0"/>
          <w:numId w:val="183"/>
        </w:numPr>
        <w:ind w:left="284" w:hanging="284"/>
      </w:pPr>
      <w:r w:rsidRPr="009F1949">
        <w:t>A positive number indicates an increase in the relevant budget balance, a negative number a decrease</w:t>
      </w:r>
    </w:p>
    <w:p w:rsidR="000B5C96" w:rsidRPr="009F1949" w:rsidRDefault="000B5C96" w:rsidP="0028211E">
      <w:pPr>
        <w:pStyle w:val="Footnotes"/>
        <w:numPr>
          <w:ilvl w:val="0"/>
          <w:numId w:val="183"/>
        </w:numPr>
        <w:ind w:left="284" w:hanging="284"/>
      </w:pPr>
      <w:r w:rsidRPr="009F1949">
        <w:t>Figures may not sum to totals due to rounding</w:t>
      </w:r>
      <w:r w:rsidRPr="008352FF">
        <w:rPr>
          <w:rFonts w:ascii="Times New Roman" w:hAnsi="Times New Roman"/>
          <w:sz w:val="18"/>
          <w:szCs w:val="18"/>
        </w:rPr>
        <w:t>.</w:t>
      </w:r>
    </w:p>
    <w:p w:rsidR="000B5C96" w:rsidRPr="009F1949" w:rsidRDefault="000B5C96" w:rsidP="003F606A">
      <w:pPr>
        <w:pStyle w:val="CostingsH7"/>
        <w:rPr>
          <w:rFonts w:eastAsia="Calibri"/>
        </w:rPr>
      </w:pPr>
      <w:r w:rsidRPr="009F1949">
        <w:rPr>
          <w:rFonts w:eastAsia="Calibri"/>
        </w:rPr>
        <w:t>Key assumptions</w:t>
      </w:r>
    </w:p>
    <w:p w:rsidR="000B5C96" w:rsidRPr="009F1949" w:rsidRDefault="000B5C96" w:rsidP="003F606A">
      <w:pPr>
        <w:pStyle w:val="BodyText"/>
      </w:pPr>
      <w:r w:rsidRPr="009F1949">
        <w:t>Departmental expenses undertaken over the period 1 November 2016 to 1 July 2018, when the operation of the scheme commences, represent start-up costs for the scheme and would be funded by the Commonwealth Government.  Thereafter, the departmental expenses of operating the scheme are funded by liable institutions in accordance with their proposed share of liability.</w:t>
      </w:r>
    </w:p>
    <w:p w:rsidR="000B5C96" w:rsidRPr="009F1949" w:rsidRDefault="000B5C96" w:rsidP="003F606A">
      <w:pPr>
        <w:pStyle w:val="CostingsH7"/>
        <w:rPr>
          <w:rFonts w:eastAsia="Calibri"/>
        </w:rPr>
      </w:pPr>
      <w:r w:rsidRPr="009F1949">
        <w:rPr>
          <w:rFonts w:eastAsia="Calibri"/>
        </w:rPr>
        <w:t>Methodology</w:t>
      </w:r>
    </w:p>
    <w:p w:rsidR="000B5C96" w:rsidRPr="009F1949" w:rsidRDefault="000B5C96" w:rsidP="003F606A">
      <w:pPr>
        <w:pStyle w:val="BodyText"/>
      </w:pPr>
      <w:r w:rsidRPr="009F1949">
        <w:t xml:space="preserve">The profile for uptake of monetary payments,  counselling and psychological care services and the estimated aggregate payment are based on information provided in the </w:t>
      </w:r>
      <w:r w:rsidRPr="009F1949">
        <w:rPr>
          <w:i/>
        </w:rPr>
        <w:t>Redress and civil litigation report</w:t>
      </w:r>
      <w:r w:rsidRPr="009F1949">
        <w:t xml:space="preserve">.  Departmental costs have been apportioned across the functions of the scheme based on the administered cost of each service. </w:t>
      </w:r>
    </w:p>
    <w:p w:rsidR="000B5C96" w:rsidRPr="009F1949" w:rsidRDefault="000B5C96" w:rsidP="003F606A">
      <w:pPr>
        <w:pStyle w:val="CostingsH7"/>
        <w:rPr>
          <w:rFonts w:eastAsia="Calibri"/>
        </w:rPr>
      </w:pPr>
      <w:r w:rsidRPr="009F1949">
        <w:rPr>
          <w:rFonts w:eastAsia="Calibri"/>
        </w:rPr>
        <w:t>Data sources</w:t>
      </w:r>
    </w:p>
    <w:p w:rsidR="000B5C96" w:rsidRPr="009F1949" w:rsidRDefault="000B5C96" w:rsidP="003F606A">
      <w:pPr>
        <w:pStyle w:val="BodyText"/>
      </w:pPr>
      <w:r w:rsidRPr="009F1949">
        <w:t xml:space="preserve">The Parliamentary Budget Office utilised data contained in the </w:t>
      </w:r>
      <w:r w:rsidRPr="009F1949">
        <w:rPr>
          <w:i/>
        </w:rPr>
        <w:t>Redress and civil litigation report</w:t>
      </w:r>
      <w:r w:rsidRPr="009F1949">
        <w:t xml:space="preserve"> from the Royal Commission into Institutional Responses to Child Sexual Abuse.</w:t>
      </w:r>
    </w:p>
    <w:p w:rsidR="000B5C96" w:rsidRPr="009F1949" w:rsidRDefault="000B5C96" w:rsidP="003F606A">
      <w:pPr>
        <w:pStyle w:val="BodyText"/>
        <w:sectPr w:rsidR="000B5C96" w:rsidRPr="009F1949" w:rsidSect="003F606A">
          <w:headerReference w:type="even" r:id="rId397"/>
          <w:headerReference w:type="default" r:id="rId398"/>
          <w:footerReference w:type="even" r:id="rId399"/>
          <w:footerReference w:type="default" r:id="rId400"/>
          <w:headerReference w:type="first" r:id="rId401"/>
          <w:footerReference w:type="first" r:id="rId402"/>
          <w:footnotePr>
            <w:numRestart w:val="eachSect"/>
          </w:footnotePr>
          <w:pgSz w:w="11906" w:h="16838"/>
          <w:pgMar w:top="1361" w:right="1797" w:bottom="1474" w:left="1797" w:header="283" w:footer="454" w:gutter="0"/>
          <w:cols w:space="708"/>
          <w:docGrid w:linePitch="360"/>
        </w:sectPr>
      </w:pPr>
    </w:p>
    <w:p w:rsidR="000B5C96" w:rsidRPr="009F1949" w:rsidRDefault="000B5C96" w:rsidP="000B5C96">
      <w:pPr>
        <w:pStyle w:val="Heading6"/>
        <w:numPr>
          <w:ilvl w:val="0"/>
          <w:numId w:val="5"/>
        </w:numPr>
        <w:tabs>
          <w:tab w:val="clear" w:pos="0"/>
          <w:tab w:val="num" w:pos="360"/>
          <w:tab w:val="right" w:pos="1418"/>
          <w:tab w:val="right" w:pos="1701"/>
          <w:tab w:val="right" w:pos="1985"/>
        </w:tabs>
      </w:pPr>
      <w:r w:rsidRPr="009F1949">
        <w:t>Attachment A: Child Abuse Redress Scheme—financial implications</w:t>
      </w:r>
    </w:p>
    <w:p w:rsidR="000B5C96" w:rsidRPr="009F1949" w:rsidRDefault="000B5C96" w:rsidP="003F606A">
      <w:pPr>
        <w:pStyle w:val="Caption"/>
        <w:rPr>
          <w:vertAlign w:val="superscript"/>
        </w:rPr>
      </w:pPr>
      <w:r w:rsidRPr="009F1949">
        <w:t>Table A1: Financial implications (outturn prices)</w:t>
      </w:r>
      <w:r w:rsidRPr="009F1949">
        <w:rPr>
          <w:vertAlign w:val="superscript"/>
        </w:rPr>
        <w:t>(a)(b)</w:t>
      </w:r>
    </w:p>
    <w:tbl>
      <w:tblPr>
        <w:tblStyle w:val="TableGrid16"/>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9F194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9F1949" w:rsidRDefault="000B5C96" w:rsidP="003F606A">
            <w:pPr>
              <w:keepNext/>
              <w:keepLines/>
              <w:ind w:left="57" w:right="57"/>
            </w:pPr>
            <w:r w:rsidRPr="009F1949">
              <w:t>($m)</w:t>
            </w:r>
          </w:p>
        </w:tc>
        <w:tc>
          <w:tcPr>
            <w:tcW w:w="326"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F1949">
              <w:rPr>
                <w:rFonts w:ascii="Calibri" w:hAnsi="Calibri"/>
              </w:rPr>
              <w:t>2016–17</w:t>
            </w:r>
          </w:p>
        </w:tc>
        <w:tc>
          <w:tcPr>
            <w:tcW w:w="325"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F1949">
              <w:rPr>
                <w:rFonts w:ascii="Calibri" w:hAnsi="Calibri"/>
              </w:rPr>
              <w:t>2017–18</w:t>
            </w:r>
          </w:p>
        </w:tc>
        <w:tc>
          <w:tcPr>
            <w:tcW w:w="325"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F1949">
              <w:rPr>
                <w:rFonts w:ascii="Calibri" w:hAnsi="Calibri"/>
              </w:rPr>
              <w:t>2018–19</w:t>
            </w:r>
          </w:p>
        </w:tc>
        <w:tc>
          <w:tcPr>
            <w:tcW w:w="325"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F1949">
              <w:rPr>
                <w:rFonts w:ascii="Calibri" w:hAnsi="Calibri"/>
              </w:rPr>
              <w:t>2019–20</w:t>
            </w:r>
          </w:p>
        </w:tc>
        <w:tc>
          <w:tcPr>
            <w:tcW w:w="327"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F1949">
              <w:rPr>
                <w:rFonts w:ascii="Calibri" w:hAnsi="Calibri"/>
                <w:b/>
              </w:rPr>
              <w:t>Total to 2019–20</w:t>
            </w:r>
          </w:p>
        </w:tc>
        <w:tc>
          <w:tcPr>
            <w:tcW w:w="325"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F1949">
              <w:rPr>
                <w:rFonts w:ascii="Calibri" w:hAnsi="Calibri"/>
              </w:rPr>
              <w:t>2020–21</w:t>
            </w:r>
          </w:p>
        </w:tc>
        <w:tc>
          <w:tcPr>
            <w:tcW w:w="325"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F1949">
              <w:rPr>
                <w:rFonts w:ascii="Calibri" w:hAnsi="Calibri"/>
              </w:rPr>
              <w:t>2021–22</w:t>
            </w:r>
          </w:p>
        </w:tc>
        <w:tc>
          <w:tcPr>
            <w:tcW w:w="325"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F1949">
              <w:rPr>
                <w:rFonts w:ascii="Calibri" w:hAnsi="Calibri"/>
              </w:rPr>
              <w:t>2022–23</w:t>
            </w:r>
          </w:p>
        </w:tc>
        <w:tc>
          <w:tcPr>
            <w:tcW w:w="325"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F1949">
              <w:rPr>
                <w:rFonts w:ascii="Calibri" w:hAnsi="Calibri"/>
              </w:rPr>
              <w:t>2023–24</w:t>
            </w:r>
          </w:p>
        </w:tc>
        <w:tc>
          <w:tcPr>
            <w:tcW w:w="325"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F1949">
              <w:rPr>
                <w:rFonts w:ascii="Calibri" w:hAnsi="Calibri"/>
              </w:rPr>
              <w:t>2024–25</w:t>
            </w:r>
          </w:p>
        </w:tc>
        <w:tc>
          <w:tcPr>
            <w:tcW w:w="325"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F1949">
              <w:rPr>
                <w:rFonts w:ascii="Calibri" w:hAnsi="Calibri"/>
              </w:rPr>
              <w:t>2025–26</w:t>
            </w:r>
          </w:p>
        </w:tc>
        <w:tc>
          <w:tcPr>
            <w:tcW w:w="325"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F1949">
              <w:rPr>
                <w:rFonts w:ascii="Calibri" w:hAnsi="Calibri"/>
              </w:rPr>
              <w:t>2026–27</w:t>
            </w:r>
          </w:p>
        </w:tc>
        <w:tc>
          <w:tcPr>
            <w:tcW w:w="326" w:type="pct"/>
            <w:shd w:val="clear" w:color="auto" w:fill="D7DDE9"/>
          </w:tcPr>
          <w:p w:rsidR="000B5C96" w:rsidRPr="009F194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F1949">
              <w:rPr>
                <w:rFonts w:ascii="Calibri" w:hAnsi="Calibri"/>
                <w:b/>
              </w:rPr>
              <w:t>Total to 2026–27</w:t>
            </w:r>
          </w:p>
        </w:tc>
      </w:tr>
      <w:tr w:rsidR="000B5C96" w:rsidRPr="009F1949"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B5C96" w:rsidRPr="009F1949" w:rsidRDefault="000B5C96" w:rsidP="003F606A">
            <w:pPr>
              <w:keepNext/>
              <w:keepLines/>
              <w:ind w:left="57" w:right="57"/>
              <w:rPr>
                <w:b/>
              </w:rPr>
            </w:pPr>
            <w:r w:rsidRPr="009F1949">
              <w:rPr>
                <w:b/>
              </w:rPr>
              <w:t>Impact on fiscal and underlying cash balances</w:t>
            </w:r>
          </w:p>
        </w:tc>
      </w:tr>
      <w:tr w:rsidR="000B5C96" w:rsidRPr="009F194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Pr>
          <w:p w:rsidR="000B5C96" w:rsidRPr="009F1949" w:rsidRDefault="000B5C96" w:rsidP="003F606A">
            <w:pPr>
              <w:ind w:left="57" w:right="57"/>
              <w:rPr>
                <w:b/>
                <w:bCs/>
                <w:color w:val="000000"/>
                <w:szCs w:val="20"/>
              </w:rPr>
            </w:pPr>
            <w:r w:rsidRPr="009F1949">
              <w:rPr>
                <w:b/>
                <w:bCs/>
                <w:color w:val="000000"/>
                <w:szCs w:val="20"/>
              </w:rPr>
              <w:t xml:space="preserve">Administered </w:t>
            </w:r>
          </w:p>
        </w:tc>
      </w:tr>
      <w:tr w:rsidR="000B5C96" w:rsidRPr="009F194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9F1949" w:rsidRDefault="000B5C96" w:rsidP="003F606A">
            <w:pPr>
              <w:ind w:left="57" w:right="57"/>
              <w:rPr>
                <w:color w:val="000000"/>
                <w:szCs w:val="20"/>
              </w:rPr>
            </w:pPr>
            <w:r w:rsidRPr="009F1949">
              <w:rPr>
                <w:color w:val="000000"/>
                <w:szCs w:val="20"/>
              </w:rPr>
              <w:t>Monetary payments</w:t>
            </w:r>
          </w:p>
        </w:tc>
        <w:tc>
          <w:tcPr>
            <w:tcW w:w="326"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- 71.1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- 123.9 </w:t>
            </w:r>
          </w:p>
        </w:tc>
        <w:tc>
          <w:tcPr>
            <w:tcW w:w="327"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9F1949">
              <w:rPr>
                <w:rFonts w:ascii="Calibri" w:hAnsi="Calibri"/>
                <w:b/>
                <w:bCs/>
                <w:i/>
                <w:color w:val="000000"/>
                <w:szCs w:val="20"/>
              </w:rPr>
              <w:t xml:space="preserve">- 195.0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- 122.9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- 119.8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- 111.7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- 101.6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- 65.0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- 21.3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- 8.1 </w:t>
            </w:r>
          </w:p>
        </w:tc>
        <w:tc>
          <w:tcPr>
            <w:tcW w:w="326"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- 745.4 </w:t>
            </w:r>
          </w:p>
        </w:tc>
      </w:tr>
      <w:tr w:rsidR="000B5C96" w:rsidRPr="009F194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9F1949" w:rsidRDefault="000B5C96" w:rsidP="003F606A">
            <w:pPr>
              <w:ind w:left="57" w:right="57"/>
              <w:rPr>
                <w:color w:val="000000"/>
                <w:szCs w:val="20"/>
              </w:rPr>
            </w:pPr>
            <w:r w:rsidRPr="009F1949">
              <w:rPr>
                <w:color w:val="000000"/>
                <w:szCs w:val="20"/>
              </w:rPr>
              <w:t>Counselling services</w:t>
            </w:r>
          </w:p>
        </w:tc>
        <w:tc>
          <w:tcPr>
            <w:tcW w:w="326"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- 6.8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- 11.9 </w:t>
            </w:r>
          </w:p>
        </w:tc>
        <w:tc>
          <w:tcPr>
            <w:tcW w:w="327"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9F1949">
              <w:rPr>
                <w:rFonts w:ascii="Calibri" w:hAnsi="Calibri"/>
                <w:b/>
                <w:bCs/>
                <w:i/>
                <w:color w:val="000000"/>
                <w:szCs w:val="20"/>
              </w:rPr>
              <w:t xml:space="preserve">- 18.7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- 11.8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- 11.5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- 10.7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- 9.7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- 6.2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- 2.0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- 0.8 </w:t>
            </w:r>
          </w:p>
        </w:tc>
        <w:tc>
          <w:tcPr>
            <w:tcW w:w="326"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- 71.4 </w:t>
            </w:r>
          </w:p>
        </w:tc>
      </w:tr>
      <w:tr w:rsidR="000B5C96" w:rsidRPr="009F194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9F1949" w:rsidRDefault="000B5C96" w:rsidP="003F606A">
            <w:pPr>
              <w:ind w:left="57" w:right="57"/>
              <w:rPr>
                <w:b/>
                <w:bCs/>
                <w:color w:val="000000"/>
                <w:szCs w:val="20"/>
              </w:rPr>
            </w:pPr>
            <w:r w:rsidRPr="009F1949">
              <w:rPr>
                <w:b/>
                <w:bCs/>
                <w:color w:val="000000"/>
                <w:szCs w:val="20"/>
              </w:rPr>
              <w:t>Total - administered</w:t>
            </w:r>
          </w:p>
        </w:tc>
        <w:tc>
          <w:tcPr>
            <w:tcW w:w="326"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- 77.9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- 135.8 </w:t>
            </w:r>
          </w:p>
        </w:tc>
        <w:tc>
          <w:tcPr>
            <w:tcW w:w="327"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- 213.7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- 134.7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- 131.3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- 122.4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- 111.3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- 71.2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- 23.3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- 8.9 </w:t>
            </w:r>
          </w:p>
        </w:tc>
        <w:tc>
          <w:tcPr>
            <w:tcW w:w="326"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- 816.8 </w:t>
            </w:r>
          </w:p>
        </w:tc>
      </w:tr>
      <w:tr w:rsidR="000B5C96" w:rsidRPr="009F194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Pr>
          <w:p w:rsidR="000B5C96" w:rsidRPr="009F1949" w:rsidRDefault="000B5C96" w:rsidP="003F606A">
            <w:pPr>
              <w:ind w:left="57" w:right="57"/>
              <w:rPr>
                <w:b/>
                <w:bCs/>
                <w:color w:val="000000"/>
                <w:szCs w:val="20"/>
              </w:rPr>
            </w:pPr>
            <w:r w:rsidRPr="009F1949">
              <w:rPr>
                <w:b/>
                <w:bCs/>
                <w:color w:val="000000"/>
                <w:szCs w:val="20"/>
              </w:rPr>
              <w:t>Departmental</w:t>
            </w:r>
          </w:p>
        </w:tc>
      </w:tr>
      <w:tr w:rsidR="000B5C96" w:rsidRPr="009F194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9F1949" w:rsidRDefault="000B5C96" w:rsidP="003F606A">
            <w:pPr>
              <w:ind w:left="57" w:right="57"/>
              <w:rPr>
                <w:color w:val="000000"/>
                <w:szCs w:val="20"/>
              </w:rPr>
            </w:pPr>
            <w:r w:rsidRPr="009F1949">
              <w:rPr>
                <w:color w:val="000000"/>
                <w:szCs w:val="20"/>
              </w:rPr>
              <w:t>Scheme establishment</w:t>
            </w:r>
          </w:p>
        </w:tc>
        <w:tc>
          <w:tcPr>
            <w:tcW w:w="326"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- 5.2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- 11.7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7"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9F1949">
              <w:rPr>
                <w:rFonts w:ascii="Calibri" w:hAnsi="Calibri"/>
                <w:b/>
                <w:bCs/>
                <w:i/>
                <w:color w:val="000000"/>
                <w:szCs w:val="20"/>
              </w:rPr>
              <w:t xml:space="preserve">- 17.0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 </w:t>
            </w:r>
          </w:p>
        </w:tc>
        <w:tc>
          <w:tcPr>
            <w:tcW w:w="326"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- 17.0 </w:t>
            </w:r>
          </w:p>
        </w:tc>
      </w:tr>
      <w:tr w:rsidR="000B5C96" w:rsidRPr="009F194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9F1949" w:rsidRDefault="000B5C96" w:rsidP="003F606A">
            <w:pPr>
              <w:ind w:left="57" w:right="57"/>
              <w:rPr>
                <w:color w:val="000000"/>
                <w:szCs w:val="20"/>
              </w:rPr>
            </w:pPr>
            <w:r w:rsidRPr="009F1949">
              <w:rPr>
                <w:color w:val="000000"/>
                <w:szCs w:val="20"/>
              </w:rPr>
              <w:t>Monetary payments</w:t>
            </w:r>
          </w:p>
        </w:tc>
        <w:tc>
          <w:tcPr>
            <w:tcW w:w="326"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- 2.2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- 5.0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- 5.8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- 5.7 </w:t>
            </w:r>
          </w:p>
        </w:tc>
        <w:tc>
          <w:tcPr>
            <w:tcW w:w="327"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9F1949">
              <w:rPr>
                <w:rFonts w:ascii="Calibri" w:hAnsi="Calibri"/>
                <w:b/>
                <w:bCs/>
                <w:i/>
                <w:color w:val="000000"/>
                <w:szCs w:val="20"/>
              </w:rPr>
              <w:t xml:space="preserve">- 18.7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- 5.4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- 4.9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- 3.6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- 1.7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- 0.6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- 0.4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- 0.4 </w:t>
            </w:r>
          </w:p>
        </w:tc>
        <w:tc>
          <w:tcPr>
            <w:tcW w:w="326"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- 35.7 </w:t>
            </w:r>
          </w:p>
        </w:tc>
      </w:tr>
      <w:tr w:rsidR="000B5C96" w:rsidRPr="009F194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9F1949" w:rsidRDefault="000B5C96" w:rsidP="003F606A">
            <w:pPr>
              <w:ind w:left="57" w:right="57"/>
              <w:rPr>
                <w:color w:val="000000"/>
                <w:szCs w:val="20"/>
              </w:rPr>
            </w:pPr>
            <w:r w:rsidRPr="009F1949">
              <w:rPr>
                <w:color w:val="000000"/>
                <w:szCs w:val="20"/>
              </w:rPr>
              <w:t>Counselling services</w:t>
            </w:r>
          </w:p>
        </w:tc>
        <w:tc>
          <w:tcPr>
            <w:tcW w:w="326"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- 0.2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- 0.5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- 0.6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- 0.5 </w:t>
            </w:r>
          </w:p>
        </w:tc>
        <w:tc>
          <w:tcPr>
            <w:tcW w:w="327"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Cs w:val="20"/>
              </w:rPr>
            </w:pPr>
            <w:r w:rsidRPr="009F1949">
              <w:rPr>
                <w:rFonts w:ascii="Calibri" w:hAnsi="Calibri"/>
                <w:b/>
                <w:bCs/>
                <w:i/>
                <w:color w:val="000000"/>
                <w:szCs w:val="20"/>
              </w:rPr>
              <w:t xml:space="preserve">- 1.8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- 0.5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- 0.5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- 0.3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- 0.2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- 0.1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- 0.0 </w:t>
            </w:r>
          </w:p>
        </w:tc>
        <w:tc>
          <w:tcPr>
            <w:tcW w:w="325"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9F1949">
              <w:rPr>
                <w:rFonts w:ascii="Calibri" w:hAnsi="Calibri"/>
                <w:i/>
                <w:color w:val="000000"/>
                <w:szCs w:val="20"/>
              </w:rPr>
              <w:t xml:space="preserve">- 0.0 </w:t>
            </w:r>
          </w:p>
        </w:tc>
        <w:tc>
          <w:tcPr>
            <w:tcW w:w="326" w:type="pct"/>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- 3.4 </w:t>
            </w:r>
          </w:p>
        </w:tc>
      </w:tr>
      <w:tr w:rsidR="000B5C96" w:rsidRPr="009F194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9F1949" w:rsidRDefault="000B5C96" w:rsidP="003F606A">
            <w:pPr>
              <w:ind w:left="57" w:right="57"/>
              <w:rPr>
                <w:b/>
                <w:bCs/>
                <w:color w:val="000000"/>
                <w:szCs w:val="20"/>
              </w:rPr>
            </w:pPr>
            <w:r w:rsidRPr="009F1949">
              <w:rPr>
                <w:b/>
                <w:bCs/>
                <w:color w:val="000000"/>
                <w:szCs w:val="20"/>
              </w:rPr>
              <w:t>Total - departmental</w:t>
            </w:r>
          </w:p>
        </w:tc>
        <w:tc>
          <w:tcPr>
            <w:tcW w:w="326"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- 7.6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- 17.2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- 6.4</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- 6.2 </w:t>
            </w:r>
          </w:p>
        </w:tc>
        <w:tc>
          <w:tcPr>
            <w:tcW w:w="327"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- 37.5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- 5.9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- 5.4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- 4.0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- 1.8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- 0.6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- 0.4 </w:t>
            </w:r>
          </w:p>
        </w:tc>
        <w:tc>
          <w:tcPr>
            <w:tcW w:w="325"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- 0.4 </w:t>
            </w:r>
          </w:p>
        </w:tc>
        <w:tc>
          <w:tcPr>
            <w:tcW w:w="326" w:type="pct"/>
            <w:shd w:val="clear" w:color="auto" w:fill="E9ECF3"/>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- 56.1 </w:t>
            </w:r>
          </w:p>
        </w:tc>
      </w:tr>
      <w:tr w:rsidR="000B5C96" w:rsidRPr="009F194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9F1949" w:rsidRDefault="000B5C96" w:rsidP="003F606A">
            <w:pPr>
              <w:ind w:left="57" w:right="57"/>
              <w:rPr>
                <w:b/>
                <w:bCs/>
                <w:color w:val="000000"/>
                <w:szCs w:val="20"/>
              </w:rPr>
            </w:pPr>
            <w:r w:rsidRPr="009F1949">
              <w:rPr>
                <w:b/>
                <w:bCs/>
                <w:color w:val="000000"/>
                <w:szCs w:val="20"/>
              </w:rPr>
              <w:t>Total</w:t>
            </w:r>
          </w:p>
        </w:tc>
        <w:tc>
          <w:tcPr>
            <w:tcW w:w="326"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-7.6 </w:t>
            </w:r>
          </w:p>
        </w:tc>
        <w:tc>
          <w:tcPr>
            <w:tcW w:w="325"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-17.2 </w:t>
            </w:r>
          </w:p>
        </w:tc>
        <w:tc>
          <w:tcPr>
            <w:tcW w:w="325"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-84.3 </w:t>
            </w:r>
          </w:p>
        </w:tc>
        <w:tc>
          <w:tcPr>
            <w:tcW w:w="325"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-142.0 </w:t>
            </w:r>
          </w:p>
        </w:tc>
        <w:tc>
          <w:tcPr>
            <w:tcW w:w="327"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-251.2 </w:t>
            </w:r>
          </w:p>
        </w:tc>
        <w:tc>
          <w:tcPr>
            <w:tcW w:w="325"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-140.6 </w:t>
            </w:r>
          </w:p>
        </w:tc>
        <w:tc>
          <w:tcPr>
            <w:tcW w:w="325"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-136.7 </w:t>
            </w:r>
          </w:p>
        </w:tc>
        <w:tc>
          <w:tcPr>
            <w:tcW w:w="325"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-126.3 </w:t>
            </w:r>
          </w:p>
        </w:tc>
        <w:tc>
          <w:tcPr>
            <w:tcW w:w="325"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-113.2 </w:t>
            </w:r>
          </w:p>
        </w:tc>
        <w:tc>
          <w:tcPr>
            <w:tcW w:w="325"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-71.9 </w:t>
            </w:r>
          </w:p>
        </w:tc>
        <w:tc>
          <w:tcPr>
            <w:tcW w:w="325"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-23.7 </w:t>
            </w:r>
          </w:p>
        </w:tc>
        <w:tc>
          <w:tcPr>
            <w:tcW w:w="325"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-9.3 </w:t>
            </w:r>
          </w:p>
        </w:tc>
        <w:tc>
          <w:tcPr>
            <w:tcW w:w="326" w:type="pct"/>
            <w:shd w:val="clear" w:color="auto" w:fill="D7DDE9"/>
          </w:tcPr>
          <w:p w:rsidR="000B5C96" w:rsidRPr="009F194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9F1949">
              <w:rPr>
                <w:rFonts w:ascii="Calibri" w:hAnsi="Calibri"/>
                <w:b/>
                <w:bCs/>
                <w:color w:val="000000"/>
                <w:szCs w:val="20"/>
              </w:rPr>
              <w:t xml:space="preserve">-872.9 </w:t>
            </w:r>
          </w:p>
        </w:tc>
      </w:tr>
    </w:tbl>
    <w:p w:rsidR="000B5C96" w:rsidRPr="009F1949" w:rsidRDefault="000B5C96" w:rsidP="0028211E">
      <w:pPr>
        <w:pStyle w:val="Footnotes"/>
        <w:numPr>
          <w:ilvl w:val="0"/>
          <w:numId w:val="184"/>
        </w:numPr>
        <w:ind w:left="284" w:hanging="284"/>
      </w:pPr>
      <w:r w:rsidRPr="009F1949">
        <w:t>A positive number indicates an increase in revenue or decrease in expenses or net capital investment in accrual and cash terms.  A negative number indicates a decrease in revenue or an increase in expenses or net capital investm</w:t>
      </w:r>
      <w:r>
        <w:t>ent in accrual and cash terms.</w:t>
      </w:r>
    </w:p>
    <w:p w:rsidR="000B5C96" w:rsidRPr="009F1949" w:rsidRDefault="000B5C96" w:rsidP="0028211E">
      <w:pPr>
        <w:pStyle w:val="Footnotes"/>
        <w:numPr>
          <w:ilvl w:val="0"/>
          <w:numId w:val="184"/>
        </w:numPr>
        <w:ind w:left="284" w:hanging="284"/>
      </w:pPr>
      <w:r w:rsidRPr="009F1949">
        <w:t>Figures may not sum to totals due to rounding.</w:t>
      </w:r>
    </w:p>
    <w:p w:rsidR="000B5C96" w:rsidRPr="009F1949" w:rsidRDefault="000B5C96" w:rsidP="000B5C96">
      <w:pPr>
        <w:pStyle w:val="Footnotes"/>
        <w:numPr>
          <w:ilvl w:val="0"/>
          <w:numId w:val="114"/>
        </w:numPr>
        <w:ind w:left="284" w:hanging="284"/>
      </w:pPr>
      <w:r w:rsidRPr="009F1949">
        <w:t>Indicates nil.</w:t>
      </w:r>
    </w:p>
    <w:p w:rsidR="000B5C96" w:rsidRDefault="000B5C96" w:rsidP="003F606A">
      <w:pPr>
        <w:pStyle w:val="BodyText"/>
      </w:pPr>
    </w:p>
    <w:p w:rsidR="000B5C96" w:rsidRDefault="000B5C96" w:rsidP="003F606A">
      <w:pPr>
        <w:pStyle w:val="BodyText"/>
        <w:sectPr w:rsidR="000B5C96" w:rsidSect="003F606A">
          <w:headerReference w:type="even" r:id="rId403"/>
          <w:headerReference w:type="default" r:id="rId404"/>
          <w:footerReference w:type="even" r:id="rId405"/>
          <w:footerReference w:type="default" r:id="rId406"/>
          <w:footnotePr>
            <w:numRestart w:val="eachSect"/>
          </w:footnotePr>
          <w:pgSz w:w="16839" w:h="11907" w:orient="landscape" w:code="9"/>
          <w:pgMar w:top="1361" w:right="1797" w:bottom="1474" w:left="1797" w:header="283" w:footer="454" w:gutter="0"/>
          <w:cols w:space="708"/>
          <w:docGrid w:linePitch="360"/>
        </w:sectPr>
      </w:pPr>
    </w:p>
    <w:p w:rsidR="000B5C96" w:rsidRDefault="000B5C96" w:rsidP="003F606A">
      <w:pPr>
        <w:pStyle w:val="Heading5"/>
        <w:spacing w:before="0"/>
      </w:pPr>
      <w:bookmarkStart w:id="143" w:name="_Toc457979359"/>
      <w:bookmarkStart w:id="144" w:name="_Toc458069217"/>
      <w:r>
        <w:t>GRN042: Bringing Back Loss Carry Back &amp; Lifting GST Threshold</w:t>
      </w:r>
      <w:bookmarkEnd w:id="143"/>
      <w:bookmarkEnd w:id="144"/>
    </w:p>
    <w:p w:rsidR="000B5C96" w:rsidRPr="009C09D3" w:rsidRDefault="000B5C96" w:rsidP="003F606A">
      <w:pPr>
        <w:pStyle w:val="BodyText"/>
      </w:pPr>
      <w:r w:rsidRPr="009C09D3">
        <w:rPr>
          <w:noProof/>
          <w:lang w:eastAsia="en-AU"/>
        </w:rPr>
        <w:drawing>
          <wp:inline distT="0" distB="0" distL="0" distR="0" wp14:anchorId="691BF2EF" wp14:editId="7043B7E0">
            <wp:extent cx="2696845" cy="572135"/>
            <wp:effectExtent l="0" t="0" r="8255" b="0"/>
            <wp:docPr id="32" name="Picture 3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DD09A2" w:rsidRDefault="000B5C96" w:rsidP="000B5C96">
      <w:pPr>
        <w:pStyle w:val="Heading6"/>
        <w:numPr>
          <w:ilvl w:val="0"/>
          <w:numId w:val="5"/>
        </w:numPr>
        <w:tabs>
          <w:tab w:val="clear" w:pos="0"/>
          <w:tab w:val="num" w:pos="360"/>
          <w:tab w:val="right" w:pos="1418"/>
          <w:tab w:val="right" w:pos="1701"/>
          <w:tab w:val="right" w:pos="1985"/>
        </w:tabs>
      </w:pPr>
      <w:r w:rsidRPr="00DD09A2">
        <w:t>Policy costing—during the caretaker period for the 2016 general election</w:t>
      </w:r>
    </w:p>
    <w:tbl>
      <w:tblPr>
        <w:tblStyle w:val="Style17"/>
        <w:tblW w:w="8528" w:type="dxa"/>
        <w:tblLayout w:type="fixed"/>
        <w:tblLook w:val="04A0" w:firstRow="1" w:lastRow="0" w:firstColumn="1" w:lastColumn="0" w:noHBand="0" w:noVBand="1"/>
      </w:tblPr>
      <w:tblGrid>
        <w:gridCol w:w="2943"/>
        <w:gridCol w:w="5585"/>
      </w:tblGrid>
      <w:tr w:rsidR="000B5C96" w:rsidRPr="002C08BC" w:rsidTr="003F606A">
        <w:trPr>
          <w:cnfStyle w:val="100000000000" w:firstRow="1" w:lastRow="0" w:firstColumn="0" w:lastColumn="0" w:oddVBand="0" w:evenVBand="0" w:oddHBand="0" w:evenHBand="0" w:firstRowFirstColumn="0" w:firstRowLastColumn="0" w:lastRowFirstColumn="0" w:lastRowLastColumn="0"/>
          <w:cantSplit/>
        </w:trPr>
        <w:tc>
          <w:tcPr>
            <w:tcW w:w="2943" w:type="dxa"/>
          </w:tcPr>
          <w:p w:rsidR="000B5C96" w:rsidRPr="002C08BC" w:rsidRDefault="000B5C96" w:rsidP="003F606A">
            <w:pPr>
              <w:pStyle w:val="PullOutBoxHeading"/>
              <w:rPr>
                <w:b/>
                <w:sz w:val="22"/>
              </w:rPr>
            </w:pPr>
            <w:r w:rsidRPr="002C08BC">
              <w:rPr>
                <w:b/>
                <w:sz w:val="22"/>
              </w:rPr>
              <w:t>Name of proposal:</w:t>
            </w:r>
          </w:p>
        </w:tc>
        <w:tc>
          <w:tcPr>
            <w:tcW w:w="5585" w:type="dxa"/>
          </w:tcPr>
          <w:p w:rsidR="000B5C96" w:rsidRPr="002C08BC" w:rsidRDefault="000B5C96" w:rsidP="003F606A">
            <w:pPr>
              <w:pStyle w:val="PullOutBoxHeading"/>
              <w:rPr>
                <w:b/>
                <w:sz w:val="22"/>
              </w:rPr>
            </w:pPr>
            <w:r w:rsidRPr="002C08BC">
              <w:rPr>
                <w:b/>
                <w:sz w:val="22"/>
              </w:rPr>
              <w:t>Standing Up for Small Business: Loss Carry-back and GST Threshold</w:t>
            </w:r>
          </w:p>
        </w:tc>
      </w:tr>
      <w:tr w:rsidR="000B5C96" w:rsidRPr="00DD09A2" w:rsidTr="003F606A">
        <w:trPr>
          <w:cantSplit/>
        </w:trPr>
        <w:tc>
          <w:tcPr>
            <w:tcW w:w="2943" w:type="dxa"/>
          </w:tcPr>
          <w:p w:rsidR="000B5C96" w:rsidRPr="00862AB8" w:rsidRDefault="000B5C96" w:rsidP="003F606A">
            <w:pPr>
              <w:pStyle w:val="PullOutBoxBodyText"/>
            </w:pPr>
            <w:r w:rsidRPr="00862AB8">
              <w:t>Summary of proposal:</w:t>
            </w:r>
          </w:p>
        </w:tc>
        <w:tc>
          <w:tcPr>
            <w:tcW w:w="5585" w:type="dxa"/>
          </w:tcPr>
          <w:p w:rsidR="000B5C96" w:rsidRPr="00DD09A2" w:rsidRDefault="000B5C96" w:rsidP="003F606A">
            <w:pPr>
              <w:pStyle w:val="PullOutBoxBodyText"/>
            </w:pPr>
            <w:r w:rsidRPr="00DD09A2">
              <w:t>The proposal has two components.</w:t>
            </w:r>
          </w:p>
          <w:p w:rsidR="000B5C96" w:rsidRPr="00DD09A2" w:rsidRDefault="000B5C96" w:rsidP="003F606A">
            <w:pPr>
              <w:pStyle w:val="PullOutBoxBodyText"/>
              <w:rPr>
                <w:u w:val="single"/>
              </w:rPr>
            </w:pPr>
            <w:r w:rsidRPr="00DD09A2">
              <w:rPr>
                <w:u w:val="single"/>
              </w:rPr>
              <w:t>Component 1: Reinstate loss carry</w:t>
            </w:r>
            <w:r w:rsidRPr="00DD09A2">
              <w:rPr>
                <w:u w:val="single"/>
              </w:rPr>
              <w:noBreakHyphen/>
              <w:t xml:space="preserve">back </w:t>
            </w:r>
          </w:p>
          <w:p w:rsidR="000B5C96" w:rsidRPr="00DD09A2" w:rsidRDefault="000B5C96" w:rsidP="000B5C96">
            <w:pPr>
              <w:pStyle w:val="PullOutBoxBullet"/>
              <w:numPr>
                <w:ilvl w:val="0"/>
                <w:numId w:val="2"/>
              </w:numPr>
              <w:ind w:left="397"/>
              <w:rPr>
                <w:lang w:eastAsia="en-AU"/>
              </w:rPr>
            </w:pPr>
            <w:r w:rsidRPr="00DD09A2">
              <w:rPr>
                <w:lang w:eastAsia="en-AU"/>
              </w:rPr>
              <w:t>This component would reinstate loss carry-back to allow small businesses to claim up to $1 million of current financial year losses against profits made in previous financial years.</w:t>
            </w:r>
          </w:p>
          <w:p w:rsidR="000B5C96" w:rsidRPr="00DD09A2" w:rsidRDefault="000B5C96" w:rsidP="000B5C96">
            <w:pPr>
              <w:pStyle w:val="PullOutBoxBullet"/>
              <w:numPr>
                <w:ilvl w:val="0"/>
                <w:numId w:val="2"/>
              </w:numPr>
              <w:ind w:left="397"/>
              <w:rPr>
                <w:lang w:eastAsia="en-AU"/>
              </w:rPr>
            </w:pPr>
            <w:r w:rsidRPr="00DD09A2">
              <w:rPr>
                <w:lang w:eastAsia="en-AU"/>
              </w:rPr>
              <w:t>Small businesses are those with aggregate annual turnover below $2 million.</w:t>
            </w:r>
          </w:p>
          <w:p w:rsidR="000B5C96" w:rsidRPr="00DD09A2" w:rsidRDefault="000B5C96" w:rsidP="000B5C96">
            <w:pPr>
              <w:pStyle w:val="PullOutBoxBullet"/>
              <w:numPr>
                <w:ilvl w:val="0"/>
                <w:numId w:val="2"/>
              </w:numPr>
              <w:ind w:left="397"/>
              <w:rPr>
                <w:lang w:eastAsia="en-AU"/>
              </w:rPr>
            </w:pPr>
            <w:r w:rsidRPr="00DD09A2">
              <w:rPr>
                <w:lang w:eastAsia="en-AU"/>
              </w:rPr>
              <w:t>Losses used in this manner would no longer be eligible to be carried forward into the next financial year.</w:t>
            </w:r>
          </w:p>
          <w:p w:rsidR="000B5C96" w:rsidRPr="00DD09A2" w:rsidRDefault="000B5C96" w:rsidP="000B5C96">
            <w:pPr>
              <w:pStyle w:val="PullOutBoxBullet"/>
              <w:numPr>
                <w:ilvl w:val="0"/>
                <w:numId w:val="2"/>
              </w:numPr>
              <w:ind w:left="397"/>
              <w:rPr>
                <w:lang w:eastAsia="en-AU"/>
              </w:rPr>
            </w:pPr>
            <w:r w:rsidRPr="00DD09A2">
              <w:rPr>
                <w:lang w:eastAsia="en-AU"/>
              </w:rPr>
              <w:t>This component would have effect from 1 September 2016 and would cease after 30 June 2020.</w:t>
            </w:r>
          </w:p>
          <w:p w:rsidR="000B5C96" w:rsidRPr="00862AB8" w:rsidRDefault="000B5C96" w:rsidP="003F606A">
            <w:pPr>
              <w:pStyle w:val="PullOutBoxBodyText"/>
              <w:rPr>
                <w:u w:val="single"/>
              </w:rPr>
            </w:pPr>
            <w:r w:rsidRPr="00862AB8">
              <w:rPr>
                <w:u w:val="single"/>
              </w:rPr>
              <w:t>Component 2: Increase Goods and Services Tax (GST) registration threshold</w:t>
            </w:r>
          </w:p>
          <w:p w:rsidR="000B5C96" w:rsidRPr="00DD09A2" w:rsidRDefault="000B5C96" w:rsidP="000B5C96">
            <w:pPr>
              <w:pStyle w:val="PullOutBoxBullet"/>
              <w:numPr>
                <w:ilvl w:val="0"/>
                <w:numId w:val="2"/>
              </w:numPr>
              <w:ind w:left="397"/>
              <w:rPr>
                <w:lang w:eastAsia="en-AU"/>
              </w:rPr>
            </w:pPr>
            <w:r w:rsidRPr="00DD09A2">
              <w:rPr>
                <w:lang w:eastAsia="en-AU"/>
              </w:rPr>
              <w:t>This component would increase the registration threshold for the GST from $75,000 to $150,000 or more for businesses, and from $150,000 to $300,000 or more for not-for-profit organisations, with these thresholds to be indexed annually by the Consumer Price Index (CPI).</w:t>
            </w:r>
          </w:p>
          <w:p w:rsidR="000B5C96" w:rsidRPr="00DD09A2" w:rsidRDefault="000B5C96" w:rsidP="000B5C96">
            <w:pPr>
              <w:pStyle w:val="PullOutBoxBullet"/>
              <w:numPr>
                <w:ilvl w:val="0"/>
                <w:numId w:val="2"/>
              </w:numPr>
              <w:ind w:left="397"/>
              <w:rPr>
                <w:lang w:eastAsia="en-AU"/>
              </w:rPr>
            </w:pPr>
            <w:r w:rsidRPr="00DD09A2">
              <w:rPr>
                <w:lang w:eastAsia="en-AU"/>
              </w:rPr>
              <w:t>This component would have effect from 1 July 2017 and would be ongoing.</w:t>
            </w:r>
          </w:p>
        </w:tc>
      </w:tr>
      <w:tr w:rsidR="000B5C96" w:rsidRPr="00DD09A2" w:rsidTr="003F606A">
        <w:trPr>
          <w:cantSplit/>
        </w:trPr>
        <w:tc>
          <w:tcPr>
            <w:tcW w:w="2943" w:type="dxa"/>
          </w:tcPr>
          <w:p w:rsidR="000B5C96" w:rsidRPr="00862AB8" w:rsidRDefault="000B5C96" w:rsidP="003F606A">
            <w:pPr>
              <w:pStyle w:val="PullOutBoxBodyText"/>
            </w:pPr>
            <w:r w:rsidRPr="00862AB8">
              <w:t>Person/party requesting costing:</w:t>
            </w:r>
          </w:p>
        </w:tc>
        <w:tc>
          <w:tcPr>
            <w:tcW w:w="5585" w:type="dxa"/>
          </w:tcPr>
          <w:p w:rsidR="000B5C96" w:rsidRPr="00DD09A2" w:rsidRDefault="000B5C96" w:rsidP="003F606A">
            <w:pPr>
              <w:pStyle w:val="PullOutBoxBodyText"/>
            </w:pPr>
            <w:r w:rsidRPr="00DD09A2">
              <w:t>Senator Richard Di Natale, Australian Greens</w:t>
            </w:r>
          </w:p>
        </w:tc>
      </w:tr>
      <w:tr w:rsidR="000B5C96" w:rsidRPr="00DD09A2" w:rsidTr="003F606A">
        <w:trPr>
          <w:cantSplit/>
        </w:trPr>
        <w:tc>
          <w:tcPr>
            <w:tcW w:w="2943" w:type="dxa"/>
          </w:tcPr>
          <w:p w:rsidR="000B5C96" w:rsidRPr="00862AB8" w:rsidRDefault="000B5C96" w:rsidP="003F606A">
            <w:pPr>
              <w:pStyle w:val="PullOutBoxBodyText"/>
            </w:pPr>
            <w:r w:rsidRPr="00862AB8">
              <w:t>Date of public release of policy:</w:t>
            </w:r>
          </w:p>
        </w:tc>
        <w:tc>
          <w:tcPr>
            <w:tcW w:w="5585" w:type="dxa"/>
          </w:tcPr>
          <w:p w:rsidR="000B5C96" w:rsidRPr="00DD09A2" w:rsidRDefault="000B5C96" w:rsidP="003F606A">
            <w:pPr>
              <w:pStyle w:val="PullOutBoxBodyText"/>
            </w:pPr>
            <w:r w:rsidRPr="00DD09A2">
              <w:t>24 June 2016</w:t>
            </w:r>
          </w:p>
          <w:p w:rsidR="000B5C96" w:rsidRPr="00DD09A2" w:rsidRDefault="00E46526" w:rsidP="003F606A">
            <w:pPr>
              <w:pStyle w:val="PullOutBoxBodyText"/>
            </w:pPr>
            <w:hyperlink r:id="rId407" w:history="1">
              <w:r w:rsidR="000B5C96" w:rsidRPr="00DD09A2">
                <w:rPr>
                  <w:color w:val="0000FF"/>
                  <w:u w:val="single"/>
                </w:rPr>
                <w:t>http://greens.org.au/small-business</w:t>
              </w:r>
            </w:hyperlink>
          </w:p>
        </w:tc>
      </w:tr>
      <w:tr w:rsidR="000B5C96" w:rsidRPr="00DD09A2" w:rsidTr="003F606A">
        <w:trPr>
          <w:cantSplit/>
        </w:trPr>
        <w:tc>
          <w:tcPr>
            <w:tcW w:w="2943" w:type="dxa"/>
          </w:tcPr>
          <w:p w:rsidR="000B5C96" w:rsidRPr="00862AB8" w:rsidRDefault="000B5C96" w:rsidP="003F606A">
            <w:pPr>
              <w:pStyle w:val="PullOutBoxBodyText"/>
            </w:pPr>
            <w:r w:rsidRPr="00862AB8">
              <w:t>Date costing request received:</w:t>
            </w:r>
          </w:p>
        </w:tc>
        <w:tc>
          <w:tcPr>
            <w:tcW w:w="5585" w:type="dxa"/>
          </w:tcPr>
          <w:p w:rsidR="000B5C96" w:rsidRPr="00DD09A2" w:rsidRDefault="000B5C96" w:rsidP="003F606A">
            <w:pPr>
              <w:pStyle w:val="PullOutBoxBodyText"/>
            </w:pPr>
            <w:r w:rsidRPr="00DD09A2">
              <w:t>28 June 2016</w:t>
            </w:r>
          </w:p>
        </w:tc>
      </w:tr>
      <w:tr w:rsidR="000B5C96" w:rsidRPr="00DD09A2" w:rsidTr="003F606A">
        <w:trPr>
          <w:cantSplit/>
        </w:trPr>
        <w:tc>
          <w:tcPr>
            <w:tcW w:w="2943" w:type="dxa"/>
          </w:tcPr>
          <w:p w:rsidR="000B5C96" w:rsidRPr="00862AB8" w:rsidRDefault="000B5C96" w:rsidP="003F606A">
            <w:pPr>
              <w:pStyle w:val="PullOutBoxBodyText"/>
            </w:pPr>
            <w:r w:rsidRPr="00862AB8">
              <w:t>Date costing completed:</w:t>
            </w:r>
          </w:p>
        </w:tc>
        <w:tc>
          <w:tcPr>
            <w:tcW w:w="5585" w:type="dxa"/>
          </w:tcPr>
          <w:p w:rsidR="000B5C96" w:rsidRPr="00DD09A2" w:rsidRDefault="000B5C96" w:rsidP="003F606A">
            <w:pPr>
              <w:pStyle w:val="PullOutBoxBodyText"/>
            </w:pPr>
            <w:r w:rsidRPr="00DD09A2">
              <w:t>29 June 2016</w:t>
            </w:r>
          </w:p>
        </w:tc>
      </w:tr>
      <w:tr w:rsidR="000B5C96" w:rsidRPr="00DD09A2" w:rsidTr="003F606A">
        <w:trPr>
          <w:cantSplit/>
        </w:trPr>
        <w:tc>
          <w:tcPr>
            <w:tcW w:w="2943" w:type="dxa"/>
          </w:tcPr>
          <w:p w:rsidR="000B5C96" w:rsidRPr="00862AB8" w:rsidRDefault="000B5C96" w:rsidP="003F606A">
            <w:pPr>
              <w:pStyle w:val="PullOutBoxBodyText"/>
            </w:pPr>
            <w:r w:rsidRPr="00862AB8">
              <w:t>Additional information received (including date)</w:t>
            </w:r>
          </w:p>
        </w:tc>
        <w:tc>
          <w:tcPr>
            <w:tcW w:w="5585" w:type="dxa"/>
          </w:tcPr>
          <w:p w:rsidR="000B5C96" w:rsidRPr="00DD09A2" w:rsidRDefault="000B5C96" w:rsidP="003F606A">
            <w:pPr>
              <w:pStyle w:val="PullOutBoxBodyText"/>
            </w:pPr>
            <w:r w:rsidRPr="00DD09A2">
              <w:t>On 28 June 2016, the office of Senator Di Natale advised that in relation to component 1:</w:t>
            </w:r>
          </w:p>
          <w:p w:rsidR="000B5C96" w:rsidRPr="00DD09A2" w:rsidRDefault="000B5C96" w:rsidP="000B5C96">
            <w:pPr>
              <w:pStyle w:val="PullOutBoxBullet"/>
              <w:numPr>
                <w:ilvl w:val="0"/>
                <w:numId w:val="2"/>
              </w:numPr>
              <w:ind w:left="397"/>
              <w:rPr>
                <w:lang w:eastAsia="en-AU"/>
              </w:rPr>
            </w:pPr>
            <w:r w:rsidRPr="00DD09A2">
              <w:rPr>
                <w:lang w:eastAsia="en-AU"/>
              </w:rPr>
              <w:t>a small business would have aggregate annual turnover below $2 million</w:t>
            </w:r>
          </w:p>
          <w:p w:rsidR="000B5C96" w:rsidRPr="00DD09A2" w:rsidRDefault="000B5C96" w:rsidP="000B5C96">
            <w:pPr>
              <w:pStyle w:val="PullOutBoxBullet"/>
              <w:numPr>
                <w:ilvl w:val="0"/>
                <w:numId w:val="2"/>
              </w:numPr>
              <w:ind w:left="397"/>
              <w:rPr>
                <w:lang w:eastAsia="en-AU"/>
              </w:rPr>
            </w:pPr>
            <w:r w:rsidRPr="00DD09A2">
              <w:rPr>
                <w:lang w:eastAsia="en-AU"/>
              </w:rPr>
              <w:t>losses eligible for carry back would no longer be able to be carried forward to the next year</w:t>
            </w:r>
          </w:p>
          <w:p w:rsidR="000B5C96" w:rsidRPr="00DD09A2" w:rsidRDefault="000B5C96" w:rsidP="000B5C96">
            <w:pPr>
              <w:pStyle w:val="PullOutBoxBullet"/>
              <w:numPr>
                <w:ilvl w:val="0"/>
                <w:numId w:val="2"/>
              </w:numPr>
              <w:ind w:left="397"/>
              <w:rPr>
                <w:lang w:eastAsia="en-AU"/>
              </w:rPr>
            </w:pPr>
            <w:r w:rsidRPr="00DD09A2">
              <w:rPr>
                <w:lang w:eastAsia="en-AU"/>
              </w:rPr>
              <w:t>the loss carry back component would expire on 30 June 2020.</w:t>
            </w:r>
          </w:p>
        </w:tc>
      </w:tr>
      <w:tr w:rsidR="000B5C96" w:rsidRPr="00862AB8" w:rsidTr="003F606A">
        <w:trPr>
          <w:cantSplit/>
        </w:trPr>
        <w:tc>
          <w:tcPr>
            <w:tcW w:w="2943" w:type="dxa"/>
          </w:tcPr>
          <w:p w:rsidR="000B5C96" w:rsidRPr="00862AB8" w:rsidRDefault="000B5C96" w:rsidP="003F606A">
            <w:pPr>
              <w:pStyle w:val="PullOutBoxBodyText"/>
            </w:pPr>
            <w:r w:rsidRPr="00862AB8">
              <w:t>Expiry date for the costing:</w:t>
            </w:r>
          </w:p>
        </w:tc>
        <w:tc>
          <w:tcPr>
            <w:tcW w:w="5585" w:type="dxa"/>
          </w:tcPr>
          <w:p w:rsidR="000B5C96" w:rsidRPr="00862AB8" w:rsidRDefault="000B5C96" w:rsidP="003F606A">
            <w:pPr>
              <w:pStyle w:val="PullOutBoxBodyText"/>
              <w:rPr>
                <w:rFonts w:eastAsia="Calibri" w:cs="Times New Roman"/>
              </w:rPr>
            </w:pPr>
            <w:r w:rsidRPr="00862AB8">
              <w:rPr>
                <w:rFonts w:eastAsia="Calibri" w:cs="Times New Roman"/>
              </w:rPr>
              <w:t>Release of the next economic and fiscal outlook report</w:t>
            </w:r>
          </w:p>
        </w:tc>
      </w:tr>
    </w:tbl>
    <w:p w:rsidR="000B5C96" w:rsidRPr="00DD09A2" w:rsidRDefault="000B5C96" w:rsidP="003F606A">
      <w:pPr>
        <w:pStyle w:val="CostingsH7"/>
        <w:rPr>
          <w:rFonts w:eastAsia="Calibri"/>
        </w:rPr>
      </w:pPr>
      <w:r w:rsidRPr="00DD09A2">
        <w:rPr>
          <w:rFonts w:eastAsia="Calibri"/>
        </w:rPr>
        <w:t>Costing overview</w:t>
      </w:r>
    </w:p>
    <w:p w:rsidR="000B5C96" w:rsidRPr="00DD09A2" w:rsidRDefault="000B5C96" w:rsidP="003F606A">
      <w:pPr>
        <w:pStyle w:val="BodyText"/>
      </w:pPr>
      <w:r w:rsidRPr="00DD09A2">
        <w:t>The proposal would be expected to decrease the fiscal balance by $614 million and decrease the underlying cash balance by $314 million over the 2016</w:t>
      </w:r>
      <w:r w:rsidRPr="00DD09A2">
        <w:noBreakHyphen/>
        <w:t>17 Budget forward estimates period.  This reflects a decrease in revenue of $6,750 million and a net decrease in expenses of $6,136 million on a fiscal balance basis.</w:t>
      </w:r>
    </w:p>
    <w:p w:rsidR="000B5C96" w:rsidRPr="00DD09A2" w:rsidRDefault="000B5C96" w:rsidP="003F606A">
      <w:pPr>
        <w:pStyle w:val="BodyText"/>
      </w:pPr>
      <w:r w:rsidRPr="00DD09A2">
        <w:t>The reintroduction of loss carry back would result in a reduction in tax revenue from 2017</w:t>
      </w:r>
      <w:r w:rsidRPr="00DD09A2">
        <w:noBreakHyphen/>
        <w:t>18 (as 2016</w:t>
      </w:r>
      <w:r w:rsidRPr="00DD09A2">
        <w:noBreakHyphen/>
        <w:t xml:space="preserve">17 tax returns are assessed).  This impact would be offset in subsequent years to the extent that companies would be able to utilise these losses against future taxable income. </w:t>
      </w:r>
    </w:p>
    <w:p w:rsidR="000B5C96" w:rsidRPr="00DD09A2" w:rsidRDefault="000B5C96" w:rsidP="003F606A">
      <w:pPr>
        <w:pStyle w:val="BodyText"/>
      </w:pPr>
      <w:r w:rsidRPr="00DD09A2">
        <w:t xml:space="preserve">As the proposed reintroduction of loss carry-back would be temporary, the impact of the proposal over the 2016-17 Budget forward estimates period is not representative of its ongoing impact. While loss carry back would cease in 2019-20, claims relating to the final year of the proposal would not be made until the following year.  In subsequent years the proposal would result in an increase in tax revenue, reflecting the fact that losses eligible for carry back would no longer be able to be carried forward. </w:t>
      </w:r>
    </w:p>
    <w:p w:rsidR="000B5C96" w:rsidRPr="00DD09A2" w:rsidRDefault="000B5C96" w:rsidP="003F606A">
      <w:pPr>
        <w:pStyle w:val="BodyText"/>
      </w:pPr>
      <w:r w:rsidRPr="00DD09A2">
        <w:t xml:space="preserve">The increase in the registration threshold for the GST would not be expected to have a net financial impact on the underlying cash balance of the Commonwealth Government, as GST is paid directly to the states and territories (net of administrative costs) under the </w:t>
      </w:r>
      <w:r w:rsidRPr="00DD09A2">
        <w:rPr>
          <w:i/>
        </w:rPr>
        <w:t>Intergovernmental Agreement on Federal Financial Relations</w:t>
      </w:r>
      <w:r w:rsidRPr="00DD09A2">
        <w:t>. Lifting the GST registration threshold would have an ongoing impact that extends beyond the 2016</w:t>
      </w:r>
      <w:r w:rsidRPr="00DD09A2">
        <w:noBreakHyphen/>
        <w:t>17 Budget forward estimates period.</w:t>
      </w:r>
    </w:p>
    <w:p w:rsidR="000B5C96" w:rsidRPr="00DD09A2" w:rsidRDefault="000B5C96" w:rsidP="003F606A">
      <w:pPr>
        <w:pStyle w:val="BodyText"/>
      </w:pPr>
      <w:r w:rsidRPr="00DD09A2">
        <w:t xml:space="preserve">The difference between the underlying cash and fiscal balance impact in the first year of the proposal reflects a delay between when GST revenue is recognised as being owed to the Commonwealth and the receipt of the payment through lodgement of a Business Activity Statement (BAS). </w:t>
      </w:r>
    </w:p>
    <w:p w:rsidR="000B5C96" w:rsidRPr="00DD09A2" w:rsidRDefault="000B5C96" w:rsidP="003F606A">
      <w:pPr>
        <w:pStyle w:val="BodyText"/>
      </w:pPr>
      <w:r w:rsidRPr="00DD09A2">
        <w:t xml:space="preserve">A detailed breakdown of the financial implications of the components of the proposal to 2026-27 is included at </w:t>
      </w:r>
      <w:r w:rsidRPr="00DD09A2">
        <w:rPr>
          <w:u w:val="single"/>
        </w:rPr>
        <w:t>Attachment A</w:t>
      </w:r>
      <w:r w:rsidRPr="00DD09A2">
        <w:t xml:space="preserve">.  </w:t>
      </w:r>
    </w:p>
    <w:p w:rsidR="000B5C96" w:rsidRPr="00DD09A2" w:rsidRDefault="000B5C96" w:rsidP="003F606A">
      <w:pPr>
        <w:pStyle w:val="BodyText"/>
      </w:pPr>
      <w:r w:rsidRPr="00DD09A2">
        <w:t>The proposal to reintroduce loss carry back would be expected to increase departmental expenses and these estimates are based on the amounts allocated in the original 2012</w:t>
      </w:r>
      <w:r w:rsidRPr="00DD09A2">
        <w:noBreakHyphen/>
        <w:t xml:space="preserve">13 Budget measure.  The proposal to increase the GST registration threshold would be expected to decrease departmental expenses by $10 million per year, reflecting the reduction in the number of entities registered for the GST.  </w:t>
      </w:r>
    </w:p>
    <w:p w:rsidR="000B5C96" w:rsidRPr="00DD09A2" w:rsidRDefault="000B5C96" w:rsidP="003F606A">
      <w:pPr>
        <w:pStyle w:val="BodyText"/>
      </w:pPr>
      <w:r w:rsidRPr="00DD09A2">
        <w:t>This costing is considered to be of medium reliability.  The loss carry-back estimates for the proposal are based on detailed company tax data, however assumptions are required regarding the extent to which losses would be able to be utilised over time.  The estimates for the GST registration threshold component are based on unit record data, however assumptions are required to estimate the number of entities within the proposed new thresholds and the behavioural response of those entities.</w:t>
      </w:r>
    </w:p>
    <w:p w:rsidR="000B5C96" w:rsidRPr="00DD09A2" w:rsidRDefault="000B5C96" w:rsidP="003F606A">
      <w:pPr>
        <w:pStyle w:val="Caption"/>
      </w:pPr>
      <w:r w:rsidRPr="00DD09A2">
        <w:t>Table 1: Financial implications (outturn prices)</w:t>
      </w:r>
      <w:r w:rsidRPr="00DD09A2">
        <w:rPr>
          <w:vertAlign w:val="superscript"/>
        </w:rPr>
        <w:t>(a)(b)</w:t>
      </w:r>
    </w:p>
    <w:tbl>
      <w:tblPr>
        <w:tblStyle w:val="TableGrid17"/>
        <w:tblW w:w="4993" w:type="pct"/>
        <w:tblLook w:val="04A0" w:firstRow="1" w:lastRow="0" w:firstColumn="1" w:lastColumn="0" w:noHBand="0" w:noVBand="1"/>
      </w:tblPr>
      <w:tblGrid>
        <w:gridCol w:w="2645"/>
        <w:gridCol w:w="1134"/>
        <w:gridCol w:w="1133"/>
        <w:gridCol w:w="1133"/>
        <w:gridCol w:w="1133"/>
        <w:gridCol w:w="1132"/>
      </w:tblGrid>
      <w:tr w:rsidR="000B5C96" w:rsidRPr="00DD09A2"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DD09A2" w:rsidRDefault="000B5C96" w:rsidP="003F606A">
            <w:pPr>
              <w:keepNext/>
              <w:keepLines/>
              <w:spacing w:line="240" w:lineRule="auto"/>
              <w:ind w:left="57" w:right="57"/>
              <w:rPr>
                <w:szCs w:val="20"/>
              </w:rPr>
            </w:pPr>
            <w:r w:rsidRPr="00DD09A2">
              <w:rPr>
                <w:szCs w:val="20"/>
              </w:rPr>
              <w:t>Impact on ($m)</w:t>
            </w:r>
          </w:p>
        </w:tc>
        <w:tc>
          <w:tcPr>
            <w:tcW w:w="682" w:type="pct"/>
            <w:vAlign w:val="center"/>
          </w:tcPr>
          <w:p w:rsidR="000B5C96" w:rsidRPr="00DD09A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D09A2">
              <w:rPr>
                <w:szCs w:val="20"/>
              </w:rPr>
              <w:t>2016–17</w:t>
            </w:r>
          </w:p>
        </w:tc>
        <w:tc>
          <w:tcPr>
            <w:tcW w:w="682" w:type="pct"/>
            <w:vAlign w:val="center"/>
          </w:tcPr>
          <w:p w:rsidR="000B5C96" w:rsidRPr="00DD09A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D09A2">
              <w:rPr>
                <w:szCs w:val="20"/>
              </w:rPr>
              <w:t>2017–18</w:t>
            </w:r>
          </w:p>
        </w:tc>
        <w:tc>
          <w:tcPr>
            <w:tcW w:w="682" w:type="pct"/>
            <w:vAlign w:val="center"/>
          </w:tcPr>
          <w:p w:rsidR="000B5C96" w:rsidRPr="00DD09A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D09A2">
              <w:rPr>
                <w:szCs w:val="20"/>
              </w:rPr>
              <w:t>2018–19</w:t>
            </w:r>
          </w:p>
        </w:tc>
        <w:tc>
          <w:tcPr>
            <w:tcW w:w="682" w:type="pct"/>
            <w:vAlign w:val="center"/>
          </w:tcPr>
          <w:p w:rsidR="000B5C96" w:rsidRPr="00DD09A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val="0"/>
                <w:szCs w:val="20"/>
              </w:rPr>
            </w:pPr>
            <w:r w:rsidRPr="00DD09A2">
              <w:rPr>
                <w:szCs w:val="20"/>
              </w:rPr>
              <w:t>2019–20</w:t>
            </w:r>
          </w:p>
        </w:tc>
        <w:tc>
          <w:tcPr>
            <w:tcW w:w="681" w:type="pct"/>
            <w:vAlign w:val="center"/>
          </w:tcPr>
          <w:p w:rsidR="000B5C96" w:rsidRPr="00DD09A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val="0"/>
                <w:szCs w:val="20"/>
              </w:rPr>
            </w:pPr>
            <w:r w:rsidRPr="00DD09A2">
              <w:rPr>
                <w:szCs w:val="20"/>
              </w:rPr>
              <w:t>Total</w:t>
            </w:r>
          </w:p>
        </w:tc>
      </w:tr>
      <w:tr w:rsidR="000B5C96" w:rsidRPr="00DD09A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DD09A2" w:rsidRDefault="000B5C96" w:rsidP="003F606A">
            <w:pPr>
              <w:keepNext/>
              <w:keepLines/>
              <w:ind w:left="57" w:right="57"/>
              <w:rPr>
                <w:szCs w:val="20"/>
              </w:rPr>
            </w:pPr>
            <w:r w:rsidRPr="00DD09A2">
              <w:rPr>
                <w:szCs w:val="20"/>
              </w:rPr>
              <w:t>Fiscal balance</w:t>
            </w:r>
          </w:p>
        </w:tc>
        <w:tc>
          <w:tcPr>
            <w:tcW w:w="682" w:type="pct"/>
          </w:tcPr>
          <w:p w:rsidR="000B5C96" w:rsidRPr="00DD09A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DD09A2">
              <w:rPr>
                <w:rFonts w:ascii="Calibri" w:hAnsi="Calibri"/>
              </w:rPr>
              <w:t xml:space="preserve">-6.9 </w:t>
            </w:r>
          </w:p>
        </w:tc>
        <w:tc>
          <w:tcPr>
            <w:tcW w:w="682" w:type="pct"/>
          </w:tcPr>
          <w:p w:rsidR="000B5C96" w:rsidRPr="00DD09A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DD09A2">
              <w:rPr>
                <w:rFonts w:ascii="Calibri" w:hAnsi="Calibri"/>
              </w:rPr>
              <w:t xml:space="preserve">-355.3 </w:t>
            </w:r>
          </w:p>
        </w:tc>
        <w:tc>
          <w:tcPr>
            <w:tcW w:w="682" w:type="pct"/>
          </w:tcPr>
          <w:p w:rsidR="000B5C96" w:rsidRPr="00DD09A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DD09A2">
              <w:rPr>
                <w:rFonts w:ascii="Calibri" w:hAnsi="Calibri"/>
              </w:rPr>
              <w:t xml:space="preserve">-101.3 </w:t>
            </w:r>
          </w:p>
        </w:tc>
        <w:tc>
          <w:tcPr>
            <w:tcW w:w="682" w:type="pct"/>
          </w:tcPr>
          <w:p w:rsidR="000B5C96" w:rsidRPr="00DD09A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DD09A2">
              <w:rPr>
                <w:rFonts w:ascii="Calibri" w:hAnsi="Calibri"/>
              </w:rPr>
              <w:t xml:space="preserve">-150.8 </w:t>
            </w:r>
          </w:p>
        </w:tc>
        <w:tc>
          <w:tcPr>
            <w:tcW w:w="681" w:type="pct"/>
          </w:tcPr>
          <w:p w:rsidR="000B5C96" w:rsidRPr="00DD09A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D09A2">
              <w:rPr>
                <w:rFonts w:ascii="Calibri" w:hAnsi="Calibri"/>
                <w:b/>
              </w:rPr>
              <w:t xml:space="preserve">-614.3 </w:t>
            </w:r>
          </w:p>
        </w:tc>
      </w:tr>
      <w:tr w:rsidR="000B5C96" w:rsidRPr="00DD09A2"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DD09A2" w:rsidRDefault="000B5C96" w:rsidP="003F606A">
            <w:pPr>
              <w:keepNext/>
              <w:keepLines/>
              <w:ind w:left="57" w:right="57"/>
              <w:rPr>
                <w:szCs w:val="20"/>
              </w:rPr>
            </w:pPr>
            <w:r w:rsidRPr="00DD09A2">
              <w:rPr>
                <w:szCs w:val="20"/>
              </w:rPr>
              <w:t>Underlying cash balance</w:t>
            </w:r>
          </w:p>
        </w:tc>
        <w:tc>
          <w:tcPr>
            <w:tcW w:w="682" w:type="pct"/>
          </w:tcPr>
          <w:p w:rsidR="000B5C96" w:rsidRPr="00DD09A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 xml:space="preserve">-6.9 </w:t>
            </w:r>
          </w:p>
        </w:tc>
        <w:tc>
          <w:tcPr>
            <w:tcW w:w="682" w:type="pct"/>
          </w:tcPr>
          <w:p w:rsidR="000B5C96" w:rsidRPr="00DD09A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 xml:space="preserve">-55.3 </w:t>
            </w:r>
          </w:p>
        </w:tc>
        <w:tc>
          <w:tcPr>
            <w:tcW w:w="682" w:type="pct"/>
          </w:tcPr>
          <w:p w:rsidR="000B5C96" w:rsidRPr="00DD09A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 xml:space="preserve">-101.3 </w:t>
            </w:r>
          </w:p>
        </w:tc>
        <w:tc>
          <w:tcPr>
            <w:tcW w:w="682" w:type="pct"/>
          </w:tcPr>
          <w:p w:rsidR="000B5C96" w:rsidRPr="00DD09A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 xml:space="preserve">-150.8 </w:t>
            </w:r>
          </w:p>
        </w:tc>
        <w:tc>
          <w:tcPr>
            <w:tcW w:w="681" w:type="pct"/>
          </w:tcPr>
          <w:p w:rsidR="000B5C96" w:rsidRPr="00DD09A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-314.3 </w:t>
            </w:r>
          </w:p>
        </w:tc>
      </w:tr>
    </w:tbl>
    <w:p w:rsidR="000B5C96" w:rsidRPr="00DD09A2" w:rsidRDefault="000B5C96" w:rsidP="002C08BC">
      <w:pPr>
        <w:pStyle w:val="Footnotes"/>
        <w:numPr>
          <w:ilvl w:val="0"/>
          <w:numId w:val="185"/>
        </w:numPr>
        <w:ind w:left="284" w:hanging="284"/>
      </w:pPr>
      <w:r w:rsidRPr="00DD09A2">
        <w:t>A positive number represents an increase in the relevant budget balance, a negative number a decrease.</w:t>
      </w:r>
    </w:p>
    <w:p w:rsidR="000B5C96" w:rsidRPr="00DD09A2" w:rsidRDefault="000B5C96" w:rsidP="002C08BC">
      <w:pPr>
        <w:pStyle w:val="Footnotes"/>
        <w:numPr>
          <w:ilvl w:val="0"/>
          <w:numId w:val="185"/>
        </w:numPr>
        <w:ind w:left="284" w:hanging="284"/>
      </w:pPr>
      <w:r w:rsidRPr="00DD09A2">
        <w:t>Figures may not sum to totals due to rounding.</w:t>
      </w:r>
    </w:p>
    <w:p w:rsidR="000B5C96" w:rsidRPr="00DD09A2" w:rsidRDefault="000B5C96" w:rsidP="003F606A">
      <w:pPr>
        <w:pStyle w:val="CostingsH7"/>
        <w:rPr>
          <w:rFonts w:eastAsia="Calibri"/>
        </w:rPr>
      </w:pPr>
      <w:r w:rsidRPr="00DD09A2">
        <w:rPr>
          <w:rFonts w:eastAsia="Calibri"/>
        </w:rPr>
        <w:t>Key assumptions</w:t>
      </w:r>
    </w:p>
    <w:p w:rsidR="000B5C96" w:rsidRPr="00DD09A2" w:rsidRDefault="000B5C96" w:rsidP="003F606A">
      <w:pPr>
        <w:pStyle w:val="CostingsH8"/>
        <w:rPr>
          <w:rFonts w:eastAsia="Calibri"/>
        </w:rPr>
      </w:pPr>
      <w:r w:rsidRPr="00DD09A2">
        <w:rPr>
          <w:rFonts w:eastAsia="Calibri"/>
        </w:rPr>
        <w:t>Reinstate loss carry</w:t>
      </w:r>
      <w:r w:rsidRPr="00DD09A2">
        <w:rPr>
          <w:rFonts w:eastAsia="Calibri"/>
        </w:rPr>
        <w:noBreakHyphen/>
        <w:t>back</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 xml:space="preserve">Eligible taxpayers are assumed to claim the full amount of the loss carry-back as soon as it is available. </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The proportion of prior year loss deductions able to be utilised in the absence of tax loss carry-back was assumed to be equal to its historical average.</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The reintroduction of loss carry-back would apply from the 2016</w:t>
      </w:r>
      <w:r w:rsidRPr="00DD09A2">
        <w:rPr>
          <w:lang w:eastAsia="en-AU"/>
        </w:rPr>
        <w:noBreakHyphen/>
        <w:t>17 income year.</w:t>
      </w:r>
    </w:p>
    <w:p w:rsidR="000B5C96" w:rsidRPr="00DD09A2" w:rsidRDefault="000B5C96" w:rsidP="003F606A">
      <w:pPr>
        <w:pStyle w:val="CostingsH8"/>
        <w:rPr>
          <w:rFonts w:eastAsia="Calibri"/>
        </w:rPr>
      </w:pPr>
      <w:r w:rsidRPr="00DD09A2">
        <w:rPr>
          <w:rFonts w:eastAsia="Calibri"/>
        </w:rPr>
        <w:t>Increase GST registration threshold</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The proportion of GST attributable to entities that that are under the new thresholds does not change due to the CPI indexation of the thresholds.</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The change in threshold does not change the projected growth of an entity’s revenue.</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The proportion of entities that are non-profit entities is based on information from a Productivity Commission report on the number of organisations with an active tax status classified as not-for-profit by the Australian Taxation Office (ATO).</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Some entities that have turnover below the threshold will choose to remain registered for GST.</w:t>
      </w:r>
    </w:p>
    <w:p w:rsidR="000B5C96" w:rsidRPr="00DD09A2" w:rsidRDefault="000B5C96" w:rsidP="000B5C96">
      <w:pPr>
        <w:pStyle w:val="ListBullet2"/>
        <w:keepLines w:val="0"/>
        <w:numPr>
          <w:ilvl w:val="1"/>
          <w:numId w:val="2"/>
        </w:numPr>
        <w:spacing w:before="113"/>
        <w:ind w:left="908" w:hanging="454"/>
        <w:rPr>
          <w:lang w:eastAsia="en-AU"/>
        </w:rPr>
      </w:pPr>
      <w:r w:rsidRPr="00DD09A2">
        <w:rPr>
          <w:lang w:eastAsia="en-AU"/>
        </w:rPr>
        <w:t>It is assumed that all businesses that receive net refunds of GST would choose to remain registered.</w:t>
      </w:r>
    </w:p>
    <w:p w:rsidR="000B5C96" w:rsidRPr="00DD09A2" w:rsidRDefault="000B5C96" w:rsidP="000B5C96">
      <w:pPr>
        <w:pStyle w:val="ListBullet2"/>
        <w:keepLines w:val="0"/>
        <w:numPr>
          <w:ilvl w:val="1"/>
          <w:numId w:val="2"/>
        </w:numPr>
        <w:spacing w:before="113"/>
        <w:ind w:left="908" w:hanging="454"/>
        <w:rPr>
          <w:lang w:eastAsia="en-AU"/>
        </w:rPr>
      </w:pPr>
      <w:r w:rsidRPr="00DD09A2">
        <w:rPr>
          <w:lang w:eastAsia="en-AU"/>
        </w:rPr>
        <w:t xml:space="preserve">It is also assumed that 50 per cent of entities who have a net GST liability would choose to remain registered for GST.  </w:t>
      </w:r>
    </w:p>
    <w:p w:rsidR="000B5C96" w:rsidRPr="00DD09A2" w:rsidRDefault="000B5C96" w:rsidP="003F606A">
      <w:pPr>
        <w:pStyle w:val="CostingsH7"/>
        <w:rPr>
          <w:rFonts w:eastAsia="Calibri"/>
        </w:rPr>
      </w:pPr>
      <w:r w:rsidRPr="00DD09A2">
        <w:rPr>
          <w:rFonts w:eastAsia="Calibri"/>
        </w:rPr>
        <w:t>Methodology</w:t>
      </w:r>
    </w:p>
    <w:p w:rsidR="000B5C96" w:rsidRPr="00DD09A2" w:rsidRDefault="000B5C96" w:rsidP="003F606A">
      <w:pPr>
        <w:pStyle w:val="BodyText"/>
      </w:pPr>
      <w:r w:rsidRPr="00DD09A2">
        <w:t xml:space="preserve">The impact of the reintroduction of loss carry-back is the sum of the refund of previous taxes claimed under the loss carry back rules and the increase in taxes that would result from the reduction in the level of losses able to be utilised in subsequent years.  </w:t>
      </w:r>
    </w:p>
    <w:p w:rsidR="000B5C96" w:rsidRPr="00DD09A2" w:rsidRDefault="000B5C96" w:rsidP="003F606A">
      <w:pPr>
        <w:pStyle w:val="BodyText"/>
      </w:pPr>
      <w:r w:rsidRPr="00DD09A2">
        <w:t>Estimates of the net amount of GST paid by entities which currently have to register for GST but that would no longer have to register as a result of this proposal were calculated using unit record file data from 2012</w:t>
      </w:r>
      <w:r w:rsidRPr="00DD09A2">
        <w:noBreakHyphen/>
        <w:t>13 BAS unit record file data.  This estimate was projected forward using forecast growth in GST revenue from the 2016 Pre-election Economic and Fiscal Outlook.</w:t>
      </w:r>
    </w:p>
    <w:p w:rsidR="000B5C96" w:rsidRPr="00DD09A2" w:rsidRDefault="000B5C96" w:rsidP="003F606A">
      <w:pPr>
        <w:pStyle w:val="BodyText"/>
      </w:pPr>
      <w:r w:rsidRPr="00DD09A2">
        <w:t>Revenue and administered expenditure estimates in this costing have been rounded to the nearest $50 million.  Departmental expenditure and capital estimates have been rounded to the nearest $100,000.</w:t>
      </w:r>
    </w:p>
    <w:p w:rsidR="000B5C96" w:rsidRPr="00DD09A2" w:rsidRDefault="000B5C96" w:rsidP="003F606A">
      <w:pPr>
        <w:pStyle w:val="CostingsH7"/>
        <w:rPr>
          <w:rFonts w:eastAsia="Calibri"/>
        </w:rPr>
      </w:pPr>
      <w:r w:rsidRPr="00DD09A2">
        <w:rPr>
          <w:rFonts w:eastAsia="Calibri"/>
        </w:rPr>
        <w:t>Data sources</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2012-13 Budget</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2013 Pre-election Economic and Fiscal Outlook</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2013-14 Budget</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2016 Pre-election Economic and Fiscal Outlook</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ATO, BAS Unit Record Data</w:t>
      </w:r>
    </w:p>
    <w:p w:rsidR="000B5C96" w:rsidRPr="00DD09A2" w:rsidRDefault="000B5C96" w:rsidP="000B5C96">
      <w:pPr>
        <w:pStyle w:val="ListBullet"/>
        <w:keepLines w:val="0"/>
        <w:numPr>
          <w:ilvl w:val="0"/>
          <w:numId w:val="2"/>
        </w:numPr>
        <w:spacing w:before="113"/>
        <w:ind w:left="454" w:hanging="454"/>
        <w:rPr>
          <w:lang w:eastAsia="en-AU"/>
        </w:rPr>
      </w:pPr>
      <w:r w:rsidRPr="00DD09A2">
        <w:rPr>
          <w:lang w:eastAsia="en-AU"/>
        </w:rPr>
        <w:t>Productivity Commission (2010), Contribution of the Not-for-Profit Sector</w:t>
      </w:r>
    </w:p>
    <w:p w:rsidR="000B5C96" w:rsidRPr="00DD09A2" w:rsidRDefault="000B5C96" w:rsidP="003F606A">
      <w:pPr>
        <w:spacing w:before="114" w:after="114"/>
        <w:rPr>
          <w:rFonts w:ascii="Calibri" w:eastAsia="Calibri" w:hAnsi="Calibri" w:cs="Times New Roman"/>
        </w:rPr>
      </w:pPr>
    </w:p>
    <w:p w:rsidR="000B5C96" w:rsidRPr="00DD09A2" w:rsidRDefault="000B5C96" w:rsidP="003F606A">
      <w:pPr>
        <w:spacing w:before="114" w:after="114"/>
        <w:rPr>
          <w:rFonts w:ascii="Calibri" w:eastAsia="Calibri" w:hAnsi="Calibri" w:cs="Times New Roman"/>
        </w:rPr>
        <w:sectPr w:rsidR="000B5C96" w:rsidRPr="00DD09A2" w:rsidSect="003F606A">
          <w:headerReference w:type="even" r:id="rId408"/>
          <w:headerReference w:type="default" r:id="rId409"/>
          <w:footerReference w:type="even" r:id="rId410"/>
          <w:footerReference w:type="default" r:id="rId411"/>
          <w:headerReference w:type="first" r:id="rId412"/>
          <w:footerReference w:type="first" r:id="rId413"/>
          <w:footnotePr>
            <w:numRestart w:val="eachSect"/>
          </w:footnotePr>
          <w:pgSz w:w="11906" w:h="16838"/>
          <w:pgMar w:top="1361" w:right="1797" w:bottom="1474" w:left="1797" w:header="283" w:footer="454" w:gutter="0"/>
          <w:cols w:space="708"/>
          <w:docGrid w:linePitch="360"/>
        </w:sectPr>
      </w:pPr>
    </w:p>
    <w:p w:rsidR="000B5C96" w:rsidRPr="00DD09A2" w:rsidRDefault="000B5C96" w:rsidP="000B5C96">
      <w:pPr>
        <w:pStyle w:val="Heading6"/>
        <w:numPr>
          <w:ilvl w:val="0"/>
          <w:numId w:val="5"/>
        </w:numPr>
        <w:tabs>
          <w:tab w:val="clear" w:pos="0"/>
          <w:tab w:val="num" w:pos="360"/>
          <w:tab w:val="right" w:pos="1418"/>
          <w:tab w:val="right" w:pos="1701"/>
          <w:tab w:val="right" w:pos="1985"/>
        </w:tabs>
      </w:pPr>
      <w:r w:rsidRPr="00DD09A2">
        <w:t>Attachment A: Standing Up for Small Business: Loss Carry-back and GST Threshold—financial implications</w:t>
      </w:r>
    </w:p>
    <w:p w:rsidR="000B5C96" w:rsidRPr="00DD09A2" w:rsidRDefault="000B5C96" w:rsidP="003F606A">
      <w:pPr>
        <w:pStyle w:val="Caption"/>
      </w:pPr>
      <w:r w:rsidRPr="00DD09A2">
        <w:t>Table A1: Combined impact of all components—Fiscal balance</w:t>
      </w:r>
      <w:r w:rsidRPr="00DD09A2">
        <w:rPr>
          <w:vertAlign w:val="superscript"/>
        </w:rPr>
        <w:t>(a)(b)</w:t>
      </w:r>
    </w:p>
    <w:tbl>
      <w:tblPr>
        <w:tblStyle w:val="TableGrid17"/>
        <w:tblW w:w="5031" w:type="pct"/>
        <w:tblLook w:val="0680" w:firstRow="0" w:lastRow="0" w:firstColumn="1" w:lastColumn="0" w:noHBand="1" w:noVBand="1"/>
      </w:tblPr>
      <w:tblGrid>
        <w:gridCol w:w="1525"/>
        <w:gridCol w:w="792"/>
        <w:gridCol w:w="909"/>
        <w:gridCol w:w="909"/>
        <w:gridCol w:w="909"/>
        <w:gridCol w:w="909"/>
        <w:gridCol w:w="909"/>
        <w:gridCol w:w="909"/>
        <w:gridCol w:w="909"/>
        <w:gridCol w:w="909"/>
        <w:gridCol w:w="909"/>
        <w:gridCol w:w="909"/>
        <w:gridCol w:w="909"/>
        <w:gridCol w:w="1021"/>
      </w:tblGrid>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ind w:left="57" w:right="57"/>
              <w:rPr>
                <w:szCs w:val="20"/>
              </w:rPr>
            </w:pPr>
            <w:r w:rsidRPr="00DD09A2">
              <w:rPr>
                <w:szCs w:val="20"/>
              </w:rPr>
              <w:t>($m)</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2016–17</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2017–18</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2018–19</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2019–20</w:t>
            </w:r>
          </w:p>
        </w:tc>
        <w:tc>
          <w:tcPr>
            <w:tcW w:w="35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vertAlign w:val="superscript"/>
              </w:rPr>
            </w:pPr>
            <w:r w:rsidRPr="00DD09A2">
              <w:rPr>
                <w:rFonts w:ascii="Calibri" w:hAnsi="Calibri"/>
                <w:b/>
              </w:rPr>
              <w:t>Total to 2019–20</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2020–21</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2021–22</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2022–23</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2023–24</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2024–25</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2025–26</w:t>
            </w:r>
          </w:p>
        </w:tc>
        <w:tc>
          <w:tcPr>
            <w:tcW w:w="35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2026–27</w:t>
            </w:r>
          </w:p>
        </w:tc>
        <w:tc>
          <w:tcPr>
            <w:tcW w:w="38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Total to 2026–27</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ind w:left="57" w:right="57"/>
              <w:rPr>
                <w:b/>
                <w:szCs w:val="20"/>
              </w:rPr>
            </w:pPr>
            <w:r w:rsidRPr="00DD09A2">
              <w:rPr>
                <w:b/>
                <w:szCs w:val="20"/>
              </w:rPr>
              <w:t>Revenue</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-2,100.0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-2,250.0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-2,400.0 </w:t>
            </w:r>
          </w:p>
        </w:tc>
        <w:tc>
          <w:tcPr>
            <w:tcW w:w="35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-6,750.0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-2,500.0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-2,350.0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-2,600.0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-2,750.0 </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-2,900.0 </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-3,050.0 </w:t>
            </w:r>
          </w:p>
        </w:tc>
        <w:tc>
          <w:tcPr>
            <w:tcW w:w="35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-3,200.0 </w:t>
            </w:r>
          </w:p>
        </w:tc>
        <w:tc>
          <w:tcPr>
            <w:tcW w:w="38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-26,100.0 </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ind w:left="57" w:right="57"/>
              <w:rPr>
                <w:b/>
              </w:rPr>
            </w:pPr>
            <w:r w:rsidRPr="00DD09A2">
              <w:rPr>
                <w:b/>
              </w:rPr>
              <w:t>Expenses</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-6.9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1,744.7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2,148.7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2,249.2 </w:t>
            </w:r>
          </w:p>
        </w:tc>
        <w:tc>
          <w:tcPr>
            <w:tcW w:w="35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6,135.7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2,350.0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2,450.0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2,600.0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2,750.0 </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2,900.0 </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3,050.0 </w:t>
            </w:r>
          </w:p>
        </w:tc>
        <w:tc>
          <w:tcPr>
            <w:tcW w:w="35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3,200.0 </w:t>
            </w:r>
          </w:p>
        </w:tc>
        <w:tc>
          <w:tcPr>
            <w:tcW w:w="38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25,435.7 </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ind w:left="57" w:right="57"/>
              <w:rPr>
                <w:szCs w:val="20"/>
              </w:rPr>
            </w:pPr>
            <w:r w:rsidRPr="00DD09A2">
              <w:rPr>
                <w:szCs w:val="20"/>
              </w:rPr>
              <w:t>Administered</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1,740.0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2,140.0 </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2,240.0 </w:t>
            </w:r>
          </w:p>
        </w:tc>
        <w:tc>
          <w:tcPr>
            <w:tcW w:w="35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 6,120.0 </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2,340.0 </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2,440.0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2,590.0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2,740.0 </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2,890.0 </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3,040.0 </w:t>
            </w:r>
          </w:p>
        </w:tc>
        <w:tc>
          <w:tcPr>
            <w:tcW w:w="35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3,190.0 </w:t>
            </w:r>
          </w:p>
        </w:tc>
        <w:tc>
          <w:tcPr>
            <w:tcW w:w="38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 25,350.0 </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ind w:left="57" w:right="57"/>
              <w:rPr>
                <w:szCs w:val="20"/>
              </w:rPr>
            </w:pPr>
            <w:r w:rsidRPr="00DD09A2">
              <w:rPr>
                <w:szCs w:val="20"/>
              </w:rPr>
              <w:t>Departmental</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DD09A2">
              <w:rPr>
                <w:rFonts w:ascii="Calibri" w:hAnsi="Calibri"/>
                <w:i/>
                <w:szCs w:val="20"/>
              </w:rPr>
              <w:t>-6.9</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DD09A2">
              <w:rPr>
                <w:rFonts w:ascii="Calibri" w:hAnsi="Calibri"/>
                <w:i/>
                <w:szCs w:val="20"/>
              </w:rPr>
              <w:t>4.7</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DD09A2">
              <w:rPr>
                <w:rFonts w:ascii="Calibri" w:hAnsi="Calibri"/>
                <w:i/>
                <w:szCs w:val="20"/>
              </w:rPr>
              <w:t>8.7</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DD09A2">
              <w:rPr>
                <w:rFonts w:ascii="Calibri" w:hAnsi="Calibri"/>
                <w:i/>
                <w:szCs w:val="20"/>
              </w:rPr>
              <w:t>9.2</w:t>
            </w:r>
          </w:p>
        </w:tc>
        <w:tc>
          <w:tcPr>
            <w:tcW w:w="35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DD09A2">
              <w:rPr>
                <w:rFonts w:ascii="Calibri" w:hAnsi="Calibri"/>
                <w:b/>
                <w:i/>
                <w:szCs w:val="20"/>
              </w:rPr>
              <w:t>15.7</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5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8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DD09A2">
              <w:rPr>
                <w:rFonts w:ascii="Calibri" w:hAnsi="Calibri"/>
                <w:b/>
                <w:i/>
                <w:szCs w:val="20"/>
              </w:rPr>
              <w:t>85.7</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ind w:left="57" w:right="57"/>
              <w:rPr>
                <w:b/>
                <w:szCs w:val="20"/>
              </w:rPr>
            </w:pPr>
            <w:r w:rsidRPr="00DD09A2">
              <w:rPr>
                <w:b/>
                <w:szCs w:val="20"/>
              </w:rPr>
              <w:t>Total</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-6.9 </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-355.3 </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-101.3 </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-150.8 </w:t>
            </w:r>
          </w:p>
        </w:tc>
        <w:tc>
          <w:tcPr>
            <w:tcW w:w="35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-614.3 </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-150.0 </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100.0 </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5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8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-664.3 </w:t>
            </w:r>
          </w:p>
        </w:tc>
      </w:tr>
    </w:tbl>
    <w:p w:rsidR="000B5C96" w:rsidRDefault="000B5C96" w:rsidP="002C08BC">
      <w:pPr>
        <w:pStyle w:val="Footnotes"/>
        <w:keepNext/>
        <w:keepLines/>
        <w:numPr>
          <w:ilvl w:val="0"/>
          <w:numId w:val="186"/>
        </w:numPr>
        <w:ind w:left="284" w:hanging="284"/>
      </w:pPr>
      <w:r w:rsidRPr="00DD09A2">
        <w:t xml:space="preserve">A positive number for the fiscal balance indicates an increase in revenue or decrease in expenses or net capital investment in accrual terms. A negative number for the fiscal balance indicates a decrease in revenue or an increase in expenses or net capital investment in accrual terms. </w:t>
      </w:r>
    </w:p>
    <w:p w:rsidR="000B5C96" w:rsidRPr="00DD09A2" w:rsidRDefault="000B5C96" w:rsidP="002C08BC">
      <w:pPr>
        <w:pStyle w:val="Footnotes"/>
        <w:keepNext/>
        <w:keepLines/>
        <w:numPr>
          <w:ilvl w:val="0"/>
          <w:numId w:val="186"/>
        </w:numPr>
        <w:ind w:left="284" w:hanging="284"/>
      </w:pPr>
      <w:r w:rsidRPr="00DD09A2">
        <w:t>Figures may not sum to totals due to rounding.</w:t>
      </w:r>
    </w:p>
    <w:p w:rsidR="000B5C96" w:rsidRPr="00DD09A2" w:rsidRDefault="000B5C96" w:rsidP="003F606A">
      <w:pPr>
        <w:pStyle w:val="Footnotes"/>
        <w:numPr>
          <w:ilvl w:val="0"/>
          <w:numId w:val="0"/>
        </w:numPr>
        <w:ind w:left="284" w:hanging="284"/>
      </w:pPr>
      <w:r w:rsidRPr="00DD09A2">
        <w:t>-</w:t>
      </w:r>
      <w:r w:rsidRPr="00DD09A2">
        <w:tab/>
        <w:t>Indicates nil.</w:t>
      </w:r>
    </w:p>
    <w:p w:rsidR="000B5C96" w:rsidRPr="00DD09A2" w:rsidRDefault="000B5C96" w:rsidP="003F606A">
      <w:pPr>
        <w:pStyle w:val="Caption"/>
      </w:pPr>
      <w:r w:rsidRPr="00DD09A2">
        <w:t>Table A2: Combined impact of all components—Underlying cash balance</w:t>
      </w:r>
      <w:r w:rsidRPr="00DD09A2">
        <w:rPr>
          <w:vertAlign w:val="superscript"/>
        </w:rPr>
        <w:t>(a)(b)</w:t>
      </w:r>
    </w:p>
    <w:tbl>
      <w:tblPr>
        <w:tblStyle w:val="TableGrid17"/>
        <w:tblW w:w="5031" w:type="pct"/>
        <w:tblLook w:val="0680" w:firstRow="0" w:lastRow="0" w:firstColumn="1" w:lastColumn="0" w:noHBand="1" w:noVBand="1"/>
      </w:tblPr>
      <w:tblGrid>
        <w:gridCol w:w="1525"/>
        <w:gridCol w:w="792"/>
        <w:gridCol w:w="909"/>
        <w:gridCol w:w="909"/>
        <w:gridCol w:w="909"/>
        <w:gridCol w:w="909"/>
        <w:gridCol w:w="909"/>
        <w:gridCol w:w="909"/>
        <w:gridCol w:w="909"/>
        <w:gridCol w:w="909"/>
        <w:gridCol w:w="909"/>
        <w:gridCol w:w="909"/>
        <w:gridCol w:w="909"/>
        <w:gridCol w:w="1021"/>
      </w:tblGrid>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ind w:left="57" w:right="57"/>
              <w:rPr>
                <w:szCs w:val="20"/>
              </w:rPr>
            </w:pPr>
            <w:r w:rsidRPr="00DD09A2">
              <w:rPr>
                <w:szCs w:val="20"/>
              </w:rPr>
              <w:t>($m)</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2016–17</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2017–18</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2018–19</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2019–20</w:t>
            </w:r>
          </w:p>
        </w:tc>
        <w:tc>
          <w:tcPr>
            <w:tcW w:w="35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vertAlign w:val="superscript"/>
              </w:rPr>
            </w:pPr>
            <w:r w:rsidRPr="00DD09A2">
              <w:rPr>
                <w:rFonts w:ascii="Calibri" w:hAnsi="Calibri"/>
                <w:b/>
              </w:rPr>
              <w:t>Total to 2019–20</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2020–21</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2021–22</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2022–23</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2023–24</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2024–25</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2025–26</w:t>
            </w:r>
          </w:p>
        </w:tc>
        <w:tc>
          <w:tcPr>
            <w:tcW w:w="35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2026–27</w:t>
            </w:r>
          </w:p>
        </w:tc>
        <w:tc>
          <w:tcPr>
            <w:tcW w:w="38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Total to 2026–27</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ind w:left="57" w:right="57"/>
              <w:rPr>
                <w:b/>
                <w:szCs w:val="20"/>
              </w:rPr>
            </w:pPr>
            <w:r w:rsidRPr="00DD09A2">
              <w:rPr>
                <w:b/>
                <w:szCs w:val="20"/>
              </w:rPr>
              <w:t>Receipts</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-1,800.0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-2,250.0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-2,400.0 </w:t>
            </w:r>
          </w:p>
        </w:tc>
        <w:tc>
          <w:tcPr>
            <w:tcW w:w="35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-6,450.0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-2,500.0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-2,350.0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-2,600.0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-2,750.0 </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-2,900.0 </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-3,050.0 </w:t>
            </w:r>
          </w:p>
        </w:tc>
        <w:tc>
          <w:tcPr>
            <w:tcW w:w="35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-3,200.0 </w:t>
            </w:r>
          </w:p>
        </w:tc>
        <w:tc>
          <w:tcPr>
            <w:tcW w:w="38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-25,800.0 </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ind w:left="57" w:right="57"/>
              <w:rPr>
                <w:b/>
              </w:rPr>
            </w:pPr>
            <w:r w:rsidRPr="00DD09A2">
              <w:rPr>
                <w:b/>
              </w:rPr>
              <w:t>Outlays</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-6.9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1,744.7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2,148.7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2,249.2 </w:t>
            </w:r>
          </w:p>
        </w:tc>
        <w:tc>
          <w:tcPr>
            <w:tcW w:w="35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6,135.7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2,350.0 </w:t>
            </w:r>
          </w:p>
        </w:tc>
        <w:tc>
          <w:tcPr>
            <w:tcW w:w="32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2,450.0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2,600.0 </w:t>
            </w:r>
          </w:p>
        </w:tc>
        <w:tc>
          <w:tcPr>
            <w:tcW w:w="321"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2,750.0 </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2,900.0 </w:t>
            </w:r>
          </w:p>
        </w:tc>
        <w:tc>
          <w:tcPr>
            <w:tcW w:w="32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3,050.0 </w:t>
            </w:r>
          </w:p>
        </w:tc>
        <w:tc>
          <w:tcPr>
            <w:tcW w:w="352"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3,200.0 </w:t>
            </w:r>
          </w:p>
        </w:tc>
        <w:tc>
          <w:tcPr>
            <w:tcW w:w="380" w:type="pct"/>
            <w:tcBorders>
              <w:top w:val="single" w:sz="4" w:space="0" w:color="788184"/>
              <w:left w:val="single" w:sz="4" w:space="0" w:color="788184"/>
              <w:bottom w:val="single" w:sz="4" w:space="0" w:color="788184"/>
              <w:right w:val="single" w:sz="4" w:space="0" w:color="788184"/>
            </w:tcBorders>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25,435.7 </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ind w:left="57" w:right="57"/>
              <w:rPr>
                <w:szCs w:val="20"/>
              </w:rPr>
            </w:pPr>
            <w:r w:rsidRPr="00DD09A2">
              <w:rPr>
                <w:szCs w:val="20"/>
              </w:rPr>
              <w:t>Administered</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1,740.0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2,140.0 </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2,240.0 </w:t>
            </w:r>
          </w:p>
        </w:tc>
        <w:tc>
          <w:tcPr>
            <w:tcW w:w="35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 6,120.0 </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2,340.0 </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2,440.0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2,590.0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2,740.0 </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2,890.0 </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3,040.0 </w:t>
            </w:r>
          </w:p>
        </w:tc>
        <w:tc>
          <w:tcPr>
            <w:tcW w:w="35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3,190.0 </w:t>
            </w:r>
          </w:p>
        </w:tc>
        <w:tc>
          <w:tcPr>
            <w:tcW w:w="38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 25,350.0 </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ind w:left="57" w:right="57"/>
              <w:rPr>
                <w:szCs w:val="20"/>
              </w:rPr>
            </w:pPr>
            <w:r w:rsidRPr="00DD09A2">
              <w:rPr>
                <w:szCs w:val="20"/>
              </w:rPr>
              <w:t>Departmental</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DD09A2">
              <w:rPr>
                <w:rFonts w:ascii="Calibri" w:hAnsi="Calibri"/>
                <w:i/>
                <w:szCs w:val="20"/>
              </w:rPr>
              <w:t>-6.9</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DD09A2">
              <w:rPr>
                <w:rFonts w:ascii="Calibri" w:hAnsi="Calibri"/>
                <w:i/>
                <w:szCs w:val="20"/>
              </w:rPr>
              <w:t>4.7</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DD09A2">
              <w:rPr>
                <w:rFonts w:ascii="Calibri" w:hAnsi="Calibri"/>
                <w:i/>
                <w:szCs w:val="20"/>
              </w:rPr>
              <w:t>8.7</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DD09A2">
              <w:rPr>
                <w:rFonts w:ascii="Calibri" w:hAnsi="Calibri"/>
                <w:i/>
                <w:szCs w:val="20"/>
              </w:rPr>
              <w:t>9.2</w:t>
            </w:r>
          </w:p>
        </w:tc>
        <w:tc>
          <w:tcPr>
            <w:tcW w:w="35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DD09A2">
              <w:rPr>
                <w:rFonts w:ascii="Calibri" w:hAnsi="Calibri"/>
                <w:b/>
                <w:i/>
                <w:szCs w:val="20"/>
              </w:rPr>
              <w:t>15.7</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1"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52"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80" w:type="pct"/>
            <w:tcBorders>
              <w:top w:val="single" w:sz="4" w:space="0" w:color="788184"/>
              <w:left w:val="single" w:sz="4" w:space="0" w:color="788184"/>
              <w:bottom w:val="single" w:sz="4" w:space="0" w:color="788184"/>
              <w:right w:val="single" w:sz="4" w:space="0" w:color="788184"/>
            </w:tcBorders>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DD09A2">
              <w:rPr>
                <w:rFonts w:ascii="Calibri" w:hAnsi="Calibri"/>
                <w:b/>
                <w:i/>
                <w:szCs w:val="20"/>
              </w:rPr>
              <w:t>85.7</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06"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ind w:left="57" w:right="57"/>
              <w:rPr>
                <w:b/>
                <w:szCs w:val="20"/>
              </w:rPr>
            </w:pPr>
            <w:r w:rsidRPr="00DD09A2">
              <w:rPr>
                <w:b/>
                <w:szCs w:val="20"/>
              </w:rPr>
              <w:t>Total</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-6.9 </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-55.3 </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-101.3 </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-150.8 </w:t>
            </w:r>
          </w:p>
        </w:tc>
        <w:tc>
          <w:tcPr>
            <w:tcW w:w="35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-314.3 </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-150.0 </w:t>
            </w:r>
          </w:p>
        </w:tc>
        <w:tc>
          <w:tcPr>
            <w:tcW w:w="32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100.0 </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1"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5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8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-364.3 </w:t>
            </w:r>
          </w:p>
        </w:tc>
      </w:tr>
    </w:tbl>
    <w:p w:rsidR="000B5C96" w:rsidRDefault="000B5C96" w:rsidP="002C08BC">
      <w:pPr>
        <w:pStyle w:val="Footnotes"/>
        <w:keepNext/>
        <w:keepLines/>
        <w:numPr>
          <w:ilvl w:val="0"/>
          <w:numId w:val="187"/>
        </w:numPr>
        <w:ind w:left="284" w:hanging="284"/>
      </w:pPr>
      <w:r w:rsidRPr="00DD09A2">
        <w:t xml:space="preserve">A positive number for the underlying cash balance indicates an increase in revenue or decrease in expenses or net capital investment in cash terms. A negative number for the underlying cash balance indicates a decrease in revenue or an increase in expenses or net capital investment in cash terms. </w:t>
      </w:r>
    </w:p>
    <w:p w:rsidR="000B5C96" w:rsidRPr="00DD09A2" w:rsidRDefault="000B5C96" w:rsidP="002C08BC">
      <w:pPr>
        <w:pStyle w:val="Footnotes"/>
        <w:keepNext/>
        <w:keepLines/>
        <w:numPr>
          <w:ilvl w:val="0"/>
          <w:numId w:val="187"/>
        </w:numPr>
        <w:ind w:left="284" w:hanging="284"/>
      </w:pPr>
      <w:r w:rsidRPr="00DD09A2">
        <w:t>Figures may not sum to totals due to rounding.</w:t>
      </w:r>
    </w:p>
    <w:p w:rsidR="000B5C96" w:rsidRPr="00DD09A2" w:rsidRDefault="000B5C96" w:rsidP="003F606A">
      <w:pPr>
        <w:pStyle w:val="Footnotes"/>
        <w:numPr>
          <w:ilvl w:val="0"/>
          <w:numId w:val="0"/>
        </w:numPr>
        <w:ind w:left="284" w:hanging="284"/>
      </w:pPr>
      <w:r w:rsidRPr="00DD09A2">
        <w:t>-</w:t>
      </w:r>
      <w:r w:rsidRPr="00DD09A2">
        <w:tab/>
        <w:t>Indicates nil.</w:t>
      </w:r>
    </w:p>
    <w:p w:rsidR="000B5C96" w:rsidRPr="00DD09A2" w:rsidRDefault="000B5C96" w:rsidP="003F606A">
      <w:pPr>
        <w:pStyle w:val="Caption"/>
        <w:rPr>
          <w:vertAlign w:val="superscript"/>
        </w:rPr>
      </w:pPr>
      <w:r w:rsidRPr="00DD09A2">
        <w:t>Table A3: Component 1: Reinstate loss carry back–Financial implications</w:t>
      </w:r>
      <w:r w:rsidRPr="00DD09A2">
        <w:rPr>
          <w:vertAlign w:val="superscript"/>
        </w:rPr>
        <w:t>(a)(b)</w:t>
      </w:r>
    </w:p>
    <w:tbl>
      <w:tblPr>
        <w:tblStyle w:val="TableGrid17"/>
        <w:tblW w:w="5003" w:type="pct"/>
        <w:tblLook w:val="0680" w:firstRow="0" w:lastRow="0" w:firstColumn="1" w:lastColumn="0" w:noHBand="1" w:noVBand="1"/>
      </w:tblPr>
      <w:tblGrid>
        <w:gridCol w:w="2017"/>
        <w:gridCol w:w="860"/>
        <w:gridCol w:w="860"/>
        <w:gridCol w:w="860"/>
        <w:gridCol w:w="860"/>
        <w:gridCol w:w="859"/>
        <w:gridCol w:w="859"/>
        <w:gridCol w:w="859"/>
        <w:gridCol w:w="859"/>
        <w:gridCol w:w="859"/>
        <w:gridCol w:w="859"/>
        <w:gridCol w:w="859"/>
        <w:gridCol w:w="859"/>
        <w:gridCol w:w="934"/>
      </w:tblGrid>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60" w:type="pct"/>
            <w:shd w:val="clear" w:color="auto" w:fill="D7DDE9"/>
          </w:tcPr>
          <w:p w:rsidR="000B5C96" w:rsidRPr="00DD09A2" w:rsidRDefault="000B5C96" w:rsidP="003F606A">
            <w:pPr>
              <w:keepNext/>
              <w:keepLines/>
              <w:ind w:left="57" w:right="57"/>
            </w:pPr>
            <w:r w:rsidRPr="00DD09A2">
              <w:t>($m)</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2016–17</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2017–18</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2018–19</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2019–20</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Total to 2019–20</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2020–21</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2021–22</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2022–23</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2023–24</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2024–25</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2025–26</w:t>
            </w:r>
          </w:p>
        </w:tc>
        <w:tc>
          <w:tcPr>
            <w:tcW w:w="324"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2026–27</w:t>
            </w:r>
          </w:p>
        </w:tc>
        <w:tc>
          <w:tcPr>
            <w:tcW w:w="348" w:type="pct"/>
            <w:shd w:val="clear" w:color="auto" w:fill="D7DDE9"/>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Total to 2026–27</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bottom w:val="single" w:sz="4" w:space="0" w:color="788184"/>
            </w:tcBorders>
            <w:shd w:val="clear" w:color="auto" w:fill="D7DDE9"/>
          </w:tcPr>
          <w:p w:rsidR="000B5C96" w:rsidRPr="00DD09A2" w:rsidRDefault="000B5C96" w:rsidP="003F606A">
            <w:pPr>
              <w:keepNext/>
              <w:keepLines/>
              <w:ind w:left="57" w:right="57"/>
              <w:rPr>
                <w:b/>
              </w:rPr>
            </w:pPr>
            <w:r w:rsidRPr="00DD09A2">
              <w:rPr>
                <w:b/>
              </w:rPr>
              <w:t xml:space="preserve">Impact on fiscal and underlying cash balances </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60" w:type="pct"/>
          </w:tcPr>
          <w:p w:rsidR="000B5C96" w:rsidRPr="00DD09A2" w:rsidRDefault="000B5C96" w:rsidP="003F606A">
            <w:pPr>
              <w:keepNext/>
              <w:keepLines/>
              <w:ind w:left="57" w:right="57"/>
              <w:rPr>
                <w:b/>
              </w:rPr>
            </w:pPr>
            <w:r w:rsidRPr="00DD09A2">
              <w:rPr>
                <w:b/>
              </w:rPr>
              <w:t>Revenue – Company tax</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-50.0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-100.0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-150.0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-300.0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-150.0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100.0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48"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-350.0 </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60" w:type="pct"/>
          </w:tcPr>
          <w:p w:rsidR="000B5C96" w:rsidRPr="00DD09A2" w:rsidRDefault="000B5C96" w:rsidP="003F606A">
            <w:pPr>
              <w:keepNext/>
              <w:keepLines/>
              <w:ind w:left="57" w:right="57"/>
              <w:rPr>
                <w:b/>
              </w:rPr>
            </w:pPr>
            <w:r w:rsidRPr="00DD09A2">
              <w:rPr>
                <w:b/>
              </w:rPr>
              <w:t>Expenses</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-6.9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-5.3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-1.3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-0.8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-14.3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48"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-14.3 </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60" w:type="pct"/>
          </w:tcPr>
          <w:p w:rsidR="000B5C96" w:rsidRPr="00DD09A2" w:rsidRDefault="000B5C96" w:rsidP="003F606A">
            <w:pPr>
              <w:keepNext/>
              <w:keepLines/>
              <w:ind w:left="57" w:right="57"/>
              <w:rPr>
                <w:i/>
              </w:rPr>
            </w:pPr>
            <w:r w:rsidRPr="00DD09A2">
              <w:rPr>
                <w:i/>
              </w:rPr>
              <w:t>Departmental – ATO</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-4.1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-3.4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-1.3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-0.8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-9.6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48"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-9.6 </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60" w:type="pct"/>
          </w:tcPr>
          <w:p w:rsidR="000B5C96" w:rsidRPr="00DD09A2" w:rsidRDefault="000B5C96" w:rsidP="003F606A">
            <w:pPr>
              <w:keepNext/>
              <w:keepLines/>
              <w:ind w:left="57" w:right="57"/>
              <w:rPr>
                <w:i/>
              </w:rPr>
            </w:pPr>
            <w:r w:rsidRPr="00DD09A2">
              <w:rPr>
                <w:i/>
              </w:rPr>
              <w:t xml:space="preserve">Departmental – capital </w:t>
            </w:r>
            <w:r w:rsidRPr="00DD09A2">
              <w:rPr>
                <w:i/>
              </w:rPr>
              <w:noBreakHyphen/>
              <w:t xml:space="preserve"> ATO</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-2.8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-1.9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-4.7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4"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48" w:type="pct"/>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-4.7 </w:t>
            </w:r>
          </w:p>
        </w:tc>
      </w:tr>
      <w:tr w:rsidR="000B5C96" w:rsidRPr="00DD09A2" w:rsidTr="003F606A">
        <w:trPr>
          <w:cantSplit/>
        </w:trPr>
        <w:tc>
          <w:tcPr>
            <w:cnfStyle w:val="001000000000" w:firstRow="0" w:lastRow="0" w:firstColumn="1" w:lastColumn="0" w:oddVBand="0" w:evenVBand="0" w:oddHBand="0" w:evenHBand="0" w:firstRowFirstColumn="0" w:firstRowLastColumn="0" w:lastRowFirstColumn="0" w:lastRowLastColumn="0"/>
            <w:tcW w:w="760" w:type="pct"/>
            <w:shd w:val="clear" w:color="auto" w:fill="E9ECF3"/>
          </w:tcPr>
          <w:p w:rsidR="000B5C96" w:rsidRPr="00DD09A2" w:rsidRDefault="000B5C96" w:rsidP="003F606A">
            <w:pPr>
              <w:keepNext/>
              <w:keepLines/>
              <w:ind w:left="57" w:right="57"/>
              <w:rPr>
                <w:b/>
              </w:rPr>
            </w:pPr>
            <w:r w:rsidRPr="00DD09A2">
              <w:rPr>
                <w:b/>
              </w:rPr>
              <w:t>Total</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-6.9 </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-55.3 </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-101.3 </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-150.8 </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-314.3 </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-150.0 </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100.0 </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48" w:type="pct"/>
            <w:shd w:val="clear" w:color="auto" w:fill="E9ECF3"/>
          </w:tcPr>
          <w:p w:rsidR="000B5C96" w:rsidRPr="00DD09A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-364.3 </w:t>
            </w:r>
          </w:p>
        </w:tc>
      </w:tr>
    </w:tbl>
    <w:p w:rsidR="000B5C96" w:rsidRDefault="000B5C96" w:rsidP="002C08BC">
      <w:pPr>
        <w:pStyle w:val="Footnotes"/>
        <w:keepNext/>
        <w:keepLines/>
        <w:numPr>
          <w:ilvl w:val="0"/>
          <w:numId w:val="188"/>
        </w:numPr>
        <w:ind w:left="284" w:hanging="284"/>
      </w:pPr>
      <w:r w:rsidRPr="00DD09A2">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DD09A2" w:rsidRDefault="000B5C96" w:rsidP="002C08BC">
      <w:pPr>
        <w:pStyle w:val="Footnotes"/>
        <w:keepNext/>
        <w:keepLines/>
        <w:numPr>
          <w:ilvl w:val="0"/>
          <w:numId w:val="188"/>
        </w:numPr>
        <w:ind w:left="284" w:hanging="284"/>
      </w:pPr>
      <w:r w:rsidRPr="00DD09A2">
        <w:t>Figures may not sum to totals due to rounding.</w:t>
      </w:r>
    </w:p>
    <w:p w:rsidR="000B5C96" w:rsidRPr="00DD09A2" w:rsidRDefault="000B5C96" w:rsidP="003F606A">
      <w:pPr>
        <w:pStyle w:val="Footnotes"/>
        <w:keepNext/>
        <w:keepLines/>
        <w:numPr>
          <w:ilvl w:val="0"/>
          <w:numId w:val="0"/>
        </w:numPr>
        <w:ind w:left="284" w:hanging="284"/>
      </w:pPr>
      <w:r w:rsidRPr="00DD09A2">
        <w:t>..</w:t>
      </w:r>
      <w:r w:rsidRPr="00DD09A2">
        <w:tab/>
        <w:t>Not zero but rounded to zero.</w:t>
      </w:r>
    </w:p>
    <w:p w:rsidR="000B5C96" w:rsidRPr="00DD09A2" w:rsidRDefault="000B5C96" w:rsidP="003F606A">
      <w:pPr>
        <w:pStyle w:val="Footnotes"/>
        <w:numPr>
          <w:ilvl w:val="0"/>
          <w:numId w:val="0"/>
        </w:numPr>
        <w:ind w:left="284" w:hanging="284"/>
      </w:pPr>
      <w:r w:rsidRPr="00DD09A2">
        <w:t>-</w:t>
      </w:r>
      <w:r w:rsidRPr="00DD09A2">
        <w:tab/>
        <w:t>Indicates nil.</w:t>
      </w:r>
    </w:p>
    <w:p w:rsidR="000B5C96" w:rsidRPr="00DD09A2" w:rsidRDefault="000B5C96" w:rsidP="003F606A">
      <w:pPr>
        <w:pStyle w:val="Caption"/>
        <w:rPr>
          <w:vertAlign w:val="superscript"/>
        </w:rPr>
      </w:pPr>
      <w:r w:rsidRPr="00DD09A2">
        <w:t>Table A4: Component 2: Increase GST registration threshold–Fiscal balance</w:t>
      </w:r>
      <w:r w:rsidRPr="00DD09A2">
        <w:rPr>
          <w:vertAlign w:val="superscript"/>
        </w:rPr>
        <w:t>(a)(b)</w:t>
      </w:r>
    </w:p>
    <w:tbl>
      <w:tblPr>
        <w:tblStyle w:val="TableGrid17"/>
        <w:tblW w:w="5105" w:type="pct"/>
        <w:tblLayout w:type="fixed"/>
        <w:tblLook w:val="0680" w:firstRow="0" w:lastRow="0" w:firstColumn="1" w:lastColumn="0" w:noHBand="1" w:noVBand="1"/>
      </w:tblPr>
      <w:tblGrid>
        <w:gridCol w:w="2026"/>
        <w:gridCol w:w="879"/>
        <w:gridCol w:w="879"/>
        <w:gridCol w:w="880"/>
        <w:gridCol w:w="880"/>
        <w:gridCol w:w="880"/>
        <w:gridCol w:w="880"/>
        <w:gridCol w:w="880"/>
        <w:gridCol w:w="877"/>
        <w:gridCol w:w="877"/>
        <w:gridCol w:w="877"/>
        <w:gridCol w:w="877"/>
        <w:gridCol w:w="877"/>
        <w:gridCol w:w="964"/>
      </w:tblGrid>
      <w:tr w:rsidR="00CC75A5"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9" w:type="pct"/>
            <w:shd w:val="clear" w:color="auto" w:fill="D7DDE9"/>
          </w:tcPr>
          <w:p w:rsidR="000B5C96" w:rsidRPr="00DD09A2" w:rsidRDefault="000B5C96" w:rsidP="003F606A">
            <w:pPr>
              <w:keepNext/>
              <w:keepLines/>
              <w:ind w:left="57" w:right="57"/>
            </w:pPr>
            <w:r w:rsidRPr="00DD09A2">
              <w:t>($m)</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2016–17</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2017–18</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2018–19</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2019–20</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Total to 2019–20</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2020–21</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2021–22</w:t>
            </w:r>
          </w:p>
        </w:tc>
        <w:tc>
          <w:tcPr>
            <w:tcW w:w="324"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2022–23</w:t>
            </w:r>
          </w:p>
        </w:tc>
        <w:tc>
          <w:tcPr>
            <w:tcW w:w="324"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2023–24</w:t>
            </w:r>
          </w:p>
        </w:tc>
        <w:tc>
          <w:tcPr>
            <w:tcW w:w="324"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2024–25</w:t>
            </w:r>
          </w:p>
        </w:tc>
        <w:tc>
          <w:tcPr>
            <w:tcW w:w="324"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2025–26</w:t>
            </w:r>
          </w:p>
        </w:tc>
        <w:tc>
          <w:tcPr>
            <w:tcW w:w="324"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2026–27</w:t>
            </w:r>
          </w:p>
        </w:tc>
        <w:tc>
          <w:tcPr>
            <w:tcW w:w="356"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Total to 2026–27</w:t>
            </w:r>
          </w:p>
        </w:tc>
      </w:tr>
      <w:tr w:rsidR="00CC75A5"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9" w:type="pct"/>
          </w:tcPr>
          <w:p w:rsidR="000B5C96" w:rsidRPr="00DD09A2" w:rsidRDefault="000B5C96" w:rsidP="003F606A">
            <w:pPr>
              <w:keepNext/>
              <w:keepLines/>
              <w:ind w:left="57" w:right="57"/>
              <w:rPr>
                <w:b/>
              </w:rPr>
            </w:pPr>
            <w:r w:rsidRPr="00DD09A2">
              <w:rPr>
                <w:b/>
              </w:rPr>
              <w:t>Revenue – GST</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-2,050.0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-2,150.0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-2,250.0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-6,450.0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-2,350.0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-2,450.0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-2,600.0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-2,750.0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-2,900.0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-3,050.0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-3,200.0 </w:t>
            </w:r>
          </w:p>
        </w:tc>
        <w:tc>
          <w:tcPr>
            <w:tcW w:w="356"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-25,750.0 </w:t>
            </w:r>
          </w:p>
        </w:tc>
      </w:tr>
      <w:tr w:rsidR="00CC75A5"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9" w:type="pct"/>
          </w:tcPr>
          <w:p w:rsidR="000B5C96" w:rsidRPr="00DD09A2" w:rsidRDefault="000B5C96" w:rsidP="003F606A">
            <w:pPr>
              <w:keepNext/>
              <w:keepLines/>
              <w:ind w:left="57" w:right="57"/>
              <w:rPr>
                <w:b/>
              </w:rPr>
            </w:pPr>
            <w:r w:rsidRPr="00DD09A2">
              <w:rPr>
                <w:b/>
              </w:rPr>
              <w:t>Expenses</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1,750.0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2,150.0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2,250.0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6,150.0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2,350.0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2,450.0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2,600.0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2,750.0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2,900.0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3,050.0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3,200.0 </w:t>
            </w:r>
          </w:p>
        </w:tc>
        <w:tc>
          <w:tcPr>
            <w:tcW w:w="356"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25,450.0 </w:t>
            </w:r>
          </w:p>
        </w:tc>
      </w:tr>
      <w:tr w:rsidR="00CC75A5"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9" w:type="pct"/>
          </w:tcPr>
          <w:p w:rsidR="000B5C96" w:rsidRPr="00DD09A2" w:rsidRDefault="000B5C96" w:rsidP="003F606A">
            <w:pPr>
              <w:keepNext/>
              <w:keepLines/>
              <w:ind w:left="57" w:right="57"/>
              <w:rPr>
                <w:i/>
              </w:rPr>
            </w:pPr>
            <w:r w:rsidRPr="00DD09A2">
              <w:rPr>
                <w:i/>
              </w:rPr>
              <w:t>Administered – GST</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1,740.0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2,140.0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2,240.0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6,120.0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2,340.0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2,440.0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2,590.0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2,740.0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2,890.0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3,040.0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3,190.0 </w:t>
            </w:r>
          </w:p>
        </w:tc>
        <w:tc>
          <w:tcPr>
            <w:tcW w:w="356"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25,350.0 </w:t>
            </w:r>
          </w:p>
        </w:tc>
      </w:tr>
      <w:tr w:rsidR="00CC75A5"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9" w:type="pct"/>
          </w:tcPr>
          <w:p w:rsidR="000B5C96" w:rsidRPr="00DD09A2" w:rsidRDefault="000B5C96" w:rsidP="003F606A">
            <w:pPr>
              <w:keepNext/>
              <w:keepLines/>
              <w:ind w:left="57" w:right="57"/>
              <w:rPr>
                <w:i/>
              </w:rPr>
            </w:pPr>
            <w:r w:rsidRPr="00DD09A2">
              <w:rPr>
                <w:i/>
              </w:rPr>
              <w:t>Departmental – ATO</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 30.0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56"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 100.0 </w:t>
            </w:r>
          </w:p>
        </w:tc>
      </w:tr>
      <w:tr w:rsidR="00CC75A5"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9" w:type="pct"/>
            <w:shd w:val="clear" w:color="auto" w:fill="E9ECF3"/>
          </w:tcPr>
          <w:p w:rsidR="000B5C96" w:rsidRPr="00DD09A2" w:rsidRDefault="000B5C96" w:rsidP="003F606A">
            <w:pPr>
              <w:keepNext/>
              <w:keepLines/>
              <w:ind w:left="57" w:right="57"/>
              <w:rPr>
                <w:b/>
              </w:rPr>
            </w:pPr>
            <w:r w:rsidRPr="00DD09A2">
              <w:rPr>
                <w:b/>
              </w:rPr>
              <w:t>Total</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-300.0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-300.0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4"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56"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-300.0 </w:t>
            </w:r>
          </w:p>
        </w:tc>
      </w:tr>
    </w:tbl>
    <w:p w:rsidR="000B5C96" w:rsidRDefault="000B5C96" w:rsidP="002C08BC">
      <w:pPr>
        <w:pStyle w:val="Footnotes"/>
        <w:keepNext/>
        <w:keepLines/>
        <w:numPr>
          <w:ilvl w:val="0"/>
          <w:numId w:val="189"/>
        </w:numPr>
        <w:ind w:left="284" w:hanging="284"/>
      </w:pPr>
      <w:r w:rsidRPr="00DD09A2">
        <w:t xml:space="preserve">A positive number for the fiscal balance indicates an increase in revenue or decrease in expenses or net capital investment in accrual terms. A negative number for the fiscal balance indicates a decrease in revenue or an increase in expenses or net capital investment in accrual terms. </w:t>
      </w:r>
    </w:p>
    <w:p w:rsidR="000B5C96" w:rsidRPr="00DD09A2" w:rsidRDefault="000B5C96" w:rsidP="002C08BC">
      <w:pPr>
        <w:pStyle w:val="Footnotes"/>
        <w:keepNext/>
        <w:keepLines/>
        <w:numPr>
          <w:ilvl w:val="0"/>
          <w:numId w:val="189"/>
        </w:numPr>
        <w:ind w:left="284" w:hanging="284"/>
      </w:pPr>
      <w:r w:rsidRPr="00DD09A2">
        <w:t>Figures may not sum to totals due to rounding.</w:t>
      </w:r>
    </w:p>
    <w:p w:rsidR="000B5C96" w:rsidRPr="00DD09A2" w:rsidRDefault="000B5C96" w:rsidP="003F606A">
      <w:pPr>
        <w:pStyle w:val="Footnotes"/>
        <w:numPr>
          <w:ilvl w:val="0"/>
          <w:numId w:val="0"/>
        </w:numPr>
        <w:ind w:left="284" w:hanging="284"/>
      </w:pPr>
      <w:r w:rsidRPr="00DD09A2">
        <w:t>-</w:t>
      </w:r>
      <w:r w:rsidRPr="00DD09A2">
        <w:tab/>
        <w:t>Indicates nil.</w:t>
      </w:r>
    </w:p>
    <w:p w:rsidR="000B5C96" w:rsidRPr="00DD09A2" w:rsidRDefault="000B5C96" w:rsidP="003F606A">
      <w:pPr>
        <w:pStyle w:val="Caption"/>
        <w:rPr>
          <w:vertAlign w:val="superscript"/>
        </w:rPr>
      </w:pPr>
      <w:r w:rsidRPr="00DD09A2">
        <w:t>Table A5: Component 2: Increase GST registration threshold–Underlying cash balance</w:t>
      </w:r>
      <w:r w:rsidRPr="00DD09A2">
        <w:rPr>
          <w:vertAlign w:val="superscript"/>
        </w:rPr>
        <w:t>(a)(b)</w:t>
      </w:r>
    </w:p>
    <w:tbl>
      <w:tblPr>
        <w:tblStyle w:val="TableGrid17"/>
        <w:tblW w:w="5110" w:type="pct"/>
        <w:tblLook w:val="0680" w:firstRow="0" w:lastRow="0" w:firstColumn="1" w:lastColumn="0" w:noHBand="1" w:noVBand="1"/>
      </w:tblPr>
      <w:tblGrid>
        <w:gridCol w:w="2023"/>
        <w:gridCol w:w="877"/>
        <w:gridCol w:w="880"/>
        <w:gridCol w:w="880"/>
        <w:gridCol w:w="880"/>
        <w:gridCol w:w="881"/>
        <w:gridCol w:w="881"/>
        <w:gridCol w:w="881"/>
        <w:gridCol w:w="881"/>
        <w:gridCol w:w="881"/>
        <w:gridCol w:w="881"/>
        <w:gridCol w:w="881"/>
        <w:gridCol w:w="881"/>
        <w:gridCol w:w="959"/>
      </w:tblGrid>
      <w:tr w:rsidR="000B5C96"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7" w:type="pct"/>
            <w:shd w:val="clear" w:color="auto" w:fill="D7DDE9"/>
          </w:tcPr>
          <w:p w:rsidR="000B5C96" w:rsidRPr="00DD09A2" w:rsidRDefault="000B5C96" w:rsidP="00CC75A5">
            <w:pPr>
              <w:keepNext/>
              <w:keepLines/>
              <w:ind w:left="57" w:right="57"/>
            </w:pPr>
            <w:r w:rsidRPr="00DD09A2">
              <w:t>($m)</w:t>
            </w:r>
          </w:p>
        </w:tc>
        <w:tc>
          <w:tcPr>
            <w:tcW w:w="324"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2016–17</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2017–18</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2018–19</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2019–20</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Total to 2019–20</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2020–21</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2021–22</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2022–23</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2023–24</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2024–25</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2025–26</w:t>
            </w:r>
          </w:p>
        </w:tc>
        <w:tc>
          <w:tcPr>
            <w:tcW w:w="325"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D09A2">
              <w:rPr>
                <w:rFonts w:ascii="Calibri" w:hAnsi="Calibri"/>
              </w:rPr>
              <w:t>2026–27</w:t>
            </w:r>
          </w:p>
        </w:tc>
        <w:tc>
          <w:tcPr>
            <w:tcW w:w="354" w:type="pct"/>
            <w:shd w:val="clear" w:color="auto" w:fill="D7DDE9"/>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Total to 2026–27</w:t>
            </w:r>
          </w:p>
        </w:tc>
      </w:tr>
      <w:tr w:rsidR="000B5C96"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7" w:type="pct"/>
          </w:tcPr>
          <w:p w:rsidR="000B5C96" w:rsidRPr="00DD09A2" w:rsidRDefault="000B5C96" w:rsidP="00CC75A5">
            <w:pPr>
              <w:keepNext/>
              <w:keepLines/>
              <w:ind w:left="57" w:right="57"/>
              <w:rPr>
                <w:b/>
              </w:rPr>
            </w:pPr>
            <w:r w:rsidRPr="00DD09A2">
              <w:rPr>
                <w:b/>
              </w:rPr>
              <w:t>Receipts – GST</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-1,750.0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-2,150.0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-2,250.0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-6,150.0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-2,350.0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-2,450.0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-2,600.0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-2,750.0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-2,900.0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-3,050.0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-3,200.0 </w:t>
            </w:r>
          </w:p>
        </w:tc>
        <w:tc>
          <w:tcPr>
            <w:tcW w:w="35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-25,450.0 </w:t>
            </w:r>
          </w:p>
        </w:tc>
      </w:tr>
      <w:tr w:rsidR="000B5C96"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7" w:type="pct"/>
          </w:tcPr>
          <w:p w:rsidR="000B5C96" w:rsidRPr="00DD09A2" w:rsidRDefault="000B5C96" w:rsidP="00CC75A5">
            <w:pPr>
              <w:keepNext/>
              <w:keepLines/>
              <w:ind w:left="57" w:right="57"/>
              <w:rPr>
                <w:b/>
              </w:rPr>
            </w:pPr>
            <w:r w:rsidRPr="00DD09A2">
              <w:rPr>
                <w:b/>
              </w:rPr>
              <w:t>Outlays</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1,750.0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2,150.0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2,250.0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6,150.0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2,350.0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2,450.0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2,600.0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2,750.0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2,900.0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3,050.0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3,200.0 </w:t>
            </w:r>
          </w:p>
        </w:tc>
        <w:tc>
          <w:tcPr>
            <w:tcW w:w="35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25,450.0 </w:t>
            </w:r>
          </w:p>
        </w:tc>
      </w:tr>
      <w:tr w:rsidR="000B5C96"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7" w:type="pct"/>
          </w:tcPr>
          <w:p w:rsidR="000B5C96" w:rsidRPr="00DD09A2" w:rsidRDefault="000B5C96" w:rsidP="00CC75A5">
            <w:pPr>
              <w:keepNext/>
              <w:keepLines/>
              <w:ind w:left="57" w:right="57"/>
              <w:rPr>
                <w:i/>
              </w:rPr>
            </w:pPr>
            <w:r w:rsidRPr="00DD09A2">
              <w:rPr>
                <w:i/>
              </w:rPr>
              <w:t>Administered – GST</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1,740.0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2,140.0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2,240.0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6,120.0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2,340.0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2,440.0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2,590.0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2,740.0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2,890.0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3,040.0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3,190.0 </w:t>
            </w:r>
          </w:p>
        </w:tc>
        <w:tc>
          <w:tcPr>
            <w:tcW w:w="35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25,350.0 </w:t>
            </w:r>
          </w:p>
        </w:tc>
      </w:tr>
      <w:tr w:rsidR="000B5C96"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7" w:type="pct"/>
          </w:tcPr>
          <w:p w:rsidR="000B5C96" w:rsidRPr="00DD09A2" w:rsidRDefault="000B5C96" w:rsidP="00CC75A5">
            <w:pPr>
              <w:keepNext/>
              <w:keepLines/>
              <w:ind w:left="57" w:right="57"/>
              <w:rPr>
                <w:i/>
              </w:rPr>
            </w:pPr>
            <w:r w:rsidRPr="00DD09A2">
              <w:rPr>
                <w:i/>
              </w:rPr>
              <w:t>Departmental – ATO</w:t>
            </w:r>
          </w:p>
        </w:tc>
        <w:tc>
          <w:tcPr>
            <w:tcW w:w="32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 30.0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25"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D09A2">
              <w:rPr>
                <w:rFonts w:ascii="Calibri" w:hAnsi="Calibri"/>
                <w:i/>
              </w:rPr>
              <w:t xml:space="preserve"> 10.0 </w:t>
            </w:r>
          </w:p>
        </w:tc>
        <w:tc>
          <w:tcPr>
            <w:tcW w:w="354" w:type="pct"/>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D09A2">
              <w:rPr>
                <w:rFonts w:ascii="Calibri" w:hAnsi="Calibri"/>
                <w:b/>
                <w:i/>
              </w:rPr>
              <w:t xml:space="preserve"> 100.0 </w:t>
            </w:r>
          </w:p>
        </w:tc>
      </w:tr>
      <w:tr w:rsidR="000B5C96" w:rsidRPr="00DD09A2" w:rsidTr="00CC75A5">
        <w:trPr>
          <w:cantSplit/>
        </w:trPr>
        <w:tc>
          <w:tcPr>
            <w:cnfStyle w:val="001000000000" w:firstRow="0" w:lastRow="0" w:firstColumn="1" w:lastColumn="0" w:oddVBand="0" w:evenVBand="0" w:oddHBand="0" w:evenHBand="0" w:firstRowFirstColumn="0" w:firstRowLastColumn="0" w:lastRowFirstColumn="0" w:lastRowLastColumn="0"/>
            <w:tcW w:w="747" w:type="pct"/>
            <w:shd w:val="clear" w:color="auto" w:fill="E9ECF3"/>
          </w:tcPr>
          <w:p w:rsidR="000B5C96" w:rsidRPr="00DD09A2" w:rsidRDefault="000B5C96" w:rsidP="00CC75A5">
            <w:pPr>
              <w:keepNext/>
              <w:keepLines/>
              <w:ind w:left="57" w:right="57"/>
              <w:rPr>
                <w:b/>
              </w:rPr>
            </w:pPr>
            <w:r w:rsidRPr="00DD09A2">
              <w:rPr>
                <w:b/>
              </w:rPr>
              <w:t>Total</w:t>
            </w:r>
          </w:p>
        </w:tc>
        <w:tc>
          <w:tcPr>
            <w:tcW w:w="324"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25"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   </w:t>
            </w:r>
          </w:p>
        </w:tc>
        <w:tc>
          <w:tcPr>
            <w:tcW w:w="354" w:type="pct"/>
            <w:shd w:val="clear" w:color="auto" w:fill="E9ECF3"/>
          </w:tcPr>
          <w:p w:rsidR="000B5C96" w:rsidRPr="00DD09A2" w:rsidRDefault="000B5C96" w:rsidP="00CC75A5">
            <w:pPr>
              <w:keepNext/>
              <w:keepLines/>
              <w:ind w:left="0" w:righ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D09A2">
              <w:rPr>
                <w:rFonts w:ascii="Calibri" w:hAnsi="Calibri"/>
                <w:b/>
              </w:rPr>
              <w:t xml:space="preserve">- </w:t>
            </w:r>
          </w:p>
        </w:tc>
      </w:tr>
    </w:tbl>
    <w:p w:rsidR="000B5C96" w:rsidRDefault="000B5C96" w:rsidP="002C08BC">
      <w:pPr>
        <w:pStyle w:val="Footnotes"/>
        <w:keepNext/>
        <w:keepLines/>
        <w:numPr>
          <w:ilvl w:val="0"/>
          <w:numId w:val="190"/>
        </w:numPr>
        <w:ind w:left="284" w:hanging="284"/>
      </w:pPr>
      <w:r w:rsidRPr="00DD09A2">
        <w:t xml:space="preserve">A positive number for the underlying cash balance indicates an increase in receipts or decrease in outlays or net capital investment in cash terms. A negative number for the underlying cash balance indicates a decrease in receipts or an increase in outlays or net capital investment in cash terms. </w:t>
      </w:r>
    </w:p>
    <w:p w:rsidR="000B5C96" w:rsidRPr="00DD09A2" w:rsidRDefault="000B5C96" w:rsidP="002C08BC">
      <w:pPr>
        <w:pStyle w:val="Footnotes"/>
        <w:keepNext/>
        <w:keepLines/>
        <w:numPr>
          <w:ilvl w:val="0"/>
          <w:numId w:val="190"/>
        </w:numPr>
        <w:ind w:left="284" w:hanging="284"/>
      </w:pPr>
      <w:r w:rsidRPr="00DD09A2">
        <w:t>Figures may not sum to totals due to rounding.</w:t>
      </w:r>
    </w:p>
    <w:p w:rsidR="000B5C96" w:rsidRDefault="000B5C96" w:rsidP="003F606A">
      <w:pPr>
        <w:pStyle w:val="Footnotes"/>
        <w:numPr>
          <w:ilvl w:val="0"/>
          <w:numId w:val="0"/>
        </w:numPr>
        <w:ind w:left="284" w:hanging="284"/>
      </w:pPr>
      <w:r w:rsidRPr="00DD09A2">
        <w:t>-</w:t>
      </w:r>
      <w:r w:rsidRPr="00DD09A2">
        <w:tab/>
        <w:t>Indicates nil.</w:t>
      </w:r>
    </w:p>
    <w:p w:rsidR="000B5C96" w:rsidRDefault="000B5C96" w:rsidP="003F606A">
      <w:pPr>
        <w:pStyle w:val="BodyText"/>
        <w:sectPr w:rsidR="000B5C96" w:rsidSect="003F606A">
          <w:headerReference w:type="even" r:id="rId414"/>
          <w:headerReference w:type="default" r:id="rId415"/>
          <w:footerReference w:type="even" r:id="rId416"/>
          <w:footerReference w:type="default" r:id="rId417"/>
          <w:footnotePr>
            <w:numRestart w:val="eachSect"/>
          </w:footnotePr>
          <w:pgSz w:w="16839" w:h="11907" w:orient="landscape" w:code="9"/>
          <w:pgMar w:top="1361" w:right="1797" w:bottom="1474" w:left="1797" w:header="283" w:footer="454" w:gutter="0"/>
          <w:cols w:space="708"/>
          <w:docGrid w:linePitch="360"/>
        </w:sectPr>
      </w:pPr>
    </w:p>
    <w:p w:rsidR="000B5C96" w:rsidRDefault="000B5C96" w:rsidP="003F606A">
      <w:pPr>
        <w:pStyle w:val="Heading5"/>
        <w:spacing w:before="0"/>
      </w:pPr>
      <w:bookmarkStart w:id="145" w:name="_Toc457979360"/>
      <w:bookmarkStart w:id="146" w:name="_Toc458069218"/>
      <w:r>
        <w:t>GRN043: Towards a Republic</w:t>
      </w:r>
      <w:bookmarkEnd w:id="145"/>
      <w:bookmarkEnd w:id="146"/>
    </w:p>
    <w:p w:rsidR="000B5C96" w:rsidRPr="009C09D3" w:rsidRDefault="000B5C96" w:rsidP="003F606A">
      <w:pPr>
        <w:pStyle w:val="BodyText"/>
      </w:pPr>
      <w:r w:rsidRPr="009C09D3">
        <w:rPr>
          <w:noProof/>
          <w:lang w:eastAsia="en-AU"/>
        </w:rPr>
        <w:drawing>
          <wp:inline distT="0" distB="0" distL="0" distR="0" wp14:anchorId="70F212A5" wp14:editId="11C230F7">
            <wp:extent cx="2696845" cy="572135"/>
            <wp:effectExtent l="0" t="0" r="8255" b="0"/>
            <wp:docPr id="33" name="Picture 3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C02B5E" w:rsidRDefault="000B5C96" w:rsidP="000B5C96">
      <w:pPr>
        <w:pStyle w:val="Heading6"/>
        <w:numPr>
          <w:ilvl w:val="0"/>
          <w:numId w:val="5"/>
        </w:numPr>
        <w:tabs>
          <w:tab w:val="clear" w:pos="0"/>
          <w:tab w:val="num" w:pos="360"/>
          <w:tab w:val="right" w:pos="1418"/>
          <w:tab w:val="right" w:pos="1701"/>
          <w:tab w:val="right" w:pos="1985"/>
        </w:tabs>
      </w:pPr>
      <w:r w:rsidRPr="00C02B5E">
        <w:t>Policy costing—during the caretaker period for the 2016 general election</w:t>
      </w:r>
    </w:p>
    <w:tbl>
      <w:tblPr>
        <w:tblStyle w:val="Style15"/>
        <w:tblW w:w="8340" w:type="dxa"/>
        <w:tblLook w:val="04A0" w:firstRow="1" w:lastRow="0" w:firstColumn="1" w:lastColumn="0" w:noHBand="0" w:noVBand="1"/>
      </w:tblPr>
      <w:tblGrid>
        <w:gridCol w:w="3005"/>
        <w:gridCol w:w="5335"/>
      </w:tblGrid>
      <w:tr w:rsidR="000B5C96" w:rsidRPr="00862AB8" w:rsidTr="001D163D">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862AB8" w:rsidRDefault="000B5C96" w:rsidP="001D163D">
            <w:pPr>
              <w:pStyle w:val="PullOutBoxHeading"/>
              <w:ind w:left="0" w:right="0"/>
              <w:rPr>
                <w:b w:val="0"/>
              </w:rPr>
            </w:pPr>
            <w:r w:rsidRPr="00862AB8">
              <w:t>Name of proposal:</w:t>
            </w:r>
          </w:p>
        </w:tc>
        <w:tc>
          <w:tcPr>
            <w:tcW w:w="5335" w:type="dxa"/>
          </w:tcPr>
          <w:p w:rsidR="000B5C96" w:rsidRPr="00862AB8" w:rsidRDefault="000B5C96" w:rsidP="001D163D">
            <w:pPr>
              <w:pStyle w:val="PullOutBoxHeading"/>
              <w:ind w:left="0" w:right="0"/>
              <w:rPr>
                <w:b w:val="0"/>
              </w:rPr>
            </w:pPr>
            <w:r w:rsidRPr="00862AB8">
              <w:t>Towards a Republic</w:t>
            </w:r>
          </w:p>
        </w:tc>
      </w:tr>
      <w:tr w:rsidR="000B5C96" w:rsidRPr="00C02B5E" w:rsidTr="001D163D">
        <w:tc>
          <w:tcPr>
            <w:tcW w:w="3005" w:type="dxa"/>
          </w:tcPr>
          <w:p w:rsidR="000B5C96" w:rsidRPr="00C02B5E" w:rsidRDefault="000B5C96" w:rsidP="001D163D">
            <w:pPr>
              <w:pStyle w:val="PullOutBoxBodyText"/>
              <w:ind w:left="0" w:right="0"/>
            </w:pPr>
            <w:r w:rsidRPr="00C02B5E">
              <w:t>Summary of proposal:</w:t>
            </w:r>
          </w:p>
        </w:tc>
        <w:tc>
          <w:tcPr>
            <w:tcW w:w="5335" w:type="dxa"/>
          </w:tcPr>
          <w:p w:rsidR="000B5C96" w:rsidRPr="00C02B5E" w:rsidRDefault="000B5C96" w:rsidP="001D163D">
            <w:pPr>
              <w:pStyle w:val="PullOutBoxBodyText"/>
              <w:ind w:left="0" w:right="0"/>
            </w:pPr>
            <w:r w:rsidRPr="00C02B5E">
              <w:t>This proposal has a number of components.</w:t>
            </w:r>
          </w:p>
          <w:p w:rsidR="000B5C96" w:rsidRPr="00C02B5E" w:rsidRDefault="000B5C96" w:rsidP="001D163D">
            <w:pPr>
              <w:pStyle w:val="PullOutBoxBodyText"/>
              <w:ind w:left="0" w:right="0"/>
              <w:rPr>
                <w:u w:val="single"/>
              </w:rPr>
            </w:pPr>
            <w:r w:rsidRPr="00C02B5E">
              <w:rPr>
                <w:u w:val="single"/>
              </w:rPr>
              <w:t xml:space="preserve">Component 1: Participatory process </w:t>
            </w:r>
          </w:p>
          <w:p w:rsidR="000B5C96" w:rsidRPr="003917AE" w:rsidRDefault="000B5C96" w:rsidP="001D163D">
            <w:pPr>
              <w:pStyle w:val="PullOutBoxBullet"/>
              <w:numPr>
                <w:ilvl w:val="0"/>
                <w:numId w:val="2"/>
              </w:numPr>
              <w:ind w:left="340" w:right="0"/>
            </w:pPr>
            <w:r w:rsidRPr="003917AE">
              <w:t xml:space="preserve">Provide $5 million over three calendar years for a participatory democracy process considering how Australia would become a republic. </w:t>
            </w:r>
          </w:p>
          <w:p w:rsidR="000B5C96" w:rsidRPr="00C02B5E" w:rsidRDefault="000B5C96" w:rsidP="001D163D">
            <w:pPr>
              <w:pStyle w:val="PullOutBoxBodyText"/>
              <w:ind w:left="397" w:right="0"/>
            </w:pPr>
            <w:r w:rsidRPr="00C02B5E">
              <w:t>Component 2: Republic plebiscite</w:t>
            </w:r>
          </w:p>
          <w:p w:rsidR="000B5C96" w:rsidRPr="003917AE" w:rsidRDefault="000B5C96" w:rsidP="001D163D">
            <w:pPr>
              <w:pStyle w:val="PullOutBoxBullet"/>
              <w:numPr>
                <w:ilvl w:val="0"/>
                <w:numId w:val="2"/>
              </w:numPr>
              <w:ind w:left="340" w:right="0"/>
              <w:rPr>
                <w:u w:val="single"/>
              </w:rPr>
            </w:pPr>
            <w:r w:rsidRPr="003917AE">
              <w:t>Replace the plebiscite announced in the Pre-election Economic and Fiscal Outlook (PEFO) measure ‘</w:t>
            </w:r>
            <w:r w:rsidRPr="003917AE">
              <w:rPr>
                <w:i/>
              </w:rPr>
              <w:t>Same Sex Marriage Plebiscite’</w:t>
            </w:r>
            <w:r w:rsidRPr="003917AE">
              <w:t xml:space="preserve"> with a threshold plebiscite asking if Australia should become a republic. </w:t>
            </w:r>
          </w:p>
          <w:p w:rsidR="000B5C96" w:rsidRPr="00C02B5E" w:rsidRDefault="000B5C96" w:rsidP="001D163D">
            <w:pPr>
              <w:pStyle w:val="PullOutBoxBodyText"/>
              <w:ind w:left="397" w:right="0"/>
            </w:pPr>
            <w:r w:rsidRPr="00C02B5E">
              <w:t>Component 3: Republic Referendum</w:t>
            </w:r>
          </w:p>
          <w:p w:rsidR="000B5C96" w:rsidRPr="003917AE" w:rsidRDefault="000B5C96" w:rsidP="001D163D">
            <w:pPr>
              <w:pStyle w:val="PullOutBoxBullet"/>
              <w:numPr>
                <w:ilvl w:val="0"/>
                <w:numId w:val="2"/>
              </w:numPr>
              <w:ind w:left="340" w:right="0"/>
            </w:pPr>
            <w:r w:rsidRPr="003917AE">
              <w:t>A referendum to formally put a proposal for a constitutional change to the Australian people.  To be held with the next general election, due in 2019.</w:t>
            </w:r>
          </w:p>
          <w:p w:rsidR="000B5C96" w:rsidRPr="00C02B5E" w:rsidRDefault="000B5C96" w:rsidP="001D163D">
            <w:pPr>
              <w:pStyle w:val="PullOutBoxBodyText"/>
              <w:ind w:left="0" w:right="0"/>
            </w:pPr>
            <w:r w:rsidRPr="00C02B5E">
              <w:t>The proposal would have effect from 1 January 2017.</w:t>
            </w:r>
          </w:p>
        </w:tc>
      </w:tr>
      <w:tr w:rsidR="000B5C96" w:rsidRPr="00C02B5E" w:rsidTr="001D163D">
        <w:tc>
          <w:tcPr>
            <w:tcW w:w="3005" w:type="dxa"/>
          </w:tcPr>
          <w:p w:rsidR="000B5C96" w:rsidRPr="00C02B5E" w:rsidRDefault="000B5C96" w:rsidP="001D163D">
            <w:pPr>
              <w:pStyle w:val="PullOutBoxBodyText"/>
              <w:ind w:left="0" w:right="0"/>
            </w:pPr>
            <w:r w:rsidRPr="00C02B5E">
              <w:t>Person/party requesting costing:</w:t>
            </w:r>
          </w:p>
        </w:tc>
        <w:tc>
          <w:tcPr>
            <w:tcW w:w="5335" w:type="dxa"/>
          </w:tcPr>
          <w:p w:rsidR="000B5C96" w:rsidRPr="00C02B5E" w:rsidRDefault="000B5C96" w:rsidP="001D163D">
            <w:pPr>
              <w:pStyle w:val="PullOutBoxBodyText"/>
              <w:ind w:left="0" w:right="0"/>
            </w:pPr>
            <w:r w:rsidRPr="00C02B5E">
              <w:t>Senator Richard Di Natale, Australian Greens</w:t>
            </w:r>
          </w:p>
        </w:tc>
      </w:tr>
      <w:tr w:rsidR="000B5C96" w:rsidRPr="00C02B5E" w:rsidTr="001D163D">
        <w:tc>
          <w:tcPr>
            <w:tcW w:w="3005" w:type="dxa"/>
          </w:tcPr>
          <w:p w:rsidR="000B5C96" w:rsidRPr="00C02B5E" w:rsidRDefault="000B5C96" w:rsidP="001D163D">
            <w:pPr>
              <w:pStyle w:val="PullOutBoxBodyText"/>
              <w:ind w:left="0" w:right="0"/>
            </w:pPr>
            <w:r w:rsidRPr="00C02B5E">
              <w:t>Date of public release of policy:</w:t>
            </w:r>
          </w:p>
        </w:tc>
        <w:tc>
          <w:tcPr>
            <w:tcW w:w="5335" w:type="dxa"/>
          </w:tcPr>
          <w:p w:rsidR="000B5C96" w:rsidRPr="00C02B5E" w:rsidRDefault="000B5C96" w:rsidP="001D163D">
            <w:pPr>
              <w:pStyle w:val="PullOutBoxBodyText"/>
              <w:ind w:left="0" w:right="0"/>
            </w:pPr>
            <w:r w:rsidRPr="00C02B5E">
              <w:t>10 June 2016</w:t>
            </w:r>
          </w:p>
        </w:tc>
      </w:tr>
      <w:tr w:rsidR="000B5C96" w:rsidRPr="00C02B5E" w:rsidTr="001D163D">
        <w:tc>
          <w:tcPr>
            <w:tcW w:w="3005" w:type="dxa"/>
          </w:tcPr>
          <w:p w:rsidR="000B5C96" w:rsidRPr="00C02B5E" w:rsidRDefault="000B5C96" w:rsidP="001D163D">
            <w:pPr>
              <w:pStyle w:val="PullOutBoxBodyText"/>
              <w:ind w:left="0" w:right="0"/>
            </w:pPr>
            <w:r w:rsidRPr="00C02B5E">
              <w:t>Date costing request received:</w:t>
            </w:r>
          </w:p>
        </w:tc>
        <w:tc>
          <w:tcPr>
            <w:tcW w:w="5335" w:type="dxa"/>
          </w:tcPr>
          <w:p w:rsidR="000B5C96" w:rsidRPr="00C02B5E" w:rsidRDefault="000B5C96" w:rsidP="001D163D">
            <w:pPr>
              <w:pStyle w:val="PullOutBoxBodyText"/>
              <w:ind w:left="0" w:right="0"/>
            </w:pPr>
            <w:r w:rsidRPr="00C02B5E">
              <w:t>28 June 2016</w:t>
            </w:r>
          </w:p>
        </w:tc>
      </w:tr>
      <w:tr w:rsidR="000B5C96" w:rsidRPr="00C02B5E" w:rsidTr="001D163D">
        <w:tc>
          <w:tcPr>
            <w:tcW w:w="3005" w:type="dxa"/>
          </w:tcPr>
          <w:p w:rsidR="000B5C96" w:rsidRPr="00C02B5E" w:rsidRDefault="000B5C96" w:rsidP="001D163D">
            <w:pPr>
              <w:pStyle w:val="PullOutBoxBodyText"/>
              <w:ind w:left="0" w:right="0"/>
            </w:pPr>
            <w:r w:rsidRPr="00C02B5E">
              <w:t>Date costing completed:</w:t>
            </w:r>
          </w:p>
        </w:tc>
        <w:tc>
          <w:tcPr>
            <w:tcW w:w="5335" w:type="dxa"/>
          </w:tcPr>
          <w:p w:rsidR="000B5C96" w:rsidRPr="00C02B5E" w:rsidRDefault="000B5C96" w:rsidP="001D163D">
            <w:pPr>
              <w:pStyle w:val="PullOutBoxBodyText"/>
              <w:ind w:left="0" w:right="0"/>
            </w:pPr>
            <w:r w:rsidRPr="00C02B5E">
              <w:t>29 June 2016</w:t>
            </w:r>
          </w:p>
        </w:tc>
      </w:tr>
      <w:tr w:rsidR="000B5C96" w:rsidRPr="00C02B5E" w:rsidTr="001D163D">
        <w:tc>
          <w:tcPr>
            <w:tcW w:w="3005" w:type="dxa"/>
          </w:tcPr>
          <w:p w:rsidR="000B5C96" w:rsidRPr="00C02B5E" w:rsidRDefault="000B5C96" w:rsidP="001D163D">
            <w:pPr>
              <w:pStyle w:val="PullOutBoxBodyText"/>
              <w:ind w:left="0" w:right="0"/>
            </w:pPr>
            <w:r w:rsidRPr="00C02B5E">
              <w:t>Expiry date for the costing:</w:t>
            </w:r>
          </w:p>
        </w:tc>
        <w:tc>
          <w:tcPr>
            <w:tcW w:w="5335" w:type="dxa"/>
          </w:tcPr>
          <w:p w:rsidR="000B5C96" w:rsidRPr="00C02B5E" w:rsidRDefault="000B5C96" w:rsidP="001D163D">
            <w:pPr>
              <w:pStyle w:val="PullOutBoxBodyText"/>
              <w:ind w:left="0" w:right="0"/>
            </w:pPr>
            <w:r w:rsidRPr="00C02B5E">
              <w:t>Release of the next economic and fiscal outlook report</w:t>
            </w:r>
          </w:p>
        </w:tc>
      </w:tr>
    </w:tbl>
    <w:p w:rsidR="000B5C96" w:rsidRPr="00C02B5E" w:rsidRDefault="000B5C96" w:rsidP="003F606A">
      <w:pPr>
        <w:pStyle w:val="CostingsH7"/>
        <w:rPr>
          <w:rFonts w:eastAsia="Calibri"/>
        </w:rPr>
      </w:pPr>
      <w:r w:rsidRPr="00C02B5E">
        <w:rPr>
          <w:rFonts w:eastAsia="Calibri"/>
        </w:rPr>
        <w:t>Costing overview</w:t>
      </w:r>
    </w:p>
    <w:p w:rsidR="000B5C96" w:rsidRPr="00C02B5E" w:rsidRDefault="000B5C96" w:rsidP="003F606A">
      <w:pPr>
        <w:pStyle w:val="BodyText"/>
      </w:pPr>
      <w:r w:rsidRPr="00C02B5E">
        <w:t>This proposal would be expected to decrease both the fiscal and underlying cash balances by $70.5 million over the 2016–17 Budget forward estimates period.  This impact reflects an increase in administered expenses of $4.8 million and an increase in departmental expenses of $65.7 million over this period.</w:t>
      </w:r>
    </w:p>
    <w:p w:rsidR="000B5C96" w:rsidRPr="00C02B5E" w:rsidRDefault="000B5C96" w:rsidP="003F606A">
      <w:pPr>
        <w:pStyle w:val="BodyText"/>
      </w:pPr>
      <w:r w:rsidRPr="00C02B5E">
        <w:t>A detailed breakdown of the financial implications over the period 2016</w:t>
      </w:r>
      <w:r w:rsidRPr="00C02B5E">
        <w:noBreakHyphen/>
        <w:t>17 to 2019</w:t>
      </w:r>
      <w:r w:rsidRPr="00C02B5E">
        <w:noBreakHyphen/>
        <w:t xml:space="preserve">20 for the total (Table A1) and by component (Tables A2-A4) is at </w:t>
      </w:r>
      <w:r w:rsidRPr="00C02B5E">
        <w:rPr>
          <w:u w:val="single"/>
        </w:rPr>
        <w:t>Attachment A</w:t>
      </w:r>
      <w:r w:rsidRPr="00C02B5E">
        <w:t>.</w:t>
      </w:r>
    </w:p>
    <w:p w:rsidR="000B5C96" w:rsidRPr="00C02B5E" w:rsidRDefault="000B5C96" w:rsidP="003F606A">
      <w:pPr>
        <w:pStyle w:val="BodyText"/>
        <w:rPr>
          <w:highlight w:val="yellow"/>
        </w:rPr>
      </w:pPr>
      <w:r w:rsidRPr="00C02B5E">
        <w:t>Component 1 is considered to be of high reliability as the estimates are based on capped administered funding with departmental expenditure based on similar sized programs.  Components 2 and 3 are considered to be of medium reliability as, while they are based on estimates from the Australian Electoral Commission (AEC), there is a degree of uncertainty to the cost of holding a referendum in concert with a general election.</w:t>
      </w:r>
    </w:p>
    <w:p w:rsidR="000B5C96" w:rsidRPr="00C02B5E" w:rsidRDefault="000B5C96" w:rsidP="003F606A">
      <w:pPr>
        <w:pStyle w:val="Caption"/>
      </w:pPr>
      <w:r w:rsidRPr="00C02B5E">
        <w:t>Table 1: Financial implications (outturn prices)</w:t>
      </w:r>
      <w:r w:rsidRPr="00C02B5E">
        <w:rPr>
          <w:vertAlign w:val="superscript"/>
        </w:rPr>
        <w:t>(a)(b)</w:t>
      </w:r>
    </w:p>
    <w:tbl>
      <w:tblPr>
        <w:tblStyle w:val="TableGrid18"/>
        <w:tblW w:w="4993" w:type="pct"/>
        <w:tblLook w:val="04A0" w:firstRow="1" w:lastRow="0" w:firstColumn="1" w:lastColumn="0" w:noHBand="0" w:noVBand="1"/>
      </w:tblPr>
      <w:tblGrid>
        <w:gridCol w:w="2645"/>
        <w:gridCol w:w="1134"/>
        <w:gridCol w:w="1133"/>
        <w:gridCol w:w="1133"/>
        <w:gridCol w:w="1133"/>
        <w:gridCol w:w="1132"/>
      </w:tblGrid>
      <w:tr w:rsidR="000B5C96" w:rsidRPr="00C02B5E"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C02B5E" w:rsidRDefault="000B5C96" w:rsidP="003F606A">
            <w:pPr>
              <w:keepNext/>
              <w:keepLines/>
              <w:spacing w:line="240" w:lineRule="auto"/>
              <w:ind w:left="57" w:right="57"/>
              <w:rPr>
                <w:szCs w:val="20"/>
              </w:rPr>
            </w:pPr>
            <w:r w:rsidRPr="00C02B5E">
              <w:rPr>
                <w:szCs w:val="20"/>
              </w:rPr>
              <w:t>Impact on ($m)</w:t>
            </w:r>
          </w:p>
        </w:tc>
        <w:tc>
          <w:tcPr>
            <w:tcW w:w="682" w:type="pct"/>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rPr>
                <w:szCs w:val="20"/>
              </w:rPr>
              <w:t>2016–17</w:t>
            </w:r>
          </w:p>
        </w:tc>
        <w:tc>
          <w:tcPr>
            <w:tcW w:w="682" w:type="pct"/>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rPr>
                <w:szCs w:val="20"/>
              </w:rPr>
              <w:t>2017–18</w:t>
            </w:r>
          </w:p>
        </w:tc>
        <w:tc>
          <w:tcPr>
            <w:tcW w:w="682" w:type="pct"/>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rPr>
                <w:szCs w:val="20"/>
              </w:rPr>
              <w:t>2018–19</w:t>
            </w:r>
          </w:p>
        </w:tc>
        <w:tc>
          <w:tcPr>
            <w:tcW w:w="682" w:type="pct"/>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rPr>
                <w:szCs w:val="20"/>
              </w:rPr>
              <w:t>2019–20</w:t>
            </w:r>
          </w:p>
        </w:tc>
        <w:tc>
          <w:tcPr>
            <w:tcW w:w="681" w:type="pct"/>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rPr>
                <w:szCs w:val="20"/>
              </w:rPr>
              <w:t>Total</w:t>
            </w:r>
          </w:p>
        </w:tc>
      </w:tr>
      <w:tr w:rsidR="000B5C96" w:rsidRPr="00C02B5E"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C02B5E" w:rsidRDefault="000B5C96" w:rsidP="003F606A">
            <w:pPr>
              <w:keepNext/>
              <w:keepLines/>
              <w:ind w:left="57" w:right="57"/>
              <w:rPr>
                <w:szCs w:val="20"/>
              </w:rPr>
            </w:pPr>
            <w:r w:rsidRPr="00C02B5E">
              <w:rPr>
                <w:szCs w:val="20"/>
              </w:rPr>
              <w:t>Fiscal balance</w:t>
            </w:r>
          </w:p>
        </w:tc>
        <w:tc>
          <w:tcPr>
            <w:tcW w:w="682" w:type="pct"/>
          </w:tcPr>
          <w:p w:rsidR="000B5C96" w:rsidRPr="00C02B5E" w:rsidRDefault="000B5C96" w:rsidP="003F606A">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C02B5E">
              <w:rPr>
                <w:rFonts w:ascii="Calibri" w:hAnsi="Calibri"/>
                <w:szCs w:val="20"/>
              </w:rPr>
              <w:t>-0.8</w:t>
            </w:r>
          </w:p>
        </w:tc>
        <w:tc>
          <w:tcPr>
            <w:tcW w:w="682" w:type="pct"/>
          </w:tcPr>
          <w:p w:rsidR="000B5C96" w:rsidRPr="00C02B5E" w:rsidRDefault="000B5C96" w:rsidP="003F606A">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C02B5E">
              <w:rPr>
                <w:rFonts w:ascii="Calibri" w:hAnsi="Calibri"/>
                <w:szCs w:val="20"/>
              </w:rPr>
              <w:t>-1.7</w:t>
            </w:r>
          </w:p>
        </w:tc>
        <w:tc>
          <w:tcPr>
            <w:tcW w:w="682" w:type="pct"/>
          </w:tcPr>
          <w:p w:rsidR="000B5C96" w:rsidRPr="00C02B5E" w:rsidRDefault="000B5C96" w:rsidP="003F606A">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C02B5E">
              <w:rPr>
                <w:rFonts w:ascii="Calibri" w:hAnsi="Calibri"/>
                <w:szCs w:val="20"/>
              </w:rPr>
              <w:t>-1.7</w:t>
            </w:r>
          </w:p>
        </w:tc>
        <w:tc>
          <w:tcPr>
            <w:tcW w:w="682" w:type="pct"/>
          </w:tcPr>
          <w:p w:rsidR="000B5C96" w:rsidRPr="00C02B5E" w:rsidRDefault="000B5C96" w:rsidP="003F606A">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highlight w:val="magenta"/>
              </w:rPr>
            </w:pPr>
            <w:r w:rsidRPr="00C02B5E">
              <w:rPr>
                <w:rFonts w:ascii="Calibri" w:hAnsi="Calibri"/>
                <w:szCs w:val="20"/>
              </w:rPr>
              <w:t>-66.3</w:t>
            </w:r>
          </w:p>
        </w:tc>
        <w:tc>
          <w:tcPr>
            <w:tcW w:w="681" w:type="pct"/>
          </w:tcPr>
          <w:p w:rsidR="000B5C96" w:rsidRPr="00C02B5E" w:rsidRDefault="000B5C96" w:rsidP="003F606A">
            <w:pPr>
              <w:keepNext/>
              <w:keepLines/>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C02B5E">
              <w:rPr>
                <w:rFonts w:ascii="Calibri" w:hAnsi="Calibri"/>
                <w:b/>
                <w:szCs w:val="20"/>
              </w:rPr>
              <w:t>-70.5</w:t>
            </w:r>
          </w:p>
        </w:tc>
      </w:tr>
      <w:tr w:rsidR="000B5C96" w:rsidRPr="00C02B5E"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C02B5E" w:rsidRDefault="000B5C96" w:rsidP="003F606A">
            <w:pPr>
              <w:keepNext/>
              <w:keepLines/>
              <w:ind w:left="57" w:right="57"/>
              <w:rPr>
                <w:szCs w:val="20"/>
              </w:rPr>
            </w:pPr>
            <w:r w:rsidRPr="00C02B5E">
              <w:rPr>
                <w:szCs w:val="20"/>
              </w:rPr>
              <w:t>Underlying cash balance</w:t>
            </w:r>
          </w:p>
        </w:tc>
        <w:tc>
          <w:tcPr>
            <w:tcW w:w="682" w:type="pct"/>
          </w:tcPr>
          <w:p w:rsidR="000B5C96" w:rsidRPr="00C02B5E" w:rsidRDefault="000B5C96" w:rsidP="003F606A">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02B5E">
              <w:rPr>
                <w:rFonts w:ascii="Calibri" w:hAnsi="Calibri"/>
                <w:szCs w:val="20"/>
              </w:rPr>
              <w:t>-0.8</w:t>
            </w:r>
          </w:p>
        </w:tc>
        <w:tc>
          <w:tcPr>
            <w:tcW w:w="682" w:type="pct"/>
          </w:tcPr>
          <w:p w:rsidR="000B5C96" w:rsidRPr="00C02B5E" w:rsidRDefault="000B5C96" w:rsidP="003F606A">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02B5E">
              <w:rPr>
                <w:rFonts w:ascii="Calibri" w:hAnsi="Calibri"/>
                <w:szCs w:val="20"/>
              </w:rPr>
              <w:t>-1.7</w:t>
            </w:r>
          </w:p>
        </w:tc>
        <w:tc>
          <w:tcPr>
            <w:tcW w:w="682" w:type="pct"/>
          </w:tcPr>
          <w:p w:rsidR="000B5C96" w:rsidRPr="00C02B5E" w:rsidRDefault="000B5C96" w:rsidP="003F606A">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02B5E">
              <w:rPr>
                <w:rFonts w:ascii="Calibri" w:hAnsi="Calibri"/>
                <w:szCs w:val="20"/>
              </w:rPr>
              <w:t>-1.7</w:t>
            </w:r>
          </w:p>
        </w:tc>
        <w:tc>
          <w:tcPr>
            <w:tcW w:w="682" w:type="pct"/>
          </w:tcPr>
          <w:p w:rsidR="000B5C96" w:rsidRPr="00C02B5E" w:rsidRDefault="000B5C96" w:rsidP="003F606A">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highlight w:val="magenta"/>
              </w:rPr>
            </w:pPr>
            <w:r w:rsidRPr="00C02B5E">
              <w:rPr>
                <w:rFonts w:ascii="Calibri" w:hAnsi="Calibri"/>
                <w:szCs w:val="20"/>
              </w:rPr>
              <w:t>-66.3</w:t>
            </w:r>
          </w:p>
        </w:tc>
        <w:tc>
          <w:tcPr>
            <w:tcW w:w="681" w:type="pct"/>
          </w:tcPr>
          <w:p w:rsidR="000B5C96" w:rsidRPr="00C02B5E" w:rsidRDefault="000B5C96" w:rsidP="003F606A">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02B5E">
              <w:rPr>
                <w:rFonts w:ascii="Calibri" w:hAnsi="Calibri"/>
                <w:b/>
                <w:szCs w:val="20"/>
              </w:rPr>
              <w:t>-70.5</w:t>
            </w:r>
          </w:p>
        </w:tc>
      </w:tr>
    </w:tbl>
    <w:p w:rsidR="000B5C96" w:rsidRPr="00C02B5E" w:rsidRDefault="000B5C96" w:rsidP="0088597B">
      <w:pPr>
        <w:pStyle w:val="Footnotes"/>
        <w:numPr>
          <w:ilvl w:val="0"/>
          <w:numId w:val="191"/>
        </w:numPr>
        <w:ind w:left="284" w:hanging="284"/>
      </w:pPr>
      <w:r w:rsidRPr="00C02B5E">
        <w:t>A positive number indicates an increase in the relevant budget balance; a negative number a decrease.</w:t>
      </w:r>
    </w:p>
    <w:p w:rsidR="000B5C96" w:rsidRPr="00C02B5E" w:rsidRDefault="000B5C96" w:rsidP="0088597B">
      <w:pPr>
        <w:pStyle w:val="Footnotes"/>
        <w:numPr>
          <w:ilvl w:val="0"/>
          <w:numId w:val="191"/>
        </w:numPr>
        <w:ind w:left="284" w:hanging="284"/>
      </w:pPr>
      <w:r w:rsidRPr="00C02B5E">
        <w:t>Figures may not sum to totals due to rounding.</w:t>
      </w:r>
    </w:p>
    <w:p w:rsidR="000B5C96" w:rsidRPr="00C02B5E" w:rsidRDefault="000B5C96" w:rsidP="003F606A">
      <w:pPr>
        <w:pStyle w:val="CostingsH7"/>
        <w:rPr>
          <w:rFonts w:eastAsia="Calibri"/>
        </w:rPr>
      </w:pPr>
      <w:r w:rsidRPr="00C02B5E">
        <w:rPr>
          <w:rFonts w:eastAsia="Calibri"/>
        </w:rPr>
        <w:t>Key assumptions</w:t>
      </w:r>
    </w:p>
    <w:p w:rsidR="000B5C96" w:rsidRPr="003917AE" w:rsidRDefault="000B5C96" w:rsidP="000B5C96">
      <w:pPr>
        <w:pStyle w:val="ListBullet"/>
        <w:keepLines w:val="0"/>
        <w:numPr>
          <w:ilvl w:val="0"/>
          <w:numId w:val="2"/>
        </w:numPr>
        <w:spacing w:before="113"/>
        <w:ind w:left="454" w:hanging="454"/>
        <w:rPr>
          <w:lang w:eastAsia="en-AU"/>
        </w:rPr>
      </w:pPr>
      <w:r w:rsidRPr="003917AE">
        <w:rPr>
          <w:lang w:eastAsia="en-AU"/>
        </w:rPr>
        <w:t>In completing this costing the PBO has assumed that the next general election would be held in the second half of 2019, following the expiry of the term of the next House of Representatives.  An earlier election could result in a change in the timing of the cost of the proposed referendum to be held in conjunction with the next general election.</w:t>
      </w:r>
    </w:p>
    <w:p w:rsidR="000B5C96" w:rsidRPr="00C02B5E" w:rsidRDefault="000B5C96" w:rsidP="003F606A">
      <w:pPr>
        <w:pStyle w:val="CostingsH7"/>
        <w:rPr>
          <w:rFonts w:eastAsia="Calibri"/>
        </w:rPr>
      </w:pPr>
      <w:r w:rsidRPr="00C02B5E">
        <w:rPr>
          <w:rFonts w:eastAsia="Calibri"/>
        </w:rPr>
        <w:t>Methodology</w:t>
      </w:r>
    </w:p>
    <w:p w:rsidR="000B5C96" w:rsidRPr="00445E1D" w:rsidRDefault="000B5C96" w:rsidP="003F606A">
      <w:pPr>
        <w:pStyle w:val="CostingsH8"/>
        <w:rPr>
          <w:rFonts w:eastAsia="Calibri"/>
          <w:b w:val="0"/>
          <w:color w:val="auto"/>
          <w:sz w:val="22"/>
          <w:szCs w:val="22"/>
          <w:u w:val="single"/>
        </w:rPr>
      </w:pPr>
      <w:r w:rsidRPr="00445E1D">
        <w:rPr>
          <w:rFonts w:eastAsia="Calibri"/>
          <w:b w:val="0"/>
          <w:color w:val="auto"/>
          <w:sz w:val="22"/>
          <w:szCs w:val="22"/>
          <w:u w:val="single"/>
        </w:rPr>
        <w:t>Component 1</w:t>
      </w:r>
    </w:p>
    <w:p w:rsidR="000B5C96" w:rsidRPr="00C02B5E" w:rsidRDefault="000B5C96" w:rsidP="003F606A">
      <w:pPr>
        <w:pStyle w:val="BodyText"/>
      </w:pPr>
      <w:r w:rsidRPr="00C02B5E">
        <w:t>Departmental expense estimates are included within the capped funding amounts as specified in the request.  These estimates are based on similar programs, accounting for the net effect of indexation parameters and the efficiency dividend, in accordance with the Department of Finance’s costing practices.</w:t>
      </w:r>
    </w:p>
    <w:p w:rsidR="000B5C96" w:rsidRPr="00C02B5E" w:rsidRDefault="000B5C96" w:rsidP="003F606A">
      <w:pPr>
        <w:pStyle w:val="BodyText"/>
      </w:pPr>
      <w:r w:rsidRPr="00C02B5E">
        <w:t>Administered expense estimates are the remainder of the capped funding amounts after allowing for estimated departmental expenses.</w:t>
      </w:r>
    </w:p>
    <w:p w:rsidR="000B5C96" w:rsidRPr="00445E1D" w:rsidRDefault="000B5C96" w:rsidP="003F606A">
      <w:pPr>
        <w:pStyle w:val="CostingsH8"/>
        <w:rPr>
          <w:rFonts w:eastAsia="Calibri"/>
          <w:b w:val="0"/>
          <w:color w:val="auto"/>
          <w:sz w:val="22"/>
          <w:szCs w:val="22"/>
          <w:u w:val="single"/>
        </w:rPr>
      </w:pPr>
      <w:r w:rsidRPr="00445E1D">
        <w:rPr>
          <w:rFonts w:eastAsia="Calibri"/>
          <w:b w:val="0"/>
          <w:color w:val="auto"/>
          <w:sz w:val="22"/>
          <w:szCs w:val="22"/>
          <w:u w:val="single"/>
        </w:rPr>
        <w:t>Component 2</w:t>
      </w:r>
    </w:p>
    <w:p w:rsidR="000B5C96" w:rsidRPr="00C02B5E" w:rsidRDefault="000B5C96" w:rsidP="003F606A">
      <w:pPr>
        <w:pStyle w:val="BodyText"/>
      </w:pPr>
      <w:r w:rsidRPr="00C02B5E">
        <w:t xml:space="preserve">The expense estimates for the plebiscite are based on estimates for the </w:t>
      </w:r>
      <w:r w:rsidRPr="00C02B5E">
        <w:rPr>
          <w:i/>
        </w:rPr>
        <w:t>Same Sex Marriage</w:t>
      </w:r>
      <w:r w:rsidRPr="00C02B5E">
        <w:t xml:space="preserve"> </w:t>
      </w:r>
      <w:r w:rsidRPr="00C02B5E">
        <w:rPr>
          <w:i/>
        </w:rPr>
        <w:t>Plebiscite</w:t>
      </w:r>
      <w:r w:rsidRPr="00C02B5E">
        <w:t xml:space="preserve"> announced in the 2016</w:t>
      </w:r>
      <w:r w:rsidRPr="00C02B5E">
        <w:noBreakHyphen/>
        <w:t>17 PEFO.</w:t>
      </w:r>
    </w:p>
    <w:p w:rsidR="000B5C96" w:rsidRPr="00445E1D" w:rsidRDefault="000B5C96" w:rsidP="003F606A">
      <w:pPr>
        <w:pStyle w:val="CostingsH8"/>
        <w:rPr>
          <w:rFonts w:eastAsia="Calibri"/>
          <w:b w:val="0"/>
          <w:color w:val="auto"/>
          <w:sz w:val="22"/>
          <w:szCs w:val="22"/>
          <w:u w:val="single"/>
        </w:rPr>
      </w:pPr>
      <w:r w:rsidRPr="00445E1D">
        <w:rPr>
          <w:rFonts w:eastAsia="Calibri"/>
          <w:b w:val="0"/>
          <w:color w:val="auto"/>
          <w:sz w:val="22"/>
          <w:szCs w:val="22"/>
          <w:u w:val="single"/>
        </w:rPr>
        <w:t>Component 3</w:t>
      </w:r>
    </w:p>
    <w:p w:rsidR="000B5C96" w:rsidRPr="00C02B5E" w:rsidRDefault="000B5C96" w:rsidP="003F606A">
      <w:pPr>
        <w:pStyle w:val="BodyText"/>
      </w:pPr>
      <w:r w:rsidRPr="00C02B5E">
        <w:t>The expense estimates for the referendum are based on AEC estimates of the cost of holding a referendum in concert with the 2016 election, grown by the relevant wage cost index.</w:t>
      </w:r>
    </w:p>
    <w:p w:rsidR="000B5C96" w:rsidRPr="00C02B5E" w:rsidRDefault="000B5C96" w:rsidP="003F606A">
      <w:pPr>
        <w:pStyle w:val="CostingsH7"/>
        <w:rPr>
          <w:rFonts w:eastAsia="Calibri"/>
        </w:rPr>
      </w:pPr>
      <w:r w:rsidRPr="00C02B5E">
        <w:rPr>
          <w:rFonts w:eastAsia="Calibri"/>
        </w:rPr>
        <w:t>Data sources</w:t>
      </w:r>
    </w:p>
    <w:p w:rsidR="000B5C96" w:rsidRPr="00C02B5E" w:rsidRDefault="000B5C96" w:rsidP="003F606A">
      <w:pPr>
        <w:pStyle w:val="BodyText"/>
        <w:keepNext/>
        <w:keepLines/>
      </w:pPr>
      <w:r w:rsidRPr="00C02B5E">
        <w:t>The Department of Finance provided indexation and efficiency dividend parameters.</w:t>
      </w:r>
    </w:p>
    <w:p w:rsidR="000B5C96" w:rsidRPr="00C02B5E" w:rsidRDefault="000B5C96" w:rsidP="003F606A">
      <w:pPr>
        <w:pStyle w:val="BodyText"/>
      </w:pPr>
      <w:r w:rsidRPr="00C02B5E">
        <w:t>The AEC provided estimates of the cost of holding a referendum concurrently with a federal election.</w:t>
      </w:r>
    </w:p>
    <w:p w:rsidR="000B5C96" w:rsidRPr="00C02B5E" w:rsidRDefault="000B5C96" w:rsidP="003F606A">
      <w:pPr>
        <w:pStyle w:val="BodyText"/>
        <w:rPr>
          <w:sz w:val="20"/>
          <w:highlight w:val="yellow"/>
        </w:rPr>
        <w:sectPr w:rsidR="000B5C96" w:rsidRPr="00C02B5E" w:rsidSect="003F606A">
          <w:headerReference w:type="even" r:id="rId418"/>
          <w:headerReference w:type="default" r:id="rId419"/>
          <w:footerReference w:type="even" r:id="rId420"/>
          <w:footerReference w:type="default" r:id="rId421"/>
          <w:headerReference w:type="first" r:id="rId422"/>
          <w:footerReference w:type="first" r:id="rId423"/>
          <w:footnotePr>
            <w:numRestart w:val="eachSect"/>
          </w:footnotePr>
          <w:pgSz w:w="11906" w:h="16838"/>
          <w:pgMar w:top="1361" w:right="1797" w:bottom="1474" w:left="1797" w:header="283" w:footer="454" w:gutter="0"/>
          <w:cols w:space="708"/>
          <w:docGrid w:linePitch="360"/>
        </w:sectPr>
      </w:pPr>
    </w:p>
    <w:p w:rsidR="000B5C96" w:rsidRPr="00C02B5E" w:rsidRDefault="000B5C96" w:rsidP="000B5C96">
      <w:pPr>
        <w:pStyle w:val="Heading6"/>
        <w:numPr>
          <w:ilvl w:val="0"/>
          <w:numId w:val="5"/>
        </w:numPr>
        <w:tabs>
          <w:tab w:val="clear" w:pos="0"/>
          <w:tab w:val="num" w:pos="360"/>
          <w:tab w:val="right" w:pos="1418"/>
          <w:tab w:val="right" w:pos="1701"/>
          <w:tab w:val="right" w:pos="1985"/>
        </w:tabs>
      </w:pPr>
      <w:r w:rsidRPr="00C02B5E">
        <w:t>Attachment A: Towards a republic—financial implications</w:t>
      </w:r>
    </w:p>
    <w:p w:rsidR="000B5C96" w:rsidRPr="00C02B5E" w:rsidRDefault="000B5C96" w:rsidP="003F606A">
      <w:pPr>
        <w:pStyle w:val="Caption"/>
        <w:rPr>
          <w:vertAlign w:val="superscript"/>
        </w:rPr>
      </w:pPr>
      <w:r w:rsidRPr="00C02B5E">
        <w:t>Table A1: Combined impact of all components—Financial implications</w:t>
      </w:r>
      <w:r w:rsidRPr="00C02B5E">
        <w:rPr>
          <w:vertAlign w:val="superscript"/>
        </w:rPr>
        <w:t>(a)(b)</w:t>
      </w:r>
    </w:p>
    <w:tbl>
      <w:tblPr>
        <w:tblStyle w:val="TableGrid18"/>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C02B5E"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rPr>
                <w:szCs w:val="20"/>
              </w:rPr>
            </w:pPr>
            <w:r w:rsidRPr="00C02B5E">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C02B5E">
              <w:t>Total</w:t>
            </w:r>
            <w:r w:rsidRPr="00C02B5E">
              <w:rPr>
                <w:szCs w:val="20"/>
              </w:rPr>
              <w:t xml:space="preserve"> to 2019–20</w:t>
            </w:r>
          </w:p>
        </w:tc>
      </w:tr>
      <w:tr w:rsidR="000B5C96" w:rsidRPr="00C02B5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C02B5E" w:rsidRDefault="000B5C96" w:rsidP="003F606A">
            <w:pPr>
              <w:keepNext/>
              <w:keepLines/>
              <w:ind w:left="57" w:right="57"/>
              <w:rPr>
                <w:b/>
              </w:rPr>
            </w:pPr>
            <w:r w:rsidRPr="00C02B5E">
              <w:rPr>
                <w:b/>
              </w:rPr>
              <w:t>Impact on fiscal and underlying cash balances</w:t>
            </w:r>
          </w:p>
        </w:tc>
      </w:tr>
      <w:tr w:rsidR="000B5C96" w:rsidRPr="00C02B5E"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ind w:left="57" w:right="57"/>
              <w:rPr>
                <w:szCs w:val="20"/>
              </w:rPr>
            </w:pPr>
            <w:r w:rsidRPr="00C02B5E">
              <w:rPr>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-0.8</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-1.6</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-1.6</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-0.8</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-4.8</w:t>
            </w:r>
          </w:p>
        </w:tc>
      </w:tr>
      <w:tr w:rsidR="000B5C96" w:rsidRPr="00C02B5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ind w:left="57" w:right="57"/>
              <w:rPr>
                <w:szCs w:val="20"/>
              </w:rPr>
            </w:pPr>
            <w:r w:rsidRPr="00C02B5E">
              <w:rPr>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-65.5</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-65.7</w:t>
            </w:r>
          </w:p>
        </w:tc>
      </w:tr>
      <w:tr w:rsidR="000B5C96" w:rsidRPr="00C02B5E"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keepNext/>
              <w:keepLines/>
              <w:ind w:left="57" w:right="57"/>
              <w:rPr>
                <w:b/>
                <w:szCs w:val="20"/>
              </w:rPr>
            </w:pPr>
            <w:r w:rsidRPr="00C02B5E">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-0.8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-66.3</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-70.5</w:t>
            </w:r>
          </w:p>
        </w:tc>
      </w:tr>
    </w:tbl>
    <w:p w:rsidR="000B5C96" w:rsidRDefault="000B5C96" w:rsidP="007A0EC5">
      <w:pPr>
        <w:pStyle w:val="Footnotes"/>
        <w:numPr>
          <w:ilvl w:val="0"/>
          <w:numId w:val="192"/>
        </w:numPr>
        <w:ind w:left="284" w:hanging="284"/>
      </w:pPr>
      <w:r w:rsidRPr="00C02B5E">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C02B5E" w:rsidRDefault="000B5C96" w:rsidP="007A0EC5">
      <w:pPr>
        <w:pStyle w:val="Footnotes"/>
        <w:numPr>
          <w:ilvl w:val="0"/>
          <w:numId w:val="192"/>
        </w:numPr>
        <w:ind w:left="284" w:hanging="284"/>
      </w:pPr>
      <w:r w:rsidRPr="00C02B5E">
        <w:t>Figures may not sum to totals due to rounding.</w:t>
      </w:r>
    </w:p>
    <w:p w:rsidR="000B5C96" w:rsidRPr="00C02B5E" w:rsidRDefault="000B5C96" w:rsidP="003F606A">
      <w:pPr>
        <w:pStyle w:val="Footnotes"/>
        <w:numPr>
          <w:ilvl w:val="0"/>
          <w:numId w:val="0"/>
        </w:numPr>
        <w:ind w:left="284" w:hanging="284"/>
      </w:pPr>
      <w:r w:rsidRPr="00C02B5E">
        <w:t>..</w:t>
      </w:r>
      <w:r w:rsidRPr="00C02B5E">
        <w:tab/>
        <w:t>Not zero but rounded to zero.</w:t>
      </w:r>
    </w:p>
    <w:p w:rsidR="000B5C96" w:rsidRPr="00C02B5E" w:rsidRDefault="000B5C96" w:rsidP="003F606A">
      <w:pPr>
        <w:pStyle w:val="Caption"/>
        <w:rPr>
          <w:vertAlign w:val="superscript"/>
        </w:rPr>
      </w:pPr>
      <w:r w:rsidRPr="00C02B5E">
        <w:t>Table A2: Component 1: Participatory process—Financial implications</w:t>
      </w:r>
      <w:r w:rsidRPr="00C02B5E">
        <w:rPr>
          <w:vertAlign w:val="superscript"/>
        </w:rPr>
        <w:t>(a)(b)</w:t>
      </w:r>
    </w:p>
    <w:tbl>
      <w:tblPr>
        <w:tblStyle w:val="TableGrid18"/>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C02B5E"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rPr>
                <w:szCs w:val="20"/>
              </w:rPr>
            </w:pPr>
            <w:r w:rsidRPr="00C02B5E">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C02B5E">
              <w:t>Total</w:t>
            </w:r>
            <w:r w:rsidRPr="00C02B5E">
              <w:rPr>
                <w:szCs w:val="20"/>
              </w:rPr>
              <w:t xml:space="preserve"> to 2019–20</w:t>
            </w:r>
          </w:p>
        </w:tc>
      </w:tr>
      <w:tr w:rsidR="000B5C96" w:rsidRPr="00C02B5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C02B5E" w:rsidRDefault="000B5C96" w:rsidP="003F606A">
            <w:pPr>
              <w:keepNext/>
              <w:keepLines/>
              <w:ind w:left="57" w:right="57"/>
              <w:rPr>
                <w:b/>
              </w:rPr>
            </w:pPr>
            <w:r w:rsidRPr="00C02B5E">
              <w:rPr>
                <w:b/>
              </w:rPr>
              <w:t>Impact on fiscal and underlying cash balances</w:t>
            </w:r>
          </w:p>
        </w:tc>
      </w:tr>
      <w:tr w:rsidR="000B5C96" w:rsidRPr="00C02B5E"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ind w:left="57" w:right="57"/>
              <w:rPr>
                <w:szCs w:val="20"/>
              </w:rPr>
            </w:pPr>
            <w:r w:rsidRPr="00C02B5E">
              <w:rPr>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-0.8</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-1.6</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-1.6</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-0.8</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-4.8</w:t>
            </w:r>
          </w:p>
        </w:tc>
      </w:tr>
      <w:tr w:rsidR="000B5C96" w:rsidRPr="00C02B5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ind w:left="57" w:right="57"/>
              <w:rPr>
                <w:szCs w:val="20"/>
              </w:rPr>
            </w:pPr>
            <w:r w:rsidRPr="00C02B5E">
              <w:rPr>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-0.2</w:t>
            </w:r>
          </w:p>
        </w:tc>
      </w:tr>
      <w:tr w:rsidR="000B5C96" w:rsidRPr="00C02B5E"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keepNext/>
              <w:keepLines/>
              <w:ind w:left="57" w:right="57"/>
              <w:rPr>
                <w:b/>
                <w:szCs w:val="20"/>
              </w:rPr>
            </w:pPr>
            <w:r w:rsidRPr="00C02B5E">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-0.8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-0.8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-5.0</w:t>
            </w:r>
          </w:p>
        </w:tc>
      </w:tr>
    </w:tbl>
    <w:p w:rsidR="000B5C96" w:rsidRDefault="000B5C96" w:rsidP="007A0EC5">
      <w:pPr>
        <w:pStyle w:val="Footnotes"/>
        <w:numPr>
          <w:ilvl w:val="0"/>
          <w:numId w:val="193"/>
        </w:numPr>
        <w:ind w:left="284" w:hanging="284"/>
      </w:pPr>
      <w:r w:rsidRPr="00C02B5E">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C02B5E" w:rsidRDefault="000B5C96" w:rsidP="007A0EC5">
      <w:pPr>
        <w:pStyle w:val="Footnotes"/>
        <w:numPr>
          <w:ilvl w:val="0"/>
          <w:numId w:val="193"/>
        </w:numPr>
        <w:ind w:left="284" w:hanging="284"/>
      </w:pPr>
      <w:r w:rsidRPr="00C02B5E">
        <w:t>Figures may not sum to totals due to rounding.</w:t>
      </w:r>
    </w:p>
    <w:p w:rsidR="000B5C96" w:rsidRPr="00C02B5E" w:rsidRDefault="000B5C96" w:rsidP="003F606A">
      <w:pPr>
        <w:pStyle w:val="Footnotes"/>
        <w:numPr>
          <w:ilvl w:val="0"/>
          <w:numId w:val="0"/>
        </w:numPr>
        <w:ind w:left="284" w:hanging="284"/>
      </w:pPr>
      <w:r w:rsidRPr="00C02B5E">
        <w:t>..</w:t>
      </w:r>
      <w:r w:rsidRPr="00C02B5E">
        <w:tab/>
        <w:t>Not zero but rounded to zero.</w:t>
      </w:r>
    </w:p>
    <w:p w:rsidR="000B5C96" w:rsidRPr="00C02B5E" w:rsidRDefault="000B5C96" w:rsidP="003F606A">
      <w:pPr>
        <w:pStyle w:val="Caption"/>
        <w:rPr>
          <w:vertAlign w:val="superscript"/>
        </w:rPr>
      </w:pPr>
      <w:r w:rsidRPr="00C02B5E">
        <w:t>Table A3: Component 2: Republic plebiscite—Financial implications</w:t>
      </w:r>
      <w:r w:rsidRPr="00C02B5E">
        <w:rPr>
          <w:vertAlign w:val="superscript"/>
        </w:rPr>
        <w:t>(a)(b)</w:t>
      </w:r>
    </w:p>
    <w:tbl>
      <w:tblPr>
        <w:tblStyle w:val="TableGrid18"/>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C02B5E"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rPr>
                <w:szCs w:val="20"/>
              </w:rPr>
            </w:pPr>
            <w:r w:rsidRPr="00C02B5E">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C02B5E">
              <w:t>Total</w:t>
            </w:r>
            <w:r w:rsidRPr="00C02B5E">
              <w:rPr>
                <w:szCs w:val="20"/>
              </w:rPr>
              <w:t xml:space="preserve"> to 2019–20</w:t>
            </w:r>
          </w:p>
        </w:tc>
      </w:tr>
      <w:tr w:rsidR="000B5C96" w:rsidRPr="00C02B5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C02B5E" w:rsidRDefault="000B5C96" w:rsidP="003F606A">
            <w:pPr>
              <w:keepNext/>
              <w:keepLines/>
              <w:ind w:left="57" w:right="57"/>
              <w:rPr>
                <w:b/>
              </w:rPr>
            </w:pPr>
            <w:r w:rsidRPr="00C02B5E">
              <w:rPr>
                <w:b/>
              </w:rPr>
              <w:t>Impact on fiscal and underlying cash balances</w:t>
            </w:r>
          </w:p>
        </w:tc>
      </w:tr>
      <w:tr w:rsidR="000B5C96" w:rsidRPr="00C02B5E"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ind w:left="57" w:right="57"/>
              <w:rPr>
                <w:szCs w:val="20"/>
              </w:rPr>
            </w:pPr>
            <w:r w:rsidRPr="00C02B5E">
              <w:rPr>
                <w:szCs w:val="20"/>
              </w:rPr>
              <w:t xml:space="preserve">Reverse </w:t>
            </w:r>
            <w:r w:rsidRPr="00C02B5E">
              <w:rPr>
                <w:i/>
                <w:szCs w:val="20"/>
              </w:rPr>
              <w:t>Same Sex Marriage Plebiscite</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160.0</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C02B5E">
              <w:rPr>
                <w:rFonts w:ascii="Calibri" w:hAnsi="Calibri"/>
                <w:b/>
                <w:i/>
              </w:rPr>
              <w:t>160.0</w:t>
            </w:r>
          </w:p>
        </w:tc>
      </w:tr>
      <w:tr w:rsidR="000B5C96" w:rsidRPr="00C02B5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ind w:left="57" w:right="57"/>
              <w:rPr>
                <w:szCs w:val="20"/>
              </w:rPr>
            </w:pPr>
            <w:r w:rsidRPr="00C02B5E">
              <w:rPr>
                <w:szCs w:val="20"/>
              </w:rPr>
              <w:t xml:space="preserve">Threshold plebiscite </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-160.0</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C02B5E">
              <w:rPr>
                <w:rFonts w:ascii="Calibri" w:hAnsi="Calibri"/>
                <w:b/>
                <w:i/>
              </w:rPr>
              <w:t>-160.0</w:t>
            </w:r>
          </w:p>
        </w:tc>
      </w:tr>
      <w:tr w:rsidR="000B5C96" w:rsidRPr="00C02B5E"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keepNext/>
              <w:keepLines/>
              <w:ind w:left="57" w:right="57"/>
              <w:rPr>
                <w:b/>
                <w:szCs w:val="20"/>
              </w:rPr>
            </w:pPr>
            <w:r w:rsidRPr="00C02B5E">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w:t>
            </w:r>
          </w:p>
        </w:tc>
      </w:tr>
    </w:tbl>
    <w:p w:rsidR="000B5C96" w:rsidRDefault="000B5C96" w:rsidP="007A0EC5">
      <w:pPr>
        <w:pStyle w:val="Footnotes"/>
        <w:numPr>
          <w:ilvl w:val="0"/>
          <w:numId w:val="194"/>
        </w:numPr>
        <w:ind w:left="284" w:hanging="284"/>
      </w:pPr>
      <w:r w:rsidRPr="00C02B5E">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C02B5E" w:rsidRDefault="000B5C96" w:rsidP="007A0EC5">
      <w:pPr>
        <w:pStyle w:val="Footnotes"/>
        <w:numPr>
          <w:ilvl w:val="0"/>
          <w:numId w:val="194"/>
        </w:numPr>
        <w:ind w:left="284" w:hanging="284"/>
      </w:pPr>
      <w:r w:rsidRPr="00C02B5E">
        <w:t>Figures may not sum to totals due to rounding.</w:t>
      </w:r>
    </w:p>
    <w:p w:rsidR="000B5C96" w:rsidRPr="00C02B5E" w:rsidRDefault="000B5C96" w:rsidP="000B5C96">
      <w:pPr>
        <w:pStyle w:val="Footnotes"/>
        <w:numPr>
          <w:ilvl w:val="0"/>
          <w:numId w:val="114"/>
        </w:numPr>
        <w:ind w:left="284" w:hanging="284"/>
      </w:pPr>
      <w:r w:rsidRPr="00C02B5E">
        <w:t>Indicates nil.</w:t>
      </w:r>
    </w:p>
    <w:p w:rsidR="000B5C96" w:rsidRPr="00C02B5E" w:rsidRDefault="000B5C96" w:rsidP="003F606A">
      <w:pPr>
        <w:pStyle w:val="Caption"/>
        <w:rPr>
          <w:vertAlign w:val="superscript"/>
        </w:rPr>
      </w:pPr>
      <w:r w:rsidRPr="00C02B5E">
        <w:t>Table A2: Component 3:  Republic Referendum—Financial implications</w:t>
      </w:r>
      <w:r w:rsidRPr="00C02B5E">
        <w:rPr>
          <w:vertAlign w:val="superscript"/>
        </w:rPr>
        <w:t>(a)(b)</w:t>
      </w:r>
    </w:p>
    <w:tbl>
      <w:tblPr>
        <w:tblStyle w:val="TableGrid18"/>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C02B5E"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rPr>
                <w:szCs w:val="20"/>
              </w:rPr>
            </w:pPr>
            <w:r w:rsidRPr="00C02B5E">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02B5E">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C02B5E">
              <w:t>Total</w:t>
            </w:r>
            <w:r w:rsidRPr="00C02B5E">
              <w:rPr>
                <w:szCs w:val="20"/>
              </w:rPr>
              <w:t xml:space="preserve"> to 2019–20</w:t>
            </w:r>
          </w:p>
        </w:tc>
      </w:tr>
      <w:tr w:rsidR="000B5C96" w:rsidRPr="00C02B5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C02B5E" w:rsidRDefault="000B5C96" w:rsidP="003F606A">
            <w:pPr>
              <w:keepNext/>
              <w:keepLines/>
              <w:ind w:left="57" w:right="57"/>
              <w:rPr>
                <w:b/>
              </w:rPr>
            </w:pPr>
            <w:r w:rsidRPr="00C02B5E">
              <w:rPr>
                <w:b/>
              </w:rPr>
              <w:t>Impact on fiscal and underlying cash balances</w:t>
            </w:r>
          </w:p>
        </w:tc>
      </w:tr>
      <w:tr w:rsidR="000B5C96" w:rsidRPr="00C02B5E"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ind w:left="57" w:right="57"/>
              <w:rPr>
                <w:szCs w:val="20"/>
              </w:rPr>
            </w:pPr>
            <w:r w:rsidRPr="00C02B5E">
              <w:rPr>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C02B5E">
              <w:rPr>
                <w:rFonts w:ascii="Calibri" w:hAnsi="Calibri"/>
                <w:i/>
              </w:rPr>
              <w:t>-</w:t>
            </w:r>
          </w:p>
        </w:tc>
      </w:tr>
      <w:tr w:rsidR="000B5C96" w:rsidRPr="00C02B5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keepNext/>
              <w:keepLines/>
              <w:ind w:left="57" w:right="57"/>
              <w:rPr>
                <w:szCs w:val="20"/>
              </w:rPr>
            </w:pPr>
            <w:r w:rsidRPr="00C02B5E">
              <w:rPr>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-65.4</w:t>
            </w:r>
          </w:p>
        </w:tc>
        <w:tc>
          <w:tcPr>
            <w:tcW w:w="682" w:type="pct"/>
            <w:tcBorders>
              <w:top w:val="single" w:sz="4" w:space="0" w:color="788184"/>
              <w:left w:val="single" w:sz="4" w:space="0" w:color="788184"/>
              <w:bottom w:val="single" w:sz="4" w:space="0" w:color="788184"/>
              <w:right w:val="single" w:sz="4" w:space="0" w:color="788184"/>
            </w:tcBorders>
          </w:tcPr>
          <w:p w:rsidR="000B5C96" w:rsidRPr="00C02B5E"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C02B5E">
              <w:rPr>
                <w:rFonts w:ascii="Calibri" w:hAnsi="Calibri"/>
                <w:i/>
              </w:rPr>
              <w:t>-65.4</w:t>
            </w:r>
          </w:p>
        </w:tc>
      </w:tr>
      <w:tr w:rsidR="000B5C96" w:rsidRPr="00C02B5E"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keepNext/>
              <w:keepLines/>
              <w:ind w:left="57" w:right="57"/>
              <w:rPr>
                <w:b/>
                <w:szCs w:val="20"/>
              </w:rPr>
            </w:pPr>
            <w:r w:rsidRPr="00C02B5E">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-65.4</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C02B5E"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02B5E">
              <w:rPr>
                <w:rFonts w:ascii="Calibri" w:hAnsi="Calibri"/>
                <w:b/>
              </w:rPr>
              <w:t>-65.4</w:t>
            </w:r>
          </w:p>
        </w:tc>
      </w:tr>
    </w:tbl>
    <w:p w:rsidR="000B5C96" w:rsidRDefault="000B5C96" w:rsidP="007A0EC5">
      <w:pPr>
        <w:pStyle w:val="Footnotes"/>
        <w:numPr>
          <w:ilvl w:val="0"/>
          <w:numId w:val="195"/>
        </w:numPr>
        <w:ind w:left="284" w:hanging="284"/>
      </w:pPr>
      <w:r w:rsidRPr="00C02B5E">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C02B5E" w:rsidRDefault="000B5C96" w:rsidP="007A0EC5">
      <w:pPr>
        <w:pStyle w:val="Footnotes"/>
        <w:numPr>
          <w:ilvl w:val="0"/>
          <w:numId w:val="195"/>
        </w:numPr>
        <w:ind w:left="284" w:hanging="284"/>
      </w:pPr>
      <w:r w:rsidRPr="00C02B5E">
        <w:t>Figures may not sum to totals due to rounding.</w:t>
      </w:r>
    </w:p>
    <w:p w:rsidR="000B5C96" w:rsidRPr="00C02B5E" w:rsidRDefault="000B5C96" w:rsidP="000B5C96">
      <w:pPr>
        <w:pStyle w:val="Footnotes"/>
        <w:numPr>
          <w:ilvl w:val="0"/>
          <w:numId w:val="114"/>
        </w:numPr>
        <w:ind w:left="284" w:hanging="284"/>
      </w:pPr>
      <w:r w:rsidRPr="00C02B5E">
        <w:t>Indicates nil.</w:t>
      </w:r>
    </w:p>
    <w:p w:rsidR="000B5C96" w:rsidRDefault="000B5C96" w:rsidP="003F606A">
      <w:pPr>
        <w:pStyle w:val="BodyText"/>
      </w:pP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47" w:name="_Toc457979361"/>
      <w:bookmarkStart w:id="148" w:name="_Toc458069219"/>
      <w:r>
        <w:t>GRN044: Managing Chronic Disease</w:t>
      </w:r>
      <w:bookmarkEnd w:id="147"/>
      <w:bookmarkEnd w:id="148"/>
    </w:p>
    <w:p w:rsidR="000B5C96" w:rsidRPr="009C09D3" w:rsidRDefault="000B5C96" w:rsidP="003F606A">
      <w:pPr>
        <w:pStyle w:val="BodyText"/>
      </w:pPr>
      <w:r w:rsidRPr="009C09D3">
        <w:rPr>
          <w:noProof/>
          <w:lang w:eastAsia="en-AU"/>
        </w:rPr>
        <w:drawing>
          <wp:inline distT="0" distB="0" distL="0" distR="0" wp14:anchorId="61DD324B" wp14:editId="7DDF5AC8">
            <wp:extent cx="2696845" cy="572135"/>
            <wp:effectExtent l="0" t="0" r="8255" b="0"/>
            <wp:docPr id="34" name="Picture 3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7F5F37" w:rsidRDefault="000B5C96" w:rsidP="000B5C96">
      <w:pPr>
        <w:pStyle w:val="Heading6"/>
        <w:numPr>
          <w:ilvl w:val="0"/>
          <w:numId w:val="5"/>
        </w:numPr>
        <w:tabs>
          <w:tab w:val="clear" w:pos="0"/>
          <w:tab w:val="num" w:pos="360"/>
          <w:tab w:val="right" w:pos="1418"/>
          <w:tab w:val="right" w:pos="1701"/>
          <w:tab w:val="right" w:pos="1985"/>
        </w:tabs>
      </w:pPr>
      <w:r w:rsidRPr="007F5F37">
        <w:t>Policy costing—during the caretaker period for the 2016 general election</w:t>
      </w:r>
    </w:p>
    <w:tbl>
      <w:tblPr>
        <w:tblStyle w:val="TableGrid19"/>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862AB8" w:rsidRDefault="000B5C96" w:rsidP="003F606A">
            <w:pPr>
              <w:pStyle w:val="PullOutBoxHeading"/>
              <w:rPr>
                <w:b/>
              </w:rPr>
            </w:pPr>
            <w:r w:rsidRPr="00862AB8">
              <w:rPr>
                <w:b/>
              </w:rPr>
              <w:t>Name of proposal:</w:t>
            </w:r>
          </w:p>
        </w:tc>
        <w:tc>
          <w:tcPr>
            <w:tcW w:w="5335" w:type="dxa"/>
          </w:tcPr>
          <w:p w:rsidR="000B5C96" w:rsidRPr="00862AB8" w:rsidRDefault="000B5C96" w:rsidP="003F606A">
            <w:pPr>
              <w:pStyle w:val="PullOutBoxHeading"/>
              <w:cnfStyle w:val="100000000000" w:firstRow="1" w:lastRow="0" w:firstColumn="0" w:lastColumn="0" w:oddVBand="0" w:evenVBand="0" w:oddHBand="0" w:evenHBand="0" w:firstRowFirstColumn="0" w:firstRowLastColumn="0" w:lastRowFirstColumn="0" w:lastRowLastColumn="0"/>
              <w:rPr>
                <w:b/>
              </w:rPr>
            </w:pPr>
            <w:r w:rsidRPr="00862AB8">
              <w:rPr>
                <w:b/>
              </w:rPr>
              <w:t>Managing Chronic Disease</w:t>
            </w:r>
          </w:p>
        </w:tc>
      </w:tr>
      <w:tr w:rsidR="000B5C96" w:rsidRPr="007F5F3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7F5F37" w:rsidRDefault="000B5C96" w:rsidP="003F606A">
            <w:pPr>
              <w:pStyle w:val="PullOutBoxBodyText"/>
            </w:pPr>
            <w:r w:rsidRPr="007F5F37">
              <w:t>Summary of proposal:</w:t>
            </w:r>
          </w:p>
        </w:tc>
        <w:tc>
          <w:tcPr>
            <w:tcW w:w="5335" w:type="dxa"/>
          </w:tcPr>
          <w:p w:rsidR="000B5C96" w:rsidRPr="007F5F37"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7F5F37">
              <w:t>The proposal would develop risk profiles, template management plans, funding recommendations and administrative and reporting systems to support a new chronic disease management system involving enrolment with general practitioner (GP) practices and payments to doctors for ongoing management and care.</w:t>
            </w:r>
          </w:p>
          <w:p w:rsidR="000B5C96" w:rsidRPr="007F5F37"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7F5F37">
              <w:t>The proposal would have effect from 1 July 2017.</w:t>
            </w:r>
          </w:p>
        </w:tc>
      </w:tr>
      <w:tr w:rsidR="000B5C96" w:rsidRPr="007F5F37"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7F5F37" w:rsidRDefault="000B5C96" w:rsidP="003F606A">
            <w:pPr>
              <w:pStyle w:val="PullOutBoxBodyText"/>
            </w:pPr>
            <w:r w:rsidRPr="007F5F37">
              <w:t>Person/party requesting costing:</w:t>
            </w:r>
          </w:p>
        </w:tc>
        <w:tc>
          <w:tcPr>
            <w:tcW w:w="5335" w:type="dxa"/>
          </w:tcPr>
          <w:p w:rsidR="000B5C96" w:rsidRPr="007F5F37"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7F5F37">
              <w:t>Senator Richard Di Natale, Australian Greens</w:t>
            </w:r>
          </w:p>
        </w:tc>
      </w:tr>
      <w:tr w:rsidR="000B5C96" w:rsidRPr="007F5F3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7F5F37" w:rsidRDefault="000B5C96" w:rsidP="003F606A">
            <w:pPr>
              <w:pStyle w:val="PullOutBoxBodyText"/>
            </w:pPr>
            <w:r w:rsidRPr="007F5F37">
              <w:t>Date of public release of policy:</w:t>
            </w:r>
          </w:p>
        </w:tc>
        <w:tc>
          <w:tcPr>
            <w:tcW w:w="5335" w:type="dxa"/>
          </w:tcPr>
          <w:p w:rsidR="000B5C96" w:rsidRPr="007F5F37"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7F5F37">
              <w:t>27 May 2016</w:t>
            </w:r>
          </w:p>
          <w:p w:rsidR="000B5C96" w:rsidRPr="007F5F37" w:rsidRDefault="00E46526" w:rsidP="003F606A">
            <w:pPr>
              <w:pStyle w:val="PullOutBoxBodyText"/>
              <w:cnfStyle w:val="000000100000" w:firstRow="0" w:lastRow="0" w:firstColumn="0" w:lastColumn="0" w:oddVBand="0" w:evenVBand="0" w:oddHBand="1" w:evenHBand="0" w:firstRowFirstColumn="0" w:firstRowLastColumn="0" w:lastRowFirstColumn="0" w:lastRowLastColumn="0"/>
            </w:pPr>
            <w:hyperlink r:id="rId424" w:history="1">
              <w:r w:rsidR="000B5C96" w:rsidRPr="007F5F37">
                <w:rPr>
                  <w:color w:val="0000FF"/>
                  <w:u w:val="single"/>
                </w:rPr>
                <w:t>http://greens.org.au/primary-care</w:t>
              </w:r>
            </w:hyperlink>
          </w:p>
        </w:tc>
      </w:tr>
      <w:tr w:rsidR="000B5C96" w:rsidRPr="007F5F37"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7F5F37" w:rsidRDefault="000B5C96" w:rsidP="003F606A">
            <w:pPr>
              <w:pStyle w:val="PullOutBoxBodyText"/>
            </w:pPr>
            <w:r w:rsidRPr="007F5F37">
              <w:t>Date costing request received:</w:t>
            </w:r>
          </w:p>
        </w:tc>
        <w:tc>
          <w:tcPr>
            <w:tcW w:w="5335" w:type="dxa"/>
          </w:tcPr>
          <w:p w:rsidR="000B5C96" w:rsidRPr="007F5F37"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7F5F37">
              <w:t>28 June 2016</w:t>
            </w:r>
          </w:p>
        </w:tc>
      </w:tr>
      <w:tr w:rsidR="000B5C96" w:rsidRPr="007F5F3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7F5F37" w:rsidRDefault="000B5C96" w:rsidP="003F606A">
            <w:pPr>
              <w:pStyle w:val="PullOutBoxBodyText"/>
            </w:pPr>
            <w:r w:rsidRPr="007F5F37">
              <w:t>Date costing completed:</w:t>
            </w:r>
          </w:p>
        </w:tc>
        <w:tc>
          <w:tcPr>
            <w:tcW w:w="5335" w:type="dxa"/>
          </w:tcPr>
          <w:p w:rsidR="000B5C96" w:rsidRPr="007F5F37"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7F5F37">
              <w:t>29 June 2016</w:t>
            </w:r>
          </w:p>
        </w:tc>
      </w:tr>
      <w:tr w:rsidR="000B5C96" w:rsidRPr="007F5F37"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7F5F37" w:rsidRDefault="000B5C96" w:rsidP="003F606A">
            <w:pPr>
              <w:pStyle w:val="PullOutBoxBodyText"/>
            </w:pPr>
            <w:r w:rsidRPr="007F5F37">
              <w:t>Additional information requested (including date):</w:t>
            </w:r>
          </w:p>
        </w:tc>
        <w:tc>
          <w:tcPr>
            <w:tcW w:w="5335" w:type="dxa"/>
          </w:tcPr>
          <w:p w:rsidR="000B5C96" w:rsidRPr="007F5F37" w:rsidDel="00727FA8"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7F5F37">
              <w:t xml:space="preserve">On 29 July 2016 the Parliamentary Budget Office sought clarification on the start date of this proposal. </w:t>
            </w:r>
          </w:p>
        </w:tc>
      </w:tr>
      <w:tr w:rsidR="000B5C96" w:rsidRPr="007F5F3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7F5F37" w:rsidRDefault="000B5C96" w:rsidP="003F606A">
            <w:pPr>
              <w:pStyle w:val="PullOutBoxBodyText"/>
            </w:pPr>
            <w:r w:rsidRPr="007F5F37">
              <w:t>Additional information received (including date):</w:t>
            </w:r>
          </w:p>
        </w:tc>
        <w:tc>
          <w:tcPr>
            <w:tcW w:w="5335" w:type="dxa"/>
          </w:tcPr>
          <w:p w:rsidR="000B5C96" w:rsidRPr="007F5F37" w:rsidDel="00727FA8"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7F5F37">
              <w:t>On 29 July 2016 the office of Senator Di Natale confirmed that this proposal would have effect from 1 July 2017.</w:t>
            </w:r>
          </w:p>
        </w:tc>
      </w:tr>
      <w:tr w:rsidR="000B5C96" w:rsidRPr="007F5F37"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7F5F37" w:rsidRDefault="000B5C96" w:rsidP="003F606A">
            <w:pPr>
              <w:pStyle w:val="PullOutBoxBodyText"/>
            </w:pPr>
            <w:r w:rsidRPr="007F5F37">
              <w:t>Expiry date for the costing:</w:t>
            </w:r>
          </w:p>
        </w:tc>
        <w:tc>
          <w:tcPr>
            <w:tcW w:w="5335" w:type="dxa"/>
          </w:tcPr>
          <w:p w:rsidR="000B5C96" w:rsidRPr="007F5F37"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7F5F37">
              <w:t>Release of the next economic and fiscal outlook report</w:t>
            </w:r>
          </w:p>
        </w:tc>
      </w:tr>
    </w:tbl>
    <w:p w:rsidR="000B5C96" w:rsidRPr="007F5F37" w:rsidRDefault="000B5C96" w:rsidP="003F606A">
      <w:pPr>
        <w:pStyle w:val="CostingsH7"/>
        <w:rPr>
          <w:rFonts w:eastAsia="Calibri"/>
        </w:rPr>
      </w:pPr>
      <w:r w:rsidRPr="007F5F37">
        <w:rPr>
          <w:rFonts w:eastAsia="Calibri"/>
        </w:rPr>
        <w:t>Costing overview</w:t>
      </w:r>
    </w:p>
    <w:p w:rsidR="000B5C96" w:rsidRPr="007F5F37" w:rsidRDefault="000B5C96" w:rsidP="003F606A">
      <w:pPr>
        <w:pStyle w:val="BodyText"/>
      </w:pPr>
      <w:r w:rsidRPr="007F5F37">
        <w:t>This proposal would be expected to decrease the fiscal and un</w:t>
      </w:r>
      <w:r>
        <w:t>derlying cash balances by $11.9 </w:t>
      </w:r>
      <w:r w:rsidRPr="007F5F37">
        <w:t>million over the 2016-17 Budget forward estimates period.  This entirely reflects an increase in departmental expenses.</w:t>
      </w:r>
    </w:p>
    <w:p w:rsidR="000B5C96" w:rsidRPr="007F5F37" w:rsidRDefault="000B5C96" w:rsidP="003F606A">
      <w:pPr>
        <w:pStyle w:val="BodyText"/>
        <w:keepNext/>
        <w:keepLines/>
      </w:pPr>
      <w:r w:rsidRPr="007F5F37">
        <w:t>The proposal would not have financial implications beyond the 2016-17 Budget forward estimates period as the program would terminate in 2018-19.  The funding represents a one</w:t>
      </w:r>
      <w:r w:rsidRPr="007F5F37">
        <w:noBreakHyphen/>
        <w:t>off expense to develop a framework to support the implementation of an ongoing scheme for the management of chronic disease</w:t>
      </w:r>
      <w:r w:rsidRPr="007F5F37">
        <w:rPr>
          <w:vertAlign w:val="superscript"/>
        </w:rPr>
        <w:footnoteReference w:id="9"/>
      </w:r>
      <w:r w:rsidRPr="007F5F37">
        <w:t>.</w:t>
      </w:r>
    </w:p>
    <w:p w:rsidR="000B5C96" w:rsidRPr="007F5F37" w:rsidRDefault="000B5C96" w:rsidP="003F606A">
      <w:pPr>
        <w:pStyle w:val="BodyText"/>
        <w:rPr>
          <w:highlight w:val="yellow"/>
        </w:rPr>
      </w:pPr>
      <w:r w:rsidRPr="007F5F37">
        <w:t>The costing is considered to be of low reliability due to the uncertainty of the scope of the proposed program.</w:t>
      </w:r>
    </w:p>
    <w:p w:rsidR="000B5C96" w:rsidRPr="007F5F37" w:rsidRDefault="000B5C96" w:rsidP="003F606A">
      <w:pPr>
        <w:pStyle w:val="Caption"/>
      </w:pPr>
      <w:r w:rsidRPr="007F5F37">
        <w:t>Table 1: Financial implications (outturn prices)</w:t>
      </w:r>
      <w:r w:rsidRPr="007F5F37">
        <w:rPr>
          <w:vertAlign w:val="superscript"/>
        </w:rPr>
        <w:t>(a)(b)</w:t>
      </w:r>
    </w:p>
    <w:tbl>
      <w:tblPr>
        <w:tblStyle w:val="TableGrid19"/>
        <w:tblW w:w="4993" w:type="pct"/>
        <w:tblLook w:val="04A0" w:firstRow="1" w:lastRow="0" w:firstColumn="1" w:lastColumn="0" w:noHBand="0" w:noVBand="1"/>
      </w:tblPr>
      <w:tblGrid>
        <w:gridCol w:w="2644"/>
        <w:gridCol w:w="1133"/>
        <w:gridCol w:w="1134"/>
        <w:gridCol w:w="1134"/>
        <w:gridCol w:w="1134"/>
        <w:gridCol w:w="1132"/>
      </w:tblGrid>
      <w:tr w:rsidR="000B5C96" w:rsidRPr="007F5F37"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7F5F37" w:rsidRDefault="000B5C96" w:rsidP="003F606A">
            <w:pPr>
              <w:keepNext/>
              <w:keepLines/>
              <w:spacing w:line="240" w:lineRule="auto"/>
              <w:ind w:left="57" w:right="57"/>
              <w:rPr>
                <w:sz w:val="20"/>
                <w:szCs w:val="20"/>
              </w:rPr>
            </w:pPr>
            <w:r w:rsidRPr="007F5F37">
              <w:rPr>
                <w:sz w:val="20"/>
                <w:szCs w:val="20"/>
              </w:rPr>
              <w:t>Impact on ($m)</w:t>
            </w:r>
          </w:p>
        </w:tc>
        <w:tc>
          <w:tcPr>
            <w:tcW w:w="682" w:type="pct"/>
          </w:tcPr>
          <w:p w:rsidR="000B5C96" w:rsidRPr="007F5F37"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7F5F37">
              <w:rPr>
                <w:sz w:val="20"/>
                <w:szCs w:val="20"/>
              </w:rPr>
              <w:t>2016–17</w:t>
            </w:r>
          </w:p>
        </w:tc>
        <w:tc>
          <w:tcPr>
            <w:tcW w:w="682" w:type="pct"/>
          </w:tcPr>
          <w:p w:rsidR="000B5C96" w:rsidRPr="007F5F37"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7F5F37">
              <w:rPr>
                <w:sz w:val="20"/>
                <w:szCs w:val="20"/>
              </w:rPr>
              <w:t>2017–18</w:t>
            </w:r>
          </w:p>
        </w:tc>
        <w:tc>
          <w:tcPr>
            <w:tcW w:w="682" w:type="pct"/>
          </w:tcPr>
          <w:p w:rsidR="000B5C96" w:rsidRPr="007F5F37"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7F5F37">
              <w:rPr>
                <w:sz w:val="20"/>
                <w:szCs w:val="20"/>
              </w:rPr>
              <w:t>2018–19</w:t>
            </w:r>
          </w:p>
        </w:tc>
        <w:tc>
          <w:tcPr>
            <w:tcW w:w="682" w:type="pct"/>
          </w:tcPr>
          <w:p w:rsidR="000B5C96" w:rsidRPr="007F5F37"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7F5F37">
              <w:rPr>
                <w:sz w:val="20"/>
                <w:szCs w:val="20"/>
              </w:rPr>
              <w:t>2019–20</w:t>
            </w:r>
          </w:p>
        </w:tc>
        <w:tc>
          <w:tcPr>
            <w:tcW w:w="681" w:type="pct"/>
          </w:tcPr>
          <w:p w:rsidR="000B5C96" w:rsidRPr="007F5F37"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7F5F37">
              <w:rPr>
                <w:sz w:val="20"/>
                <w:szCs w:val="20"/>
              </w:rPr>
              <w:t>Total</w:t>
            </w:r>
          </w:p>
        </w:tc>
      </w:tr>
      <w:tr w:rsidR="000B5C96" w:rsidRPr="007F5F3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7F5F37" w:rsidRDefault="000B5C96" w:rsidP="003F606A">
            <w:pPr>
              <w:keepNext/>
              <w:keepLines/>
              <w:spacing w:line="240" w:lineRule="auto"/>
              <w:ind w:left="57" w:right="57"/>
              <w:rPr>
                <w:rFonts w:ascii="Calibri" w:hAnsi="Calibri"/>
                <w:sz w:val="20"/>
                <w:szCs w:val="20"/>
              </w:rPr>
            </w:pPr>
            <w:r w:rsidRPr="007F5F37">
              <w:rPr>
                <w:rFonts w:ascii="Calibri" w:hAnsi="Calibri"/>
                <w:sz w:val="20"/>
                <w:szCs w:val="20"/>
              </w:rPr>
              <w:t>Fiscal balance</w:t>
            </w:r>
          </w:p>
        </w:tc>
        <w:tc>
          <w:tcPr>
            <w:tcW w:w="682" w:type="pct"/>
            <w:vAlign w:val="center"/>
          </w:tcPr>
          <w:p w:rsidR="000B5C96" w:rsidRPr="007F5F37"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F5F37">
              <w:rPr>
                <w:rFonts w:ascii="Calibri" w:hAnsi="Calibri"/>
                <w:sz w:val="20"/>
                <w:szCs w:val="20"/>
              </w:rPr>
              <w:t xml:space="preserve">- </w:t>
            </w:r>
          </w:p>
        </w:tc>
        <w:tc>
          <w:tcPr>
            <w:tcW w:w="682" w:type="pct"/>
            <w:vAlign w:val="center"/>
          </w:tcPr>
          <w:p w:rsidR="000B5C96" w:rsidRPr="007F5F37"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F5F37">
              <w:rPr>
                <w:rFonts w:ascii="Calibri" w:hAnsi="Calibri"/>
                <w:sz w:val="20"/>
                <w:szCs w:val="20"/>
              </w:rPr>
              <w:t xml:space="preserve">-5.9 </w:t>
            </w:r>
          </w:p>
        </w:tc>
        <w:tc>
          <w:tcPr>
            <w:tcW w:w="682" w:type="pct"/>
            <w:vAlign w:val="center"/>
          </w:tcPr>
          <w:p w:rsidR="000B5C96" w:rsidRPr="007F5F37"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F5F37">
              <w:rPr>
                <w:rFonts w:ascii="Calibri" w:hAnsi="Calibri"/>
                <w:sz w:val="20"/>
                <w:szCs w:val="20"/>
              </w:rPr>
              <w:t xml:space="preserve">-5.9 </w:t>
            </w:r>
          </w:p>
        </w:tc>
        <w:tc>
          <w:tcPr>
            <w:tcW w:w="682" w:type="pct"/>
            <w:vAlign w:val="center"/>
          </w:tcPr>
          <w:p w:rsidR="000B5C96" w:rsidRPr="007F5F37"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F5F37">
              <w:rPr>
                <w:rFonts w:ascii="Calibri" w:hAnsi="Calibri"/>
                <w:sz w:val="20"/>
                <w:szCs w:val="20"/>
              </w:rPr>
              <w:t xml:space="preserve"> -   </w:t>
            </w:r>
          </w:p>
        </w:tc>
        <w:tc>
          <w:tcPr>
            <w:tcW w:w="681" w:type="pct"/>
            <w:vAlign w:val="center"/>
          </w:tcPr>
          <w:p w:rsidR="000B5C96" w:rsidRPr="007F5F37"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7F5F37">
              <w:rPr>
                <w:rFonts w:ascii="Calibri" w:hAnsi="Calibri"/>
                <w:b/>
                <w:sz w:val="20"/>
                <w:szCs w:val="20"/>
              </w:rPr>
              <w:t xml:space="preserve">-11.9 </w:t>
            </w:r>
          </w:p>
        </w:tc>
      </w:tr>
      <w:tr w:rsidR="000B5C96" w:rsidRPr="007F5F37"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7F5F37" w:rsidRDefault="000B5C96" w:rsidP="003F606A">
            <w:pPr>
              <w:keepNext/>
              <w:keepLines/>
              <w:spacing w:line="240" w:lineRule="auto"/>
              <w:ind w:left="57" w:right="57"/>
              <w:rPr>
                <w:rFonts w:ascii="Calibri" w:hAnsi="Calibri"/>
                <w:sz w:val="20"/>
                <w:szCs w:val="20"/>
              </w:rPr>
            </w:pPr>
            <w:r w:rsidRPr="007F5F37">
              <w:rPr>
                <w:rFonts w:ascii="Calibri" w:hAnsi="Calibri"/>
                <w:sz w:val="20"/>
                <w:szCs w:val="20"/>
              </w:rPr>
              <w:t>Underlying cash balance</w:t>
            </w:r>
          </w:p>
        </w:tc>
        <w:tc>
          <w:tcPr>
            <w:tcW w:w="682" w:type="pct"/>
            <w:vAlign w:val="center"/>
          </w:tcPr>
          <w:p w:rsidR="000B5C96" w:rsidRPr="007F5F3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F5F37">
              <w:rPr>
                <w:rFonts w:ascii="Calibri" w:hAnsi="Calibri"/>
                <w:sz w:val="20"/>
                <w:szCs w:val="20"/>
              </w:rPr>
              <w:t xml:space="preserve">- </w:t>
            </w:r>
          </w:p>
        </w:tc>
        <w:tc>
          <w:tcPr>
            <w:tcW w:w="682" w:type="pct"/>
            <w:vAlign w:val="center"/>
          </w:tcPr>
          <w:p w:rsidR="000B5C96" w:rsidRPr="007F5F3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F5F37">
              <w:rPr>
                <w:rFonts w:ascii="Calibri" w:hAnsi="Calibri"/>
                <w:sz w:val="20"/>
                <w:szCs w:val="20"/>
              </w:rPr>
              <w:t xml:space="preserve">-5.9 </w:t>
            </w:r>
          </w:p>
        </w:tc>
        <w:tc>
          <w:tcPr>
            <w:tcW w:w="682" w:type="pct"/>
            <w:vAlign w:val="center"/>
          </w:tcPr>
          <w:p w:rsidR="000B5C96" w:rsidRPr="007F5F3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F5F37">
              <w:rPr>
                <w:rFonts w:ascii="Calibri" w:hAnsi="Calibri"/>
                <w:sz w:val="20"/>
                <w:szCs w:val="20"/>
              </w:rPr>
              <w:t xml:space="preserve">-5.9 </w:t>
            </w:r>
          </w:p>
        </w:tc>
        <w:tc>
          <w:tcPr>
            <w:tcW w:w="682" w:type="pct"/>
            <w:vAlign w:val="center"/>
          </w:tcPr>
          <w:p w:rsidR="000B5C96" w:rsidRPr="007F5F3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F5F37">
              <w:rPr>
                <w:rFonts w:ascii="Calibri" w:hAnsi="Calibri"/>
                <w:sz w:val="20"/>
                <w:szCs w:val="20"/>
              </w:rPr>
              <w:t xml:space="preserve"> -   </w:t>
            </w:r>
          </w:p>
        </w:tc>
        <w:tc>
          <w:tcPr>
            <w:tcW w:w="681" w:type="pct"/>
            <w:vAlign w:val="center"/>
          </w:tcPr>
          <w:p w:rsidR="000B5C96" w:rsidRPr="007F5F3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F5F37">
              <w:rPr>
                <w:rFonts w:ascii="Calibri" w:hAnsi="Calibri"/>
                <w:b/>
                <w:sz w:val="20"/>
                <w:szCs w:val="20"/>
              </w:rPr>
              <w:t xml:space="preserve">-11.9 </w:t>
            </w:r>
          </w:p>
        </w:tc>
      </w:tr>
    </w:tbl>
    <w:p w:rsidR="000B5C96" w:rsidRPr="007F5F37" w:rsidRDefault="000B5C96" w:rsidP="00965A30">
      <w:pPr>
        <w:pStyle w:val="Footnotes"/>
        <w:numPr>
          <w:ilvl w:val="0"/>
          <w:numId w:val="196"/>
        </w:numPr>
        <w:ind w:left="284" w:hanging="284"/>
      </w:pPr>
      <w:r w:rsidRPr="007F5F37">
        <w:rPr>
          <w:lang w:eastAsia="en-AU"/>
        </w:rPr>
        <w:t>A positive number represents an increase in the relevant budget balance, a negative number represents a decrease</w:t>
      </w:r>
      <w:r w:rsidRPr="001140F1">
        <w:rPr>
          <w:sz w:val="24"/>
          <w:szCs w:val="24"/>
          <w:lang w:eastAsia="en-AU"/>
        </w:rPr>
        <w:t>.</w:t>
      </w:r>
    </w:p>
    <w:p w:rsidR="000B5C96" w:rsidRPr="007F5F37" w:rsidRDefault="000B5C96" w:rsidP="00965A30">
      <w:pPr>
        <w:pStyle w:val="Footnotes"/>
        <w:numPr>
          <w:ilvl w:val="0"/>
          <w:numId w:val="196"/>
        </w:numPr>
        <w:ind w:left="284" w:hanging="284"/>
      </w:pPr>
      <w:r w:rsidRPr="007F5F37">
        <w:rPr>
          <w:lang w:eastAsia="en-AU"/>
        </w:rPr>
        <w:t>Figures may not sum to totals due to rounding</w:t>
      </w:r>
      <w:r>
        <w:t>.</w:t>
      </w:r>
    </w:p>
    <w:p w:rsidR="000B5C96" w:rsidRPr="007F5F37" w:rsidRDefault="000B5C96" w:rsidP="000B5C96">
      <w:pPr>
        <w:pStyle w:val="Footnotes"/>
        <w:numPr>
          <w:ilvl w:val="0"/>
          <w:numId w:val="114"/>
        </w:numPr>
        <w:ind w:left="284" w:hanging="284"/>
      </w:pPr>
      <w:r w:rsidRPr="007F5F37">
        <w:t>Indicates nil.</w:t>
      </w:r>
    </w:p>
    <w:p w:rsidR="000B5C96" w:rsidRPr="007F5F37" w:rsidRDefault="000B5C96" w:rsidP="003F606A">
      <w:pPr>
        <w:pStyle w:val="CostingsH7"/>
        <w:rPr>
          <w:rFonts w:eastAsia="Calibri"/>
        </w:rPr>
      </w:pPr>
      <w:r w:rsidRPr="007F5F37">
        <w:rPr>
          <w:rFonts w:eastAsia="Calibri"/>
        </w:rPr>
        <w:t>Key assumptions</w:t>
      </w:r>
    </w:p>
    <w:p w:rsidR="000B5C96" w:rsidRPr="007F5F37" w:rsidRDefault="000B5C96" w:rsidP="003F606A">
      <w:pPr>
        <w:pStyle w:val="BodyText"/>
      </w:pPr>
      <w:r w:rsidRPr="007F5F37">
        <w:t>It was assumed that the proposal would take two years to complete.</w:t>
      </w:r>
    </w:p>
    <w:p w:rsidR="000B5C96" w:rsidRPr="007F5F37" w:rsidRDefault="000B5C96" w:rsidP="003F606A">
      <w:pPr>
        <w:pStyle w:val="CostingsH7"/>
        <w:rPr>
          <w:rFonts w:eastAsia="Calibri"/>
        </w:rPr>
      </w:pPr>
      <w:r w:rsidRPr="007F5F37">
        <w:rPr>
          <w:rFonts w:eastAsia="Calibri"/>
        </w:rPr>
        <w:t>Methodology</w:t>
      </w:r>
    </w:p>
    <w:p w:rsidR="000B5C96" w:rsidRPr="007F5F37" w:rsidRDefault="000B5C96" w:rsidP="003F606A">
      <w:pPr>
        <w:pStyle w:val="BodyText"/>
      </w:pPr>
      <w:r w:rsidRPr="007F5F37">
        <w:t>The departmental expenses associated with this proposal were calculated based on expected additional administrative activities required to implement the specified functions.</w:t>
      </w:r>
    </w:p>
    <w:p w:rsidR="000B5C96" w:rsidRPr="007F5F37" w:rsidRDefault="000B5C96" w:rsidP="003F606A">
      <w:pPr>
        <w:pStyle w:val="CostingsH7"/>
        <w:rPr>
          <w:rFonts w:eastAsia="Calibri"/>
        </w:rPr>
      </w:pPr>
      <w:r w:rsidRPr="007F5F37">
        <w:rPr>
          <w:rFonts w:eastAsia="Calibri"/>
        </w:rPr>
        <w:t>Data sources</w:t>
      </w:r>
    </w:p>
    <w:p w:rsidR="000B5C96" w:rsidRPr="007F5F37" w:rsidRDefault="000B5C96" w:rsidP="003F606A">
      <w:pPr>
        <w:pStyle w:val="BodyText"/>
      </w:pPr>
      <w:r w:rsidRPr="007F5F37">
        <w:t>The Department of Finance provided indexation and efficiency dividend parameters.</w:t>
      </w:r>
    </w:p>
    <w:p w:rsidR="000B5C96" w:rsidRDefault="000B5C96" w:rsidP="003F606A">
      <w:pPr>
        <w:pStyle w:val="BodyText"/>
      </w:pP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49" w:name="_Toc457979362"/>
      <w:bookmarkStart w:id="150" w:name="_Toc458069220"/>
      <w:r>
        <w:t>GRN045: Harm Reduction Innovation Fund</w:t>
      </w:r>
      <w:bookmarkEnd w:id="149"/>
      <w:bookmarkEnd w:id="150"/>
    </w:p>
    <w:p w:rsidR="000B5C96" w:rsidRPr="009C09D3" w:rsidRDefault="000B5C96" w:rsidP="003F606A">
      <w:pPr>
        <w:pStyle w:val="BodyText"/>
      </w:pPr>
      <w:r w:rsidRPr="009C09D3">
        <w:rPr>
          <w:noProof/>
          <w:lang w:eastAsia="en-AU"/>
        </w:rPr>
        <w:drawing>
          <wp:inline distT="0" distB="0" distL="0" distR="0" wp14:anchorId="7CAAAE4D" wp14:editId="3AEDC5B8">
            <wp:extent cx="2696845" cy="572135"/>
            <wp:effectExtent l="0" t="0" r="8255" b="0"/>
            <wp:docPr id="35" name="Picture 3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A82E56" w:rsidRDefault="000B5C96" w:rsidP="000B5C96">
      <w:pPr>
        <w:pStyle w:val="Heading6"/>
        <w:numPr>
          <w:ilvl w:val="0"/>
          <w:numId w:val="5"/>
        </w:numPr>
        <w:tabs>
          <w:tab w:val="clear" w:pos="0"/>
          <w:tab w:val="num" w:pos="360"/>
          <w:tab w:val="right" w:pos="1418"/>
          <w:tab w:val="right" w:pos="1701"/>
          <w:tab w:val="right" w:pos="1985"/>
        </w:tabs>
      </w:pPr>
      <w:r w:rsidRPr="00A82E56">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862AB8" w:rsidRDefault="000B5C96" w:rsidP="003F606A">
            <w:pPr>
              <w:pStyle w:val="PullOutBoxHeading"/>
              <w:rPr>
                <w:b/>
                <w:sz w:val="22"/>
              </w:rPr>
            </w:pPr>
            <w:r w:rsidRPr="00862AB8">
              <w:rPr>
                <w:b/>
                <w:sz w:val="22"/>
              </w:rPr>
              <w:t>Name of proposal:</w:t>
            </w:r>
          </w:p>
        </w:tc>
        <w:tc>
          <w:tcPr>
            <w:tcW w:w="5335" w:type="dxa"/>
          </w:tcPr>
          <w:p w:rsidR="000B5C96" w:rsidRPr="00862AB8" w:rsidRDefault="000B5C96" w:rsidP="003F606A">
            <w:pPr>
              <w:pStyle w:val="PullOutBoxHeading"/>
              <w:rPr>
                <w:b/>
                <w:sz w:val="22"/>
              </w:rPr>
            </w:pPr>
            <w:r w:rsidRPr="00862AB8">
              <w:rPr>
                <w:b/>
                <w:sz w:val="22"/>
              </w:rPr>
              <w:t>Harm Reduction in Health: Innovation Fund</w:t>
            </w:r>
          </w:p>
        </w:tc>
      </w:tr>
      <w:tr w:rsidR="000B5C96" w:rsidRPr="00A82E56" w:rsidTr="003F606A">
        <w:tc>
          <w:tcPr>
            <w:tcW w:w="3005" w:type="dxa"/>
          </w:tcPr>
          <w:p w:rsidR="000B5C96" w:rsidRPr="009D0E8F" w:rsidRDefault="000B5C96" w:rsidP="003F606A">
            <w:pPr>
              <w:pStyle w:val="PullOutBoxBodyText"/>
            </w:pPr>
            <w:r w:rsidRPr="009D0E8F">
              <w:t>Summary of proposal:</w:t>
            </w:r>
          </w:p>
        </w:tc>
        <w:tc>
          <w:tcPr>
            <w:tcW w:w="5335" w:type="dxa"/>
          </w:tcPr>
          <w:p w:rsidR="000B5C96" w:rsidRPr="00A82E56" w:rsidRDefault="000B5C96" w:rsidP="003F606A">
            <w:pPr>
              <w:pStyle w:val="PullOutBoxBodyText"/>
            </w:pPr>
            <w:r w:rsidRPr="00A82E56">
              <w:t>The proposal would establish a Harm Reduction Innovation Fund (the Fund), committing $10 million per annum over four years from 2016</w:t>
            </w:r>
            <w:r w:rsidRPr="00A82E56">
              <w:noBreakHyphen/>
              <w:t>17 to 2019</w:t>
            </w:r>
            <w:r w:rsidRPr="00A82E56">
              <w:noBreakHyphen/>
              <w:t>20.</w:t>
            </w:r>
          </w:p>
          <w:p w:rsidR="000B5C96" w:rsidRPr="00A82E56" w:rsidRDefault="000B5C96" w:rsidP="003F606A">
            <w:pPr>
              <w:pStyle w:val="PullOutBoxBodyText"/>
            </w:pPr>
            <w:r w:rsidRPr="00A82E56">
              <w:t>The Fund would foster the implementation of innovative harm reduction strategies in Australia by:</w:t>
            </w:r>
          </w:p>
          <w:p w:rsidR="000B5C96" w:rsidRPr="00A82E56" w:rsidRDefault="000B5C96" w:rsidP="000B5C96">
            <w:pPr>
              <w:pStyle w:val="PullOutBoxBullet"/>
              <w:numPr>
                <w:ilvl w:val="0"/>
                <w:numId w:val="2"/>
              </w:numPr>
              <w:ind w:left="397"/>
            </w:pPr>
            <w:r w:rsidRPr="00A82E56">
              <w:t>prioritising investment in harm reduction measures that assist in building an evidence base for wider implementation of effective strategies</w:t>
            </w:r>
          </w:p>
          <w:p w:rsidR="000B5C96" w:rsidRPr="00A82E56" w:rsidRDefault="000B5C96" w:rsidP="000B5C96">
            <w:pPr>
              <w:pStyle w:val="PullOutBoxBullet"/>
              <w:numPr>
                <w:ilvl w:val="0"/>
                <w:numId w:val="2"/>
              </w:numPr>
              <w:ind w:left="397"/>
            </w:pPr>
            <w:r w:rsidRPr="00A82E56">
              <w:t>exploring and reviewing global harm reduction initiatives to keep up with international best practice, and restore our reputation as a leader in innovation in drug policy</w:t>
            </w:r>
          </w:p>
          <w:p w:rsidR="000B5C96" w:rsidRPr="00A82E56" w:rsidRDefault="000B5C96" w:rsidP="000B5C96">
            <w:pPr>
              <w:pStyle w:val="PullOutBoxBullet"/>
              <w:numPr>
                <w:ilvl w:val="0"/>
                <w:numId w:val="2"/>
              </w:numPr>
              <w:ind w:left="397"/>
            </w:pPr>
            <w:r w:rsidRPr="00A82E56">
              <w:t>ensuring initiatives are evaluated and have safety controls and ethical approvals.</w:t>
            </w:r>
          </w:p>
          <w:p w:rsidR="000B5C96" w:rsidRPr="00A82E56" w:rsidRDefault="000B5C96" w:rsidP="003F606A">
            <w:pPr>
              <w:pStyle w:val="PullOutBoxBodyText"/>
            </w:pPr>
            <w:r w:rsidRPr="00A82E56">
              <w:t>Departmental expenses would be additional to the proposed annual spending commitments.</w:t>
            </w:r>
          </w:p>
          <w:p w:rsidR="000B5C96" w:rsidRPr="00A82E56" w:rsidRDefault="000B5C96" w:rsidP="003F606A">
            <w:pPr>
              <w:pStyle w:val="PullOutBoxBodyText"/>
            </w:pPr>
            <w:r w:rsidRPr="00A82E56">
              <w:t>The proposal would have effect from 1 September 2016.</w:t>
            </w:r>
          </w:p>
        </w:tc>
      </w:tr>
      <w:tr w:rsidR="000B5C96" w:rsidRPr="00A82E56" w:rsidTr="003F606A">
        <w:tc>
          <w:tcPr>
            <w:tcW w:w="3005" w:type="dxa"/>
          </w:tcPr>
          <w:p w:rsidR="000B5C96" w:rsidRPr="00A82E56" w:rsidRDefault="000B5C96" w:rsidP="003F606A">
            <w:pPr>
              <w:pStyle w:val="PullOutBoxBodyText"/>
            </w:pPr>
            <w:r w:rsidRPr="00A82E56">
              <w:t>Person/party requesting costing:</w:t>
            </w:r>
          </w:p>
        </w:tc>
        <w:tc>
          <w:tcPr>
            <w:tcW w:w="5335" w:type="dxa"/>
          </w:tcPr>
          <w:p w:rsidR="000B5C96" w:rsidRPr="00A82E56" w:rsidRDefault="000B5C96" w:rsidP="003F606A">
            <w:pPr>
              <w:pStyle w:val="PullOutBoxBodyText"/>
            </w:pPr>
            <w:r w:rsidRPr="00A82E56">
              <w:t>Senator Richard Di Natale, Australian Greens</w:t>
            </w:r>
          </w:p>
        </w:tc>
      </w:tr>
      <w:tr w:rsidR="000B5C96" w:rsidRPr="00A82E56" w:rsidTr="003F606A">
        <w:tc>
          <w:tcPr>
            <w:tcW w:w="3005" w:type="dxa"/>
          </w:tcPr>
          <w:p w:rsidR="000B5C96" w:rsidRPr="00A82E56" w:rsidRDefault="000B5C96" w:rsidP="003F606A">
            <w:pPr>
              <w:pStyle w:val="PullOutBoxBodyText"/>
            </w:pPr>
            <w:r w:rsidRPr="00A82E56">
              <w:t>Date of public release of policy:</w:t>
            </w:r>
          </w:p>
        </w:tc>
        <w:tc>
          <w:tcPr>
            <w:tcW w:w="5335" w:type="dxa"/>
          </w:tcPr>
          <w:p w:rsidR="000B5C96" w:rsidRPr="00A82E56" w:rsidRDefault="000B5C96" w:rsidP="003F606A">
            <w:pPr>
              <w:pStyle w:val="PullOutBoxBodyText"/>
            </w:pPr>
            <w:r w:rsidRPr="00A82E56">
              <w:t>18 May 2016</w:t>
            </w:r>
          </w:p>
          <w:p w:rsidR="000B5C96" w:rsidRPr="00A82E56" w:rsidRDefault="00E46526" w:rsidP="003F606A">
            <w:pPr>
              <w:pStyle w:val="PullOutBoxBodyText"/>
            </w:pPr>
            <w:hyperlink r:id="rId425" w:history="1">
              <w:r w:rsidR="000B5C96" w:rsidRPr="00A82E56">
                <w:rPr>
                  <w:color w:val="0000FF"/>
                  <w:u w:val="single"/>
                </w:rPr>
                <w:t>http://greens.org.au/harm-reduction</w:t>
              </w:r>
            </w:hyperlink>
          </w:p>
        </w:tc>
      </w:tr>
      <w:tr w:rsidR="000B5C96" w:rsidRPr="00A82E56" w:rsidTr="003F606A">
        <w:tc>
          <w:tcPr>
            <w:tcW w:w="3005" w:type="dxa"/>
          </w:tcPr>
          <w:p w:rsidR="000B5C96" w:rsidRPr="00A82E56" w:rsidRDefault="000B5C96" w:rsidP="003F606A">
            <w:pPr>
              <w:pStyle w:val="PullOutBoxBodyText"/>
            </w:pPr>
            <w:r w:rsidRPr="00A82E56">
              <w:t>Date costing request received:</w:t>
            </w:r>
          </w:p>
        </w:tc>
        <w:tc>
          <w:tcPr>
            <w:tcW w:w="5335" w:type="dxa"/>
          </w:tcPr>
          <w:p w:rsidR="000B5C96" w:rsidRPr="00A82E56" w:rsidRDefault="000B5C96" w:rsidP="003F606A">
            <w:pPr>
              <w:pStyle w:val="PullOutBoxBodyText"/>
            </w:pPr>
            <w:r w:rsidRPr="00A82E56">
              <w:t>28 June 2016</w:t>
            </w:r>
          </w:p>
        </w:tc>
      </w:tr>
      <w:tr w:rsidR="000B5C96" w:rsidRPr="00A82E56" w:rsidTr="003F606A">
        <w:tc>
          <w:tcPr>
            <w:tcW w:w="3005" w:type="dxa"/>
          </w:tcPr>
          <w:p w:rsidR="000B5C96" w:rsidRPr="00A82E56" w:rsidRDefault="000B5C96" w:rsidP="003F606A">
            <w:pPr>
              <w:pStyle w:val="PullOutBoxBodyText"/>
            </w:pPr>
            <w:r w:rsidRPr="00A82E56">
              <w:t>Date costing completed:</w:t>
            </w:r>
          </w:p>
        </w:tc>
        <w:tc>
          <w:tcPr>
            <w:tcW w:w="5335" w:type="dxa"/>
          </w:tcPr>
          <w:p w:rsidR="000B5C96" w:rsidRPr="00A82E56" w:rsidRDefault="000B5C96" w:rsidP="003F606A">
            <w:pPr>
              <w:pStyle w:val="PullOutBoxBodyText"/>
            </w:pPr>
            <w:r w:rsidRPr="00A82E56">
              <w:t>29 June 2016</w:t>
            </w:r>
          </w:p>
        </w:tc>
      </w:tr>
      <w:tr w:rsidR="000B5C96" w:rsidRPr="00A82E56" w:rsidTr="003F606A">
        <w:tc>
          <w:tcPr>
            <w:tcW w:w="3005" w:type="dxa"/>
          </w:tcPr>
          <w:p w:rsidR="000B5C96" w:rsidRPr="00A82E56" w:rsidRDefault="000B5C96" w:rsidP="003F606A">
            <w:pPr>
              <w:pStyle w:val="PullOutBoxBodyText"/>
            </w:pPr>
            <w:r w:rsidRPr="00A82E56">
              <w:t>Expiry date for the costing:</w:t>
            </w:r>
          </w:p>
        </w:tc>
        <w:tc>
          <w:tcPr>
            <w:tcW w:w="5335" w:type="dxa"/>
          </w:tcPr>
          <w:p w:rsidR="000B5C96" w:rsidRPr="00A82E56" w:rsidRDefault="000B5C96" w:rsidP="003F606A">
            <w:pPr>
              <w:pStyle w:val="PullOutBoxBodyText"/>
            </w:pPr>
            <w:r w:rsidRPr="00A82E56">
              <w:t>Release of the next economic and fiscal outlook report</w:t>
            </w:r>
          </w:p>
        </w:tc>
      </w:tr>
    </w:tbl>
    <w:p w:rsidR="000B5C96" w:rsidRPr="00A82E56" w:rsidRDefault="000B5C96" w:rsidP="003F606A">
      <w:pPr>
        <w:pStyle w:val="CostingsH7"/>
        <w:rPr>
          <w:rFonts w:eastAsia="Calibri"/>
        </w:rPr>
      </w:pPr>
      <w:r w:rsidRPr="00A82E56">
        <w:rPr>
          <w:rFonts w:eastAsia="Calibri"/>
        </w:rPr>
        <w:t>Costing overview</w:t>
      </w:r>
    </w:p>
    <w:p w:rsidR="000B5C96" w:rsidRPr="00A82E56" w:rsidRDefault="000B5C96" w:rsidP="003F606A">
      <w:pPr>
        <w:pStyle w:val="BodyText"/>
        <w:keepNext/>
        <w:keepLines/>
      </w:pPr>
      <w:r w:rsidRPr="00A82E56">
        <w:t>This proposal would be expected to decrease both the fiscal and underlying cash balances by $41.8 million over the 2016-17 Budget forward estimates period.  This impact reflects an increase in administered expenses of $40.0 million and an increase in departmental expenses of $1.8 million over this period.</w:t>
      </w:r>
    </w:p>
    <w:p w:rsidR="000B5C96" w:rsidRPr="00A82E56" w:rsidRDefault="000B5C96" w:rsidP="003F606A">
      <w:pPr>
        <w:pStyle w:val="BodyText"/>
      </w:pPr>
      <w:r w:rsidRPr="00A82E56">
        <w:t xml:space="preserve">The proposal would not have an impact beyond the forward estimates period as the proposal would terminate in 2019-20.  Detailed financial implications are provided at </w:t>
      </w:r>
      <w:r w:rsidRPr="00A82E56">
        <w:rPr>
          <w:u w:val="single"/>
        </w:rPr>
        <w:t>Attachment A</w:t>
      </w:r>
      <w:r w:rsidRPr="00A82E56">
        <w:t>.</w:t>
      </w:r>
    </w:p>
    <w:p w:rsidR="000B5C96" w:rsidRPr="00A82E56" w:rsidRDefault="000B5C96" w:rsidP="003F606A">
      <w:pPr>
        <w:pStyle w:val="BodyText"/>
        <w:rPr>
          <w:b/>
          <w:bCs/>
        </w:rPr>
      </w:pPr>
      <w:r w:rsidRPr="00A82E56">
        <w:t>This costing is considered to be of high reliability as it is based on specified capped amounts and the application of administrative costs based on similar programs.  However, no analysis has been undertaken to determine the adequacy of the prescribed funding amounts to achieve the objectives of the proposal.</w:t>
      </w:r>
    </w:p>
    <w:p w:rsidR="000B5C96" w:rsidRPr="00A82E56" w:rsidRDefault="000B5C96" w:rsidP="003F606A">
      <w:pPr>
        <w:pStyle w:val="Caption"/>
      </w:pPr>
      <w:r w:rsidRPr="00A82E56">
        <w:t>Table 1: Financial implications (outturn prices)</w:t>
      </w:r>
      <w:r w:rsidRPr="00A82E56">
        <w:rPr>
          <w:vertAlign w:val="superscript"/>
        </w:rPr>
        <w:t>(a)</w:t>
      </w:r>
    </w:p>
    <w:tbl>
      <w:tblPr>
        <w:tblStyle w:val="TableGrid20"/>
        <w:tblW w:w="4993" w:type="pct"/>
        <w:tblLook w:val="04A0" w:firstRow="1" w:lastRow="0" w:firstColumn="1" w:lastColumn="0" w:noHBand="0" w:noVBand="1"/>
      </w:tblPr>
      <w:tblGrid>
        <w:gridCol w:w="2645"/>
        <w:gridCol w:w="1134"/>
        <w:gridCol w:w="1133"/>
        <w:gridCol w:w="1133"/>
        <w:gridCol w:w="1133"/>
        <w:gridCol w:w="1132"/>
      </w:tblGrid>
      <w:tr w:rsidR="000B5C96" w:rsidRPr="00A82E56"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A82E56" w:rsidRDefault="000B5C96" w:rsidP="003F606A">
            <w:pPr>
              <w:keepNext/>
              <w:keepLines/>
              <w:spacing w:line="240" w:lineRule="auto"/>
              <w:ind w:left="57" w:right="57"/>
              <w:rPr>
                <w:szCs w:val="20"/>
              </w:rPr>
            </w:pPr>
            <w:r w:rsidRPr="00A82E56">
              <w:rPr>
                <w:szCs w:val="20"/>
              </w:rPr>
              <w:t>Impact on ($m)</w:t>
            </w:r>
          </w:p>
        </w:tc>
        <w:tc>
          <w:tcPr>
            <w:tcW w:w="682" w:type="pct"/>
            <w:vAlign w:val="center"/>
          </w:tcPr>
          <w:p w:rsidR="000B5C96" w:rsidRPr="00A82E5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82E56">
              <w:rPr>
                <w:szCs w:val="20"/>
              </w:rPr>
              <w:t>2016–17</w:t>
            </w:r>
          </w:p>
        </w:tc>
        <w:tc>
          <w:tcPr>
            <w:tcW w:w="682" w:type="pct"/>
            <w:vAlign w:val="center"/>
          </w:tcPr>
          <w:p w:rsidR="000B5C96" w:rsidRPr="00A82E5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82E56">
              <w:rPr>
                <w:szCs w:val="20"/>
              </w:rPr>
              <w:t>2017–18</w:t>
            </w:r>
          </w:p>
        </w:tc>
        <w:tc>
          <w:tcPr>
            <w:tcW w:w="682" w:type="pct"/>
            <w:vAlign w:val="center"/>
          </w:tcPr>
          <w:p w:rsidR="000B5C96" w:rsidRPr="00A82E5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82E56">
              <w:rPr>
                <w:szCs w:val="20"/>
              </w:rPr>
              <w:t>2018–19</w:t>
            </w:r>
          </w:p>
        </w:tc>
        <w:tc>
          <w:tcPr>
            <w:tcW w:w="682" w:type="pct"/>
            <w:vAlign w:val="center"/>
          </w:tcPr>
          <w:p w:rsidR="000B5C96" w:rsidRPr="00A82E5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82E56">
              <w:rPr>
                <w:szCs w:val="20"/>
              </w:rPr>
              <w:t>2019–20</w:t>
            </w:r>
          </w:p>
        </w:tc>
        <w:tc>
          <w:tcPr>
            <w:tcW w:w="681" w:type="pct"/>
            <w:vAlign w:val="center"/>
          </w:tcPr>
          <w:p w:rsidR="000B5C96" w:rsidRPr="00A82E5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A82E56">
              <w:rPr>
                <w:b/>
                <w:szCs w:val="20"/>
              </w:rPr>
              <w:t>Total</w:t>
            </w:r>
          </w:p>
        </w:tc>
      </w:tr>
      <w:tr w:rsidR="000B5C96" w:rsidRPr="00A82E56"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A82E56" w:rsidRDefault="000B5C96" w:rsidP="003F606A">
            <w:pPr>
              <w:keepNext/>
              <w:keepLines/>
              <w:ind w:left="57" w:right="57"/>
              <w:rPr>
                <w:szCs w:val="20"/>
              </w:rPr>
            </w:pPr>
            <w:r w:rsidRPr="00A82E56">
              <w:rPr>
                <w:szCs w:val="20"/>
              </w:rPr>
              <w:t>Fiscal balance</w:t>
            </w:r>
          </w:p>
        </w:tc>
        <w:tc>
          <w:tcPr>
            <w:tcW w:w="682" w:type="pct"/>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82E56">
              <w:rPr>
                <w:rFonts w:ascii="Calibri" w:hAnsi="Calibri"/>
              </w:rPr>
              <w:t>-10.4</w:t>
            </w:r>
          </w:p>
        </w:tc>
        <w:tc>
          <w:tcPr>
            <w:tcW w:w="682" w:type="pct"/>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82E56">
              <w:rPr>
                <w:rFonts w:ascii="Calibri" w:hAnsi="Calibri"/>
              </w:rPr>
              <w:t>-10.5</w:t>
            </w:r>
          </w:p>
        </w:tc>
        <w:tc>
          <w:tcPr>
            <w:tcW w:w="682" w:type="pct"/>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82E56">
              <w:rPr>
                <w:rFonts w:ascii="Calibri" w:hAnsi="Calibri"/>
              </w:rPr>
              <w:t>-10.5</w:t>
            </w:r>
          </w:p>
        </w:tc>
        <w:tc>
          <w:tcPr>
            <w:tcW w:w="682" w:type="pct"/>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82E56">
              <w:rPr>
                <w:rFonts w:ascii="Calibri" w:hAnsi="Calibri"/>
              </w:rPr>
              <w:t>-10.5</w:t>
            </w:r>
          </w:p>
        </w:tc>
        <w:tc>
          <w:tcPr>
            <w:tcW w:w="681" w:type="pct"/>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A82E56">
              <w:rPr>
                <w:rFonts w:ascii="Calibri" w:hAnsi="Calibri"/>
                <w:b/>
              </w:rPr>
              <w:t>-41.8</w:t>
            </w:r>
          </w:p>
        </w:tc>
      </w:tr>
      <w:tr w:rsidR="000B5C96" w:rsidRPr="00A82E56"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A82E56" w:rsidRDefault="000B5C96" w:rsidP="003F606A">
            <w:pPr>
              <w:keepNext/>
              <w:keepLines/>
              <w:ind w:left="57" w:right="57"/>
              <w:rPr>
                <w:szCs w:val="20"/>
              </w:rPr>
            </w:pPr>
            <w:r w:rsidRPr="00A82E56">
              <w:rPr>
                <w:szCs w:val="20"/>
              </w:rPr>
              <w:t>Underlying cash balance</w:t>
            </w:r>
          </w:p>
        </w:tc>
        <w:tc>
          <w:tcPr>
            <w:tcW w:w="682" w:type="pct"/>
          </w:tcPr>
          <w:p w:rsidR="000B5C96" w:rsidRPr="00A82E5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2E56">
              <w:rPr>
                <w:rFonts w:ascii="Calibri" w:hAnsi="Calibri"/>
              </w:rPr>
              <w:t>-10.4</w:t>
            </w:r>
          </w:p>
        </w:tc>
        <w:tc>
          <w:tcPr>
            <w:tcW w:w="682" w:type="pct"/>
          </w:tcPr>
          <w:p w:rsidR="000B5C96" w:rsidRPr="00A82E5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2E56">
              <w:rPr>
                <w:rFonts w:ascii="Calibri" w:hAnsi="Calibri"/>
              </w:rPr>
              <w:t>-10.5</w:t>
            </w:r>
          </w:p>
        </w:tc>
        <w:tc>
          <w:tcPr>
            <w:tcW w:w="682" w:type="pct"/>
          </w:tcPr>
          <w:p w:rsidR="000B5C96" w:rsidRPr="00A82E5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2E56">
              <w:rPr>
                <w:rFonts w:ascii="Calibri" w:hAnsi="Calibri"/>
              </w:rPr>
              <w:t>-10.5</w:t>
            </w:r>
          </w:p>
        </w:tc>
        <w:tc>
          <w:tcPr>
            <w:tcW w:w="682" w:type="pct"/>
          </w:tcPr>
          <w:p w:rsidR="000B5C96" w:rsidRPr="00A82E5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2E56">
              <w:rPr>
                <w:rFonts w:ascii="Calibri" w:hAnsi="Calibri"/>
              </w:rPr>
              <w:t>-10.5</w:t>
            </w:r>
          </w:p>
        </w:tc>
        <w:tc>
          <w:tcPr>
            <w:tcW w:w="681" w:type="pct"/>
          </w:tcPr>
          <w:p w:rsidR="000B5C96" w:rsidRPr="00A82E5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2E56">
              <w:rPr>
                <w:rFonts w:ascii="Calibri" w:hAnsi="Calibri"/>
                <w:b/>
              </w:rPr>
              <w:t>-41.8</w:t>
            </w:r>
          </w:p>
        </w:tc>
      </w:tr>
    </w:tbl>
    <w:p w:rsidR="000B5C96" w:rsidRPr="00A82E56" w:rsidRDefault="000B5C96" w:rsidP="00C17ABF">
      <w:pPr>
        <w:pStyle w:val="Footnotes"/>
        <w:numPr>
          <w:ilvl w:val="0"/>
          <w:numId w:val="197"/>
        </w:numPr>
        <w:ind w:left="284" w:hanging="284"/>
      </w:pPr>
      <w:r w:rsidRPr="00A82E56">
        <w:t>A negative number indicates a decrease in the relevant budget balance.</w:t>
      </w:r>
    </w:p>
    <w:p w:rsidR="000B5C96" w:rsidRPr="00A82E56" w:rsidRDefault="000B5C96" w:rsidP="00C17ABF">
      <w:pPr>
        <w:pStyle w:val="Footnotes"/>
        <w:numPr>
          <w:ilvl w:val="0"/>
          <w:numId w:val="197"/>
        </w:numPr>
        <w:ind w:left="284" w:hanging="284"/>
      </w:pPr>
      <w:r w:rsidRPr="00A82E56">
        <w:t>Figures may not sum to totals due to rounding.</w:t>
      </w:r>
    </w:p>
    <w:p w:rsidR="000B5C96" w:rsidRPr="00A82E56" w:rsidRDefault="000B5C96" w:rsidP="003F606A">
      <w:pPr>
        <w:pStyle w:val="CostingsH7"/>
        <w:rPr>
          <w:rFonts w:eastAsia="Calibri"/>
        </w:rPr>
      </w:pPr>
      <w:r w:rsidRPr="00A82E56">
        <w:rPr>
          <w:rFonts w:eastAsia="Calibri"/>
        </w:rPr>
        <w:t>Key assumptions</w:t>
      </w:r>
    </w:p>
    <w:p w:rsidR="000B5C96" w:rsidRPr="00A82E56" w:rsidRDefault="000B5C96" w:rsidP="003F606A">
      <w:pPr>
        <w:pStyle w:val="BodyText"/>
        <w:rPr>
          <w:b/>
          <w:bCs/>
        </w:rPr>
      </w:pPr>
      <w:r w:rsidRPr="00A82E56">
        <w:t>It has been assumed that, despite the implementation date of 1 September 2016, $10 million in grant funding would be delivered in 2016-17.</w:t>
      </w:r>
    </w:p>
    <w:p w:rsidR="000B5C96" w:rsidRPr="00A82E56" w:rsidRDefault="000B5C96" w:rsidP="003F606A">
      <w:pPr>
        <w:pStyle w:val="CostingsH7"/>
        <w:rPr>
          <w:rFonts w:eastAsia="Calibri"/>
        </w:rPr>
      </w:pPr>
      <w:r w:rsidRPr="00A82E56">
        <w:rPr>
          <w:rFonts w:eastAsia="Calibri"/>
        </w:rPr>
        <w:t>Methodology</w:t>
      </w:r>
    </w:p>
    <w:p w:rsidR="000B5C96" w:rsidRPr="00A82E56" w:rsidRDefault="000B5C96" w:rsidP="003F606A">
      <w:pPr>
        <w:pStyle w:val="BodyText"/>
      </w:pPr>
      <w:r w:rsidRPr="00A82E56">
        <w:t>Administered expenditure estimates for the Harm Reduction Innovation Fund are as specified in the request.  Departmental expenditure estimates are based on other like initiatives and the net effect of indexation parameters and the efficiency dividend is accounted for, in accordance with the Department of Finance’s costing practices.</w:t>
      </w:r>
    </w:p>
    <w:p w:rsidR="000B5C96" w:rsidRPr="00A82E56" w:rsidRDefault="000B5C96" w:rsidP="003F606A">
      <w:pPr>
        <w:pStyle w:val="CostingsH7"/>
        <w:rPr>
          <w:rFonts w:eastAsia="Calibri"/>
        </w:rPr>
      </w:pPr>
      <w:r w:rsidRPr="00A82E56">
        <w:rPr>
          <w:rFonts w:eastAsia="Calibri"/>
        </w:rPr>
        <w:t>Data sources</w:t>
      </w:r>
    </w:p>
    <w:p w:rsidR="000B5C96" w:rsidRPr="00A82E56" w:rsidRDefault="000B5C96" w:rsidP="003F606A">
      <w:pPr>
        <w:pStyle w:val="BodyText"/>
        <w:sectPr w:rsidR="000B5C96" w:rsidRPr="00A82E56" w:rsidSect="003F606A">
          <w:headerReference w:type="even" r:id="rId426"/>
          <w:headerReference w:type="default" r:id="rId427"/>
          <w:footerReference w:type="even" r:id="rId428"/>
          <w:footerReference w:type="default" r:id="rId429"/>
          <w:headerReference w:type="first" r:id="rId430"/>
          <w:footerReference w:type="first" r:id="rId431"/>
          <w:footnotePr>
            <w:numRestart w:val="eachSect"/>
          </w:footnotePr>
          <w:pgSz w:w="11906" w:h="16838"/>
          <w:pgMar w:top="1361" w:right="1797" w:bottom="1474" w:left="1797" w:header="283" w:footer="454" w:gutter="0"/>
          <w:cols w:space="708"/>
          <w:docGrid w:linePitch="360"/>
        </w:sectPr>
      </w:pPr>
      <w:r w:rsidRPr="00A82E56">
        <w:t>The Department of Finance provided indexation and efficiency dividend parameters.</w:t>
      </w:r>
    </w:p>
    <w:p w:rsidR="000B5C96" w:rsidRPr="00A82E56" w:rsidRDefault="000B5C96" w:rsidP="000B5C96">
      <w:pPr>
        <w:pStyle w:val="Heading6"/>
        <w:numPr>
          <w:ilvl w:val="0"/>
          <w:numId w:val="5"/>
        </w:numPr>
        <w:tabs>
          <w:tab w:val="clear" w:pos="0"/>
          <w:tab w:val="num" w:pos="360"/>
          <w:tab w:val="right" w:pos="1418"/>
          <w:tab w:val="right" w:pos="1701"/>
          <w:tab w:val="right" w:pos="1985"/>
        </w:tabs>
      </w:pPr>
      <w:r w:rsidRPr="00A82E56">
        <w:t>Attachment A: Harm Reduction in Health: Innovation Fund</w:t>
      </w:r>
      <w:r w:rsidRPr="00A82E56">
        <w:br/>
        <w:t>—financial implications</w:t>
      </w:r>
    </w:p>
    <w:p w:rsidR="000B5C96" w:rsidRPr="00A82E56" w:rsidRDefault="000B5C96" w:rsidP="003F606A">
      <w:pPr>
        <w:pStyle w:val="Caption"/>
        <w:rPr>
          <w:vertAlign w:val="superscript"/>
        </w:rPr>
      </w:pPr>
      <w:r w:rsidRPr="00A82E56">
        <w:t>Table A1: Harm Reduction in Health: Innovation Fund—Impact on fiscal and underlying cash balances</w:t>
      </w:r>
      <w:r w:rsidRPr="00A82E56">
        <w:rPr>
          <w:vertAlign w:val="superscript"/>
        </w:rPr>
        <w:t>(a)(b)</w:t>
      </w:r>
    </w:p>
    <w:tbl>
      <w:tblPr>
        <w:tblStyle w:val="TableGrid20"/>
        <w:tblW w:w="4995" w:type="pct"/>
        <w:tblLook w:val="04A0" w:firstRow="1" w:lastRow="0" w:firstColumn="1" w:lastColumn="0" w:noHBand="0" w:noVBand="1"/>
      </w:tblPr>
      <w:tblGrid>
        <w:gridCol w:w="2645"/>
        <w:gridCol w:w="1134"/>
        <w:gridCol w:w="1134"/>
        <w:gridCol w:w="1134"/>
        <w:gridCol w:w="1134"/>
        <w:gridCol w:w="1134"/>
      </w:tblGrid>
      <w:tr w:rsidR="000B5C96" w:rsidRPr="00A82E56"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0" w:type="pct"/>
            <w:vAlign w:val="center"/>
          </w:tcPr>
          <w:p w:rsidR="000B5C96" w:rsidRPr="00A82E56" w:rsidRDefault="000B5C96" w:rsidP="003F606A">
            <w:pPr>
              <w:keepNext/>
              <w:keepLines/>
              <w:spacing w:line="240" w:lineRule="auto"/>
              <w:ind w:left="57" w:right="57"/>
              <w:rPr>
                <w:szCs w:val="20"/>
              </w:rPr>
            </w:pPr>
            <w:r w:rsidRPr="00A82E56">
              <w:rPr>
                <w:szCs w:val="20"/>
              </w:rPr>
              <w:t>($m)</w:t>
            </w:r>
          </w:p>
        </w:tc>
        <w:tc>
          <w:tcPr>
            <w:tcW w:w="682" w:type="pct"/>
            <w:vAlign w:val="center"/>
          </w:tcPr>
          <w:p w:rsidR="000B5C96" w:rsidRPr="00A82E5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82E56">
              <w:t>2016–17</w:t>
            </w:r>
          </w:p>
        </w:tc>
        <w:tc>
          <w:tcPr>
            <w:tcW w:w="682" w:type="pct"/>
            <w:vAlign w:val="center"/>
          </w:tcPr>
          <w:p w:rsidR="000B5C96" w:rsidRPr="00A82E5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82E56">
              <w:t>2017–18</w:t>
            </w:r>
          </w:p>
        </w:tc>
        <w:tc>
          <w:tcPr>
            <w:tcW w:w="682" w:type="pct"/>
            <w:vAlign w:val="center"/>
          </w:tcPr>
          <w:p w:rsidR="000B5C96" w:rsidRPr="00A82E5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82E56">
              <w:t>2018–19</w:t>
            </w:r>
          </w:p>
        </w:tc>
        <w:tc>
          <w:tcPr>
            <w:tcW w:w="682" w:type="pct"/>
            <w:vAlign w:val="center"/>
          </w:tcPr>
          <w:p w:rsidR="000B5C96" w:rsidRPr="00A82E5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82E56">
              <w:t>2019–20</w:t>
            </w:r>
          </w:p>
        </w:tc>
        <w:tc>
          <w:tcPr>
            <w:tcW w:w="682" w:type="pct"/>
            <w:vAlign w:val="center"/>
          </w:tcPr>
          <w:p w:rsidR="000B5C96" w:rsidRPr="00A82E5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A82E56">
              <w:rPr>
                <w:b/>
              </w:rPr>
              <w:t>Total to 2019–20</w:t>
            </w:r>
          </w:p>
        </w:tc>
      </w:tr>
      <w:tr w:rsidR="000B5C96" w:rsidRPr="00A82E56"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0B5C96" w:rsidRPr="00A82E56" w:rsidRDefault="000B5C96" w:rsidP="003F606A">
            <w:pPr>
              <w:ind w:left="57" w:right="57"/>
            </w:pPr>
            <w:r w:rsidRPr="00A82E56">
              <w:t>Administered expenses</w:t>
            </w:r>
          </w:p>
        </w:tc>
        <w:tc>
          <w:tcPr>
            <w:tcW w:w="682" w:type="pct"/>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A82E56">
              <w:rPr>
                <w:rFonts w:ascii="Calibri" w:hAnsi="Calibri"/>
                <w:i/>
              </w:rPr>
              <w:t>-10.0</w:t>
            </w:r>
          </w:p>
        </w:tc>
        <w:tc>
          <w:tcPr>
            <w:tcW w:w="682" w:type="pct"/>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A82E56">
              <w:rPr>
                <w:rFonts w:ascii="Calibri" w:hAnsi="Calibri"/>
                <w:i/>
              </w:rPr>
              <w:t>-10.0</w:t>
            </w:r>
          </w:p>
        </w:tc>
        <w:tc>
          <w:tcPr>
            <w:tcW w:w="682" w:type="pct"/>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A82E56">
              <w:rPr>
                <w:rFonts w:ascii="Calibri" w:hAnsi="Calibri"/>
                <w:i/>
              </w:rPr>
              <w:t>-10.0</w:t>
            </w:r>
          </w:p>
        </w:tc>
        <w:tc>
          <w:tcPr>
            <w:tcW w:w="682" w:type="pct"/>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A82E56">
              <w:rPr>
                <w:rFonts w:ascii="Calibri" w:hAnsi="Calibri"/>
                <w:i/>
              </w:rPr>
              <w:t>-10.0</w:t>
            </w:r>
          </w:p>
        </w:tc>
        <w:tc>
          <w:tcPr>
            <w:tcW w:w="682" w:type="pct"/>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A82E56">
              <w:rPr>
                <w:rFonts w:ascii="Calibri" w:hAnsi="Calibri"/>
                <w:b/>
                <w:i/>
              </w:rPr>
              <w:t>-40.0</w:t>
            </w:r>
          </w:p>
        </w:tc>
      </w:tr>
      <w:tr w:rsidR="000B5C96" w:rsidRPr="00A82E56" w:rsidTr="003F606A">
        <w:tc>
          <w:tcPr>
            <w:cnfStyle w:val="001000000000" w:firstRow="0" w:lastRow="0" w:firstColumn="1" w:lastColumn="0" w:oddVBand="0" w:evenVBand="0" w:oddHBand="0" w:evenHBand="0" w:firstRowFirstColumn="0" w:firstRowLastColumn="0" w:lastRowFirstColumn="0" w:lastRowLastColumn="0"/>
            <w:tcW w:w="1590" w:type="pct"/>
          </w:tcPr>
          <w:p w:rsidR="000B5C96" w:rsidRPr="00A82E56" w:rsidRDefault="000B5C96" w:rsidP="003F606A">
            <w:pPr>
              <w:ind w:left="57" w:right="57"/>
            </w:pPr>
            <w:r w:rsidRPr="00A82E56">
              <w:t>Departmental expenses—Department of Health</w:t>
            </w:r>
          </w:p>
        </w:tc>
        <w:tc>
          <w:tcPr>
            <w:tcW w:w="682" w:type="pct"/>
          </w:tcPr>
          <w:p w:rsidR="000B5C96" w:rsidRPr="00A82E5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2E56">
              <w:rPr>
                <w:rFonts w:ascii="Calibri" w:hAnsi="Calibri"/>
                <w:i/>
              </w:rPr>
              <w:t>-0.4</w:t>
            </w:r>
          </w:p>
        </w:tc>
        <w:tc>
          <w:tcPr>
            <w:tcW w:w="682" w:type="pct"/>
          </w:tcPr>
          <w:p w:rsidR="000B5C96" w:rsidRPr="00A82E5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2E56">
              <w:rPr>
                <w:rFonts w:ascii="Calibri" w:hAnsi="Calibri"/>
                <w:i/>
              </w:rPr>
              <w:t>-0.5</w:t>
            </w:r>
          </w:p>
        </w:tc>
        <w:tc>
          <w:tcPr>
            <w:tcW w:w="682" w:type="pct"/>
          </w:tcPr>
          <w:p w:rsidR="000B5C96" w:rsidRPr="00A82E5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2E56">
              <w:rPr>
                <w:rFonts w:ascii="Calibri" w:hAnsi="Calibri"/>
                <w:i/>
              </w:rPr>
              <w:t>-0.5</w:t>
            </w:r>
          </w:p>
        </w:tc>
        <w:tc>
          <w:tcPr>
            <w:tcW w:w="682" w:type="pct"/>
          </w:tcPr>
          <w:p w:rsidR="000B5C96" w:rsidRPr="00A82E5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2E56">
              <w:rPr>
                <w:rFonts w:ascii="Calibri" w:hAnsi="Calibri"/>
                <w:i/>
              </w:rPr>
              <w:t>-0.5</w:t>
            </w:r>
          </w:p>
        </w:tc>
        <w:tc>
          <w:tcPr>
            <w:tcW w:w="682" w:type="pct"/>
          </w:tcPr>
          <w:p w:rsidR="000B5C96" w:rsidRPr="00A82E5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A82E56">
              <w:rPr>
                <w:rFonts w:ascii="Calibri" w:hAnsi="Calibri"/>
                <w:b/>
                <w:i/>
              </w:rPr>
              <w:t>-1.8</w:t>
            </w:r>
          </w:p>
        </w:tc>
      </w:tr>
      <w:tr w:rsidR="000B5C96" w:rsidRPr="00A82E56"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0B5C96" w:rsidRPr="00A82E56" w:rsidRDefault="000B5C96" w:rsidP="003F606A">
            <w:pPr>
              <w:ind w:left="57" w:right="57"/>
              <w:rPr>
                <w:b/>
              </w:rPr>
            </w:pPr>
            <w:r w:rsidRPr="00A82E56">
              <w:rPr>
                <w:b/>
              </w:rPr>
              <w:t>Total</w:t>
            </w:r>
          </w:p>
        </w:tc>
        <w:tc>
          <w:tcPr>
            <w:tcW w:w="682" w:type="pct"/>
            <w:shd w:val="clear" w:color="auto" w:fill="D7DDE9"/>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A82E56">
              <w:rPr>
                <w:rFonts w:ascii="Calibri" w:hAnsi="Calibri"/>
                <w:b/>
              </w:rPr>
              <w:t>-10.4</w:t>
            </w:r>
          </w:p>
        </w:tc>
        <w:tc>
          <w:tcPr>
            <w:tcW w:w="682" w:type="pct"/>
            <w:shd w:val="clear" w:color="auto" w:fill="D7DDE9"/>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A82E56">
              <w:rPr>
                <w:rFonts w:ascii="Calibri" w:hAnsi="Calibri"/>
                <w:b/>
              </w:rPr>
              <w:t>-10.5</w:t>
            </w:r>
          </w:p>
        </w:tc>
        <w:tc>
          <w:tcPr>
            <w:tcW w:w="682" w:type="pct"/>
            <w:shd w:val="clear" w:color="auto" w:fill="D7DDE9"/>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A82E56">
              <w:rPr>
                <w:rFonts w:ascii="Calibri" w:hAnsi="Calibri"/>
                <w:b/>
              </w:rPr>
              <w:t>-10.5</w:t>
            </w:r>
          </w:p>
        </w:tc>
        <w:tc>
          <w:tcPr>
            <w:tcW w:w="682" w:type="pct"/>
            <w:shd w:val="clear" w:color="auto" w:fill="D7DDE9"/>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A82E56">
              <w:rPr>
                <w:rFonts w:ascii="Calibri" w:hAnsi="Calibri"/>
                <w:b/>
              </w:rPr>
              <w:t>-10.5</w:t>
            </w:r>
          </w:p>
        </w:tc>
        <w:tc>
          <w:tcPr>
            <w:tcW w:w="682" w:type="pct"/>
            <w:shd w:val="clear" w:color="auto" w:fill="D7DDE9"/>
          </w:tcPr>
          <w:p w:rsidR="000B5C96" w:rsidRPr="00A82E5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A82E56">
              <w:rPr>
                <w:rFonts w:ascii="Calibri" w:hAnsi="Calibri"/>
                <w:b/>
              </w:rPr>
              <w:t>-41.8</w:t>
            </w:r>
          </w:p>
        </w:tc>
      </w:tr>
    </w:tbl>
    <w:p w:rsidR="000B5C96" w:rsidRDefault="000B5C96" w:rsidP="00774D51">
      <w:pPr>
        <w:pStyle w:val="Footnotes"/>
        <w:numPr>
          <w:ilvl w:val="0"/>
          <w:numId w:val="198"/>
        </w:numPr>
        <w:ind w:left="284" w:hanging="284"/>
      </w:pPr>
      <w:r w:rsidRPr="00A82E56">
        <w:t>A negative number indicates an increase in expenses in both accrual and cash terms.</w:t>
      </w:r>
    </w:p>
    <w:p w:rsidR="000B5C96" w:rsidRPr="00A82E56" w:rsidRDefault="000B5C96" w:rsidP="00774D51">
      <w:pPr>
        <w:pStyle w:val="Footnotes"/>
        <w:numPr>
          <w:ilvl w:val="0"/>
          <w:numId w:val="198"/>
        </w:numPr>
        <w:ind w:left="284" w:hanging="284"/>
      </w:pPr>
      <w:r w:rsidRPr="00A82E56">
        <w:t>Figures may not sum to totals due to rounding.</w:t>
      </w:r>
    </w:p>
    <w:p w:rsidR="000B5C96" w:rsidRDefault="000B5C96" w:rsidP="003F606A">
      <w:pPr>
        <w:pStyle w:val="BodyText"/>
      </w:pP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51" w:name="_Toc457979363"/>
      <w:bookmarkStart w:id="152" w:name="_Toc458069221"/>
      <w:r>
        <w:t>GRN046: Primary Health Care</w:t>
      </w:r>
      <w:bookmarkEnd w:id="151"/>
      <w:bookmarkEnd w:id="152"/>
    </w:p>
    <w:p w:rsidR="000B5C96" w:rsidRPr="009C09D3" w:rsidRDefault="000B5C96" w:rsidP="003F606A">
      <w:pPr>
        <w:pStyle w:val="BodyText"/>
      </w:pPr>
      <w:r w:rsidRPr="009C09D3">
        <w:rPr>
          <w:noProof/>
          <w:lang w:eastAsia="en-AU"/>
        </w:rPr>
        <w:drawing>
          <wp:inline distT="0" distB="0" distL="0" distR="0" wp14:anchorId="4EC70686" wp14:editId="445224FC">
            <wp:extent cx="2696845" cy="572135"/>
            <wp:effectExtent l="0" t="0" r="8255" b="0"/>
            <wp:docPr id="36" name="Picture 3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EE5AFB" w:rsidRDefault="000B5C96" w:rsidP="000B5C96">
      <w:pPr>
        <w:pStyle w:val="Heading6"/>
        <w:numPr>
          <w:ilvl w:val="0"/>
          <w:numId w:val="5"/>
        </w:numPr>
        <w:tabs>
          <w:tab w:val="clear" w:pos="0"/>
          <w:tab w:val="num" w:pos="360"/>
          <w:tab w:val="right" w:pos="1418"/>
          <w:tab w:val="right" w:pos="1701"/>
          <w:tab w:val="right" w:pos="1985"/>
        </w:tabs>
      </w:pPr>
      <w:r w:rsidRPr="00EE5AFB">
        <w:t>Policy costing—during the caretaker period for the 2016 general election</w:t>
      </w:r>
    </w:p>
    <w:tbl>
      <w:tblPr>
        <w:tblStyle w:val="TableGrid21"/>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862AB8" w:rsidRDefault="000B5C96" w:rsidP="003F606A">
            <w:pPr>
              <w:pStyle w:val="PullOutBoxHeading"/>
              <w:rPr>
                <w:b/>
              </w:rPr>
            </w:pPr>
            <w:r w:rsidRPr="00862AB8">
              <w:rPr>
                <w:b/>
              </w:rPr>
              <w:t>Name of proposal:</w:t>
            </w:r>
          </w:p>
        </w:tc>
        <w:tc>
          <w:tcPr>
            <w:tcW w:w="5335" w:type="dxa"/>
          </w:tcPr>
          <w:p w:rsidR="000B5C96" w:rsidRPr="00862AB8" w:rsidRDefault="000B5C96" w:rsidP="003F606A">
            <w:pPr>
              <w:pStyle w:val="PullOutBoxHeading"/>
              <w:cnfStyle w:val="100000000000" w:firstRow="1" w:lastRow="0" w:firstColumn="0" w:lastColumn="0" w:oddVBand="0" w:evenVBand="0" w:oddHBand="0" w:evenHBand="0" w:firstRowFirstColumn="0" w:firstRowLastColumn="0" w:lastRowFirstColumn="0" w:lastRowLastColumn="0"/>
              <w:rPr>
                <w:b/>
              </w:rPr>
            </w:pPr>
            <w:r w:rsidRPr="00862AB8">
              <w:rPr>
                <w:b/>
              </w:rPr>
              <w:t>Implementing Primary Health Care</w:t>
            </w:r>
          </w:p>
        </w:tc>
      </w:tr>
      <w:tr w:rsidR="000B5C96" w:rsidRPr="00EE5AF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EE5AFB" w:rsidRDefault="000B5C96" w:rsidP="003F606A">
            <w:pPr>
              <w:pStyle w:val="PullOutBoxBodyText"/>
            </w:pPr>
            <w:r w:rsidRPr="00EE5AFB">
              <w:t>Summary of proposal:</w:t>
            </w:r>
          </w:p>
        </w:tc>
        <w:tc>
          <w:tcPr>
            <w:tcW w:w="5335" w:type="dxa"/>
          </w:tcPr>
          <w:p w:rsidR="000B5C96" w:rsidRPr="00EE5AFB"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EE5AFB">
              <w:t>The proposal would make a payment of $1,000 per enrolled patient to doctors on an annual basis in return for enrolling patients who need ongoing management of a chronic disease condition.  The payments would compensate the doctor for time spent managing, planning and coordinating the care of the patient including with allied health providers, and are conditional on benchmarks (set by the Department of Health (Health) and local Primary Health Networks ) being met.</w:t>
            </w:r>
          </w:p>
          <w:p w:rsidR="000B5C96" w:rsidRPr="00EE5AFB"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EE5AFB">
              <w:t>The number of enrolled patients would be capped at one million patients per annum.</w:t>
            </w:r>
          </w:p>
          <w:p w:rsidR="000B5C96" w:rsidRPr="00EE5AFB"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EE5AFB">
              <w:t>The proposal would also phase out Medicare payments over two years by:</w:t>
            </w:r>
          </w:p>
          <w:p w:rsidR="000B5C96" w:rsidRPr="00EE5AFB"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pPr>
            <w:r w:rsidRPr="00EE5AFB">
              <w:t>Removing 50 per cent of chronic disease management items in the Medicare Benefits Schedule (MBS) in 2018-19</w:t>
            </w:r>
          </w:p>
          <w:p w:rsidR="000B5C96" w:rsidRPr="00EE5AFB"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pPr>
            <w:r w:rsidRPr="00EE5AFB">
              <w:t>Removing all chronic disease management items in 2019-20.</w:t>
            </w:r>
          </w:p>
          <w:p w:rsidR="000B5C96" w:rsidRPr="00EE5AFB"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EE5AFB">
              <w:t>The proposal would have effect from 1 July 2017.</w:t>
            </w:r>
          </w:p>
        </w:tc>
      </w:tr>
      <w:tr w:rsidR="000B5C96" w:rsidRPr="00EE5AFB"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EE5AFB" w:rsidRDefault="000B5C96" w:rsidP="003F606A">
            <w:pPr>
              <w:pStyle w:val="PullOutBoxBodyText"/>
            </w:pPr>
            <w:r w:rsidRPr="00EE5AFB">
              <w:t>Person/party requesting costing:</w:t>
            </w:r>
          </w:p>
        </w:tc>
        <w:tc>
          <w:tcPr>
            <w:tcW w:w="5335" w:type="dxa"/>
          </w:tcPr>
          <w:p w:rsidR="000B5C96" w:rsidRPr="00EE5AFB"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EE5AFB">
              <w:t>Senator Richard Di Natale, Australian Greens</w:t>
            </w:r>
          </w:p>
        </w:tc>
      </w:tr>
      <w:tr w:rsidR="000B5C96" w:rsidRPr="00EE5AF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EE5AFB" w:rsidRDefault="000B5C96" w:rsidP="003F606A">
            <w:pPr>
              <w:pStyle w:val="PullOutBoxBodyText"/>
            </w:pPr>
            <w:r w:rsidRPr="00EE5AFB">
              <w:t>Date of public release of policy:</w:t>
            </w:r>
          </w:p>
        </w:tc>
        <w:tc>
          <w:tcPr>
            <w:tcW w:w="5335" w:type="dxa"/>
          </w:tcPr>
          <w:p w:rsidR="000B5C96" w:rsidRPr="00EE5AFB"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EE5AFB">
              <w:t>27 May 2016</w:t>
            </w:r>
          </w:p>
          <w:p w:rsidR="000B5C96" w:rsidRPr="00EE5AFB" w:rsidRDefault="00E46526" w:rsidP="003F606A">
            <w:pPr>
              <w:pStyle w:val="PullOutBoxBodyText"/>
              <w:cnfStyle w:val="000000100000" w:firstRow="0" w:lastRow="0" w:firstColumn="0" w:lastColumn="0" w:oddVBand="0" w:evenVBand="0" w:oddHBand="1" w:evenHBand="0" w:firstRowFirstColumn="0" w:firstRowLastColumn="0" w:lastRowFirstColumn="0" w:lastRowLastColumn="0"/>
            </w:pPr>
            <w:hyperlink r:id="rId432" w:history="1">
              <w:r w:rsidR="000B5C96" w:rsidRPr="00EE5AFB">
                <w:rPr>
                  <w:color w:val="0000FF"/>
                  <w:u w:val="single"/>
                </w:rPr>
                <w:t>http://greens.org.au/primary-care</w:t>
              </w:r>
            </w:hyperlink>
          </w:p>
        </w:tc>
      </w:tr>
      <w:tr w:rsidR="000B5C96" w:rsidRPr="00EE5AFB"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EE5AFB" w:rsidRDefault="000B5C96" w:rsidP="003F606A">
            <w:pPr>
              <w:pStyle w:val="PullOutBoxBodyText"/>
            </w:pPr>
            <w:r w:rsidRPr="00EE5AFB">
              <w:t>Date costing request received:</w:t>
            </w:r>
          </w:p>
        </w:tc>
        <w:tc>
          <w:tcPr>
            <w:tcW w:w="5335" w:type="dxa"/>
          </w:tcPr>
          <w:p w:rsidR="000B5C96" w:rsidRPr="00EE5AFB"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EE5AFB">
              <w:t>29 June 2016</w:t>
            </w:r>
          </w:p>
        </w:tc>
      </w:tr>
      <w:tr w:rsidR="000B5C96" w:rsidRPr="00EE5AF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EE5AFB" w:rsidRDefault="000B5C96" w:rsidP="003F606A">
            <w:pPr>
              <w:pStyle w:val="PullOutBoxBodyText"/>
            </w:pPr>
            <w:r w:rsidRPr="00EE5AFB">
              <w:t>Date costing completed:</w:t>
            </w:r>
          </w:p>
        </w:tc>
        <w:tc>
          <w:tcPr>
            <w:tcW w:w="5335" w:type="dxa"/>
          </w:tcPr>
          <w:p w:rsidR="000B5C96" w:rsidRPr="00EE5AFB"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EE5AFB">
              <w:t>30 June 2016</w:t>
            </w:r>
          </w:p>
        </w:tc>
      </w:tr>
      <w:tr w:rsidR="000B5C96" w:rsidRPr="00EE5AFB"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EE5AFB" w:rsidRDefault="000B5C96" w:rsidP="003F606A">
            <w:pPr>
              <w:pStyle w:val="PullOutBoxBodyText"/>
            </w:pPr>
            <w:r w:rsidRPr="00EE5AFB">
              <w:t>Additional information requested:</w:t>
            </w:r>
          </w:p>
        </w:tc>
        <w:tc>
          <w:tcPr>
            <w:tcW w:w="5335" w:type="dxa"/>
          </w:tcPr>
          <w:p w:rsidR="000B5C96" w:rsidRPr="00EE5AFB"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EE5AFB">
              <w:t>On 29 June 2016 clarification was sought from the office of Senator Di Natale (the Office) as to the start date of the policy.</w:t>
            </w:r>
          </w:p>
        </w:tc>
      </w:tr>
      <w:tr w:rsidR="000B5C96" w:rsidRPr="00EE5AF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EE5AFB" w:rsidRDefault="000B5C96" w:rsidP="003F606A">
            <w:pPr>
              <w:pStyle w:val="PullOutBoxBodyText"/>
              <w:keepNext/>
              <w:keepLines/>
            </w:pPr>
            <w:r w:rsidRPr="00EE5AFB">
              <w:t>Additional information received:</w:t>
            </w:r>
          </w:p>
        </w:tc>
        <w:tc>
          <w:tcPr>
            <w:tcW w:w="5335" w:type="dxa"/>
          </w:tcPr>
          <w:p w:rsidR="000B5C96" w:rsidRPr="00EE5AFB" w:rsidRDefault="000B5C96" w:rsidP="003F606A">
            <w:pPr>
              <w:pStyle w:val="PullOutBoxBodyText"/>
              <w:keepNext/>
              <w:keepLines/>
              <w:cnfStyle w:val="000000100000" w:firstRow="0" w:lastRow="0" w:firstColumn="0" w:lastColumn="0" w:oddVBand="0" w:evenVBand="0" w:oddHBand="1" w:evenHBand="0" w:firstRowFirstColumn="0" w:firstRowLastColumn="0" w:lastRowFirstColumn="0" w:lastRowLastColumn="0"/>
            </w:pPr>
            <w:r w:rsidRPr="00EE5AFB">
              <w:t>On 29 June 2016 the Office advised that the proposal would commence on 1 July 2017.</w:t>
            </w:r>
          </w:p>
        </w:tc>
      </w:tr>
      <w:tr w:rsidR="000B5C96" w:rsidRPr="00EE5AFB"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EE5AFB" w:rsidRDefault="000B5C96" w:rsidP="003F606A">
            <w:pPr>
              <w:pStyle w:val="PullOutBoxBodyText"/>
            </w:pPr>
            <w:r w:rsidRPr="00EE5AFB">
              <w:t>Expiry date for the costing:</w:t>
            </w:r>
          </w:p>
        </w:tc>
        <w:tc>
          <w:tcPr>
            <w:tcW w:w="5335" w:type="dxa"/>
          </w:tcPr>
          <w:p w:rsidR="000B5C96" w:rsidRPr="00EE5AFB"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EE5AFB">
              <w:t>Release of the next economic and fiscal outlook report</w:t>
            </w:r>
          </w:p>
        </w:tc>
      </w:tr>
    </w:tbl>
    <w:p w:rsidR="000B5C96" w:rsidRPr="00EE5AFB" w:rsidRDefault="000B5C96" w:rsidP="003F606A">
      <w:pPr>
        <w:pStyle w:val="CostingsH7"/>
        <w:rPr>
          <w:rFonts w:eastAsia="Calibri"/>
        </w:rPr>
      </w:pPr>
      <w:r w:rsidRPr="00EE5AFB">
        <w:rPr>
          <w:rFonts w:eastAsia="Calibri"/>
        </w:rPr>
        <w:t>Costing overview</w:t>
      </w:r>
    </w:p>
    <w:p w:rsidR="000B5C96" w:rsidRPr="00EE5AFB" w:rsidRDefault="000B5C96" w:rsidP="003F606A">
      <w:pPr>
        <w:pStyle w:val="BodyText"/>
      </w:pPr>
      <w:r w:rsidRPr="00EE5AFB">
        <w:t>This proposal would be expected to decrease the fiscal and underlying cash balances by $1,057.7 million over the 2016-17 Budget forward estimates period.  The impacts are due to an increase in administered expenses of $1,044.4 million and an increase in departmental expenses of $13.4 million.</w:t>
      </w:r>
    </w:p>
    <w:p w:rsidR="000B5C96" w:rsidRPr="00EE5AFB" w:rsidRDefault="000B5C96" w:rsidP="003F606A">
      <w:pPr>
        <w:pStyle w:val="BodyText"/>
      </w:pPr>
      <w:r w:rsidRPr="00EE5AFB">
        <w:t xml:space="preserve">The increase in administered expenses over the forward estimates reflects increased expenditure of $2,700 million related to payments for enrolled patients partially offset by reduced expenditure of $1,655.6 million resulting from the phasing out of MBS payments for the specified list of current chronic disease management items (refer to </w:t>
      </w:r>
      <w:r w:rsidRPr="00EE5AFB">
        <w:rPr>
          <w:u w:val="single"/>
        </w:rPr>
        <w:t>Attachment A</w:t>
      </w:r>
      <w:r w:rsidRPr="00EE5AFB">
        <w:t xml:space="preserve"> for specified items).</w:t>
      </w:r>
    </w:p>
    <w:p w:rsidR="000B5C96" w:rsidRPr="00EE5AFB" w:rsidRDefault="000B5C96" w:rsidP="003F606A">
      <w:pPr>
        <w:pStyle w:val="BodyText"/>
      </w:pPr>
      <w:r w:rsidRPr="00EE5AFB">
        <w:t>This proposal would result in an ongoing annual improvement to the budget.  In 2019-20 and each year thereafter the savings from removing items from the MBS would be greater than the cost of payments for enrolled patients and the associated departmental costs.  A breakdown of the financial impact over the period 2016</w:t>
      </w:r>
      <w:r w:rsidRPr="00EE5AFB">
        <w:noBreakHyphen/>
        <w:t xml:space="preserve">17 to 2026-27 is provided at </w:t>
      </w:r>
      <w:r w:rsidRPr="00EE5AFB">
        <w:rPr>
          <w:u w:val="single"/>
        </w:rPr>
        <w:t>Attachment B.</w:t>
      </w:r>
    </w:p>
    <w:p w:rsidR="000B5C96" w:rsidRPr="00EE5AFB" w:rsidRDefault="000B5C96" w:rsidP="003F606A">
      <w:pPr>
        <w:pStyle w:val="BodyText"/>
      </w:pPr>
      <w:r w:rsidRPr="00EE5AFB">
        <w:t>This costing is considered to be of medium reliability due to uncertainty surrounding the growth rate of the chronic disease management items being removed from 2018-19 under this proposal</w:t>
      </w:r>
      <w:r w:rsidRPr="00EE5AFB">
        <w:rPr>
          <w:rFonts w:eastAsia="Times New Roman"/>
        </w:rPr>
        <w:t>.</w:t>
      </w:r>
    </w:p>
    <w:p w:rsidR="000B5C96" w:rsidRPr="00EE5AFB" w:rsidRDefault="000B5C96" w:rsidP="003F606A">
      <w:pPr>
        <w:pStyle w:val="Caption"/>
      </w:pPr>
      <w:r w:rsidRPr="00EE5AFB">
        <w:t>Table 1: Financial implications (outturn prices)</w:t>
      </w:r>
      <w:r w:rsidRPr="00EE5AFB">
        <w:rPr>
          <w:vertAlign w:val="superscript"/>
        </w:rPr>
        <w:t>(a)</w:t>
      </w:r>
    </w:p>
    <w:tbl>
      <w:tblPr>
        <w:tblStyle w:val="TableGrid21"/>
        <w:tblW w:w="4993" w:type="pct"/>
        <w:tblLook w:val="04A0" w:firstRow="1" w:lastRow="0" w:firstColumn="1" w:lastColumn="0" w:noHBand="0" w:noVBand="1"/>
      </w:tblPr>
      <w:tblGrid>
        <w:gridCol w:w="2645"/>
        <w:gridCol w:w="1134"/>
        <w:gridCol w:w="1133"/>
        <w:gridCol w:w="1133"/>
        <w:gridCol w:w="1133"/>
        <w:gridCol w:w="1132"/>
      </w:tblGrid>
      <w:tr w:rsidR="000B5C96" w:rsidRPr="00EE5AFB"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EE5AFB" w:rsidRDefault="000B5C96" w:rsidP="003F606A">
            <w:pPr>
              <w:keepNext/>
              <w:keepLines/>
              <w:spacing w:line="240" w:lineRule="auto"/>
              <w:ind w:left="57" w:right="57"/>
              <w:rPr>
                <w:sz w:val="20"/>
                <w:szCs w:val="20"/>
              </w:rPr>
            </w:pPr>
            <w:r w:rsidRPr="00EE5AFB">
              <w:rPr>
                <w:sz w:val="20"/>
                <w:szCs w:val="20"/>
              </w:rPr>
              <w:t>Impact on ($m)</w:t>
            </w:r>
          </w:p>
        </w:tc>
        <w:tc>
          <w:tcPr>
            <w:tcW w:w="682" w:type="pct"/>
            <w:vAlign w:val="center"/>
          </w:tcPr>
          <w:p w:rsidR="000B5C96" w:rsidRPr="00EE5AFB"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E5AFB">
              <w:rPr>
                <w:sz w:val="20"/>
                <w:szCs w:val="20"/>
              </w:rPr>
              <w:t>2016–17</w:t>
            </w:r>
          </w:p>
        </w:tc>
        <w:tc>
          <w:tcPr>
            <w:tcW w:w="682" w:type="pct"/>
            <w:vAlign w:val="center"/>
          </w:tcPr>
          <w:p w:rsidR="000B5C96" w:rsidRPr="00EE5AFB"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E5AFB">
              <w:rPr>
                <w:sz w:val="20"/>
                <w:szCs w:val="20"/>
              </w:rPr>
              <w:t>2017–18</w:t>
            </w:r>
          </w:p>
        </w:tc>
        <w:tc>
          <w:tcPr>
            <w:tcW w:w="682" w:type="pct"/>
            <w:vAlign w:val="center"/>
          </w:tcPr>
          <w:p w:rsidR="000B5C96" w:rsidRPr="00EE5AFB"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E5AFB">
              <w:rPr>
                <w:sz w:val="20"/>
                <w:szCs w:val="20"/>
              </w:rPr>
              <w:t>2018–19</w:t>
            </w:r>
          </w:p>
        </w:tc>
        <w:tc>
          <w:tcPr>
            <w:tcW w:w="682" w:type="pct"/>
            <w:vAlign w:val="center"/>
          </w:tcPr>
          <w:p w:rsidR="000B5C96" w:rsidRPr="00EE5AFB"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E5AFB">
              <w:rPr>
                <w:sz w:val="20"/>
                <w:szCs w:val="20"/>
              </w:rPr>
              <w:t>2019–20</w:t>
            </w:r>
          </w:p>
        </w:tc>
        <w:tc>
          <w:tcPr>
            <w:tcW w:w="681" w:type="pct"/>
            <w:vAlign w:val="center"/>
          </w:tcPr>
          <w:p w:rsidR="000B5C96" w:rsidRPr="00EE5AFB"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E5AFB">
              <w:rPr>
                <w:sz w:val="20"/>
                <w:szCs w:val="20"/>
              </w:rPr>
              <w:t>Total</w:t>
            </w:r>
          </w:p>
        </w:tc>
      </w:tr>
      <w:tr w:rsidR="000B5C96" w:rsidRPr="00EE5AF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Align w:val="center"/>
          </w:tcPr>
          <w:p w:rsidR="000B5C96" w:rsidRPr="00EE5AFB" w:rsidRDefault="000B5C96" w:rsidP="003F606A">
            <w:pPr>
              <w:keepNext/>
              <w:keepLines/>
              <w:spacing w:line="240" w:lineRule="auto"/>
              <w:ind w:left="57" w:right="57"/>
              <w:rPr>
                <w:rFonts w:ascii="Calibri" w:hAnsi="Calibri"/>
                <w:sz w:val="20"/>
                <w:szCs w:val="20"/>
              </w:rPr>
            </w:pPr>
            <w:r w:rsidRPr="00EE5AFB">
              <w:rPr>
                <w:rFonts w:ascii="Calibri" w:hAnsi="Calibri"/>
                <w:sz w:val="20"/>
                <w:szCs w:val="20"/>
              </w:rPr>
              <w:t>Fiscal balance</w:t>
            </w:r>
          </w:p>
        </w:tc>
        <w:tc>
          <w:tcPr>
            <w:tcW w:w="682" w:type="pct"/>
            <w:vAlign w:val="center"/>
          </w:tcPr>
          <w:p w:rsidR="000B5C96" w:rsidRPr="00EE5AF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E5AFB">
              <w:rPr>
                <w:rFonts w:ascii="Calibri" w:hAnsi="Calibri"/>
                <w:sz w:val="20"/>
                <w:szCs w:val="20"/>
              </w:rPr>
              <w:t>-</w:t>
            </w:r>
          </w:p>
        </w:tc>
        <w:tc>
          <w:tcPr>
            <w:tcW w:w="682" w:type="pct"/>
            <w:vAlign w:val="center"/>
          </w:tcPr>
          <w:p w:rsidR="000B5C96" w:rsidRPr="00EE5AF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E5AFB">
              <w:rPr>
                <w:rFonts w:ascii="Calibri" w:hAnsi="Calibri"/>
                <w:sz w:val="20"/>
                <w:szCs w:val="20"/>
              </w:rPr>
              <w:t>-706.7</w:t>
            </w:r>
          </w:p>
        </w:tc>
        <w:tc>
          <w:tcPr>
            <w:tcW w:w="682" w:type="pct"/>
            <w:vAlign w:val="center"/>
          </w:tcPr>
          <w:p w:rsidR="000B5C96" w:rsidRPr="00EE5AF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E5AFB">
              <w:rPr>
                <w:rFonts w:ascii="Calibri" w:hAnsi="Calibri"/>
                <w:sz w:val="20"/>
                <w:szCs w:val="20"/>
              </w:rPr>
              <w:t>-471.0</w:t>
            </w:r>
          </w:p>
        </w:tc>
        <w:tc>
          <w:tcPr>
            <w:tcW w:w="682" w:type="pct"/>
            <w:vAlign w:val="center"/>
          </w:tcPr>
          <w:p w:rsidR="000B5C96" w:rsidRPr="00EE5AF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E5AFB">
              <w:rPr>
                <w:rFonts w:ascii="Calibri" w:hAnsi="Calibri"/>
                <w:sz w:val="20"/>
                <w:szCs w:val="20"/>
              </w:rPr>
              <w:t>120.0</w:t>
            </w:r>
          </w:p>
        </w:tc>
        <w:tc>
          <w:tcPr>
            <w:tcW w:w="681" w:type="pct"/>
            <w:vAlign w:val="center"/>
          </w:tcPr>
          <w:p w:rsidR="000B5C96" w:rsidRPr="00EE5AF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EE5AFB">
              <w:rPr>
                <w:rFonts w:ascii="Calibri" w:hAnsi="Calibri"/>
                <w:b/>
                <w:sz w:val="20"/>
                <w:szCs w:val="20"/>
              </w:rPr>
              <w:t>-1,057.7</w:t>
            </w:r>
          </w:p>
        </w:tc>
      </w:tr>
      <w:tr w:rsidR="000B5C96" w:rsidRPr="00EE5AFB" w:rsidTr="003F606A">
        <w:tc>
          <w:tcPr>
            <w:cnfStyle w:val="001000000000" w:firstRow="0" w:lastRow="0" w:firstColumn="1" w:lastColumn="0" w:oddVBand="0" w:evenVBand="0" w:oddHBand="0" w:evenHBand="0" w:firstRowFirstColumn="0" w:firstRowLastColumn="0" w:lastRowFirstColumn="0" w:lastRowLastColumn="0"/>
            <w:tcW w:w="1591" w:type="pct"/>
            <w:vAlign w:val="center"/>
          </w:tcPr>
          <w:p w:rsidR="000B5C96" w:rsidRPr="00EE5AFB" w:rsidRDefault="000B5C96" w:rsidP="003F606A">
            <w:pPr>
              <w:keepNext/>
              <w:keepLines/>
              <w:spacing w:line="240" w:lineRule="auto"/>
              <w:ind w:left="57" w:right="57"/>
              <w:rPr>
                <w:rFonts w:ascii="Calibri" w:hAnsi="Calibri"/>
                <w:sz w:val="20"/>
                <w:szCs w:val="20"/>
              </w:rPr>
            </w:pPr>
            <w:r w:rsidRPr="00EE5AFB">
              <w:rPr>
                <w:rFonts w:ascii="Calibri" w:hAnsi="Calibri"/>
                <w:sz w:val="20"/>
                <w:szCs w:val="20"/>
              </w:rPr>
              <w:t>Underlying cash balance</w:t>
            </w:r>
          </w:p>
        </w:tc>
        <w:tc>
          <w:tcPr>
            <w:tcW w:w="682" w:type="pct"/>
            <w:vAlign w:val="center"/>
          </w:tcPr>
          <w:p w:rsidR="000B5C96" w:rsidRPr="00EE5AF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5AFB">
              <w:rPr>
                <w:rFonts w:ascii="Calibri" w:hAnsi="Calibri"/>
                <w:sz w:val="20"/>
                <w:szCs w:val="20"/>
              </w:rPr>
              <w:t>-</w:t>
            </w:r>
          </w:p>
        </w:tc>
        <w:tc>
          <w:tcPr>
            <w:tcW w:w="682" w:type="pct"/>
            <w:vAlign w:val="center"/>
          </w:tcPr>
          <w:p w:rsidR="000B5C96" w:rsidRPr="00EE5AF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5AFB">
              <w:rPr>
                <w:rFonts w:ascii="Calibri" w:hAnsi="Calibri"/>
                <w:sz w:val="20"/>
                <w:szCs w:val="20"/>
              </w:rPr>
              <w:t>-706.7</w:t>
            </w:r>
          </w:p>
        </w:tc>
        <w:tc>
          <w:tcPr>
            <w:tcW w:w="682" w:type="pct"/>
            <w:vAlign w:val="center"/>
          </w:tcPr>
          <w:p w:rsidR="000B5C96" w:rsidRPr="00EE5AF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5AFB">
              <w:rPr>
                <w:rFonts w:ascii="Calibri" w:hAnsi="Calibri"/>
                <w:sz w:val="20"/>
                <w:szCs w:val="20"/>
              </w:rPr>
              <w:t>-471.0</w:t>
            </w:r>
          </w:p>
        </w:tc>
        <w:tc>
          <w:tcPr>
            <w:tcW w:w="682" w:type="pct"/>
            <w:vAlign w:val="center"/>
          </w:tcPr>
          <w:p w:rsidR="000B5C96" w:rsidRPr="00EE5AF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5AFB">
              <w:rPr>
                <w:rFonts w:ascii="Calibri" w:hAnsi="Calibri"/>
                <w:sz w:val="20"/>
                <w:szCs w:val="20"/>
              </w:rPr>
              <w:t>120.0</w:t>
            </w:r>
          </w:p>
        </w:tc>
        <w:tc>
          <w:tcPr>
            <w:tcW w:w="681" w:type="pct"/>
            <w:vAlign w:val="center"/>
          </w:tcPr>
          <w:p w:rsidR="000B5C96" w:rsidRPr="00EE5AF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sz w:val="20"/>
                <w:szCs w:val="20"/>
              </w:rPr>
              <w:t>-1,057.7</w:t>
            </w:r>
          </w:p>
        </w:tc>
      </w:tr>
    </w:tbl>
    <w:p w:rsidR="000B5C96" w:rsidRPr="00EE5AFB" w:rsidRDefault="000B5C96" w:rsidP="00436E0B">
      <w:pPr>
        <w:pStyle w:val="Footnotes"/>
        <w:numPr>
          <w:ilvl w:val="0"/>
          <w:numId w:val="199"/>
        </w:numPr>
        <w:ind w:left="284" w:hanging="284"/>
      </w:pPr>
      <w:r w:rsidRPr="00EE5AFB">
        <w:t>A positive number indicates an increase in the relevant budget balance, a negative number a decrease.</w:t>
      </w:r>
    </w:p>
    <w:p w:rsidR="000B5C96" w:rsidRPr="001140F1" w:rsidRDefault="000B5C96" w:rsidP="00436E0B">
      <w:pPr>
        <w:pStyle w:val="Footnotes"/>
        <w:numPr>
          <w:ilvl w:val="0"/>
          <w:numId w:val="199"/>
        </w:numPr>
        <w:ind w:left="284" w:hanging="284"/>
        <w:rPr>
          <w:rFonts w:ascii="Times New Roman" w:eastAsia="Times New Roman" w:hAnsi="Times New Roman"/>
          <w:lang w:eastAsia="en-AU"/>
        </w:rPr>
      </w:pPr>
      <w:r w:rsidRPr="00EE5AFB">
        <w:t>Figures may not sum to totals due to rounding.</w:t>
      </w:r>
    </w:p>
    <w:p w:rsidR="000B5C96" w:rsidRPr="00EE5AFB" w:rsidRDefault="000B5C96" w:rsidP="000B5C96">
      <w:pPr>
        <w:pStyle w:val="Footnotes"/>
        <w:numPr>
          <w:ilvl w:val="0"/>
          <w:numId w:val="114"/>
        </w:numPr>
        <w:ind w:left="284" w:hanging="284"/>
      </w:pPr>
      <w:r w:rsidRPr="00EE5AFB">
        <w:t>Indicates nil.</w:t>
      </w:r>
    </w:p>
    <w:p w:rsidR="000B5C96" w:rsidRPr="00EE5AFB" w:rsidRDefault="000B5C96" w:rsidP="003F606A">
      <w:pPr>
        <w:pStyle w:val="CostingsH7"/>
        <w:rPr>
          <w:rFonts w:eastAsia="Calibri"/>
        </w:rPr>
      </w:pPr>
      <w:r w:rsidRPr="00EE5AFB">
        <w:rPr>
          <w:rFonts w:eastAsia="Calibri"/>
        </w:rPr>
        <w:t>Key assumptions</w:t>
      </w:r>
    </w:p>
    <w:p w:rsidR="000B5C96" w:rsidRPr="00EE5AFB" w:rsidRDefault="000B5C96" w:rsidP="003F606A">
      <w:pPr>
        <w:pStyle w:val="BodyText"/>
        <w:keepNext/>
        <w:keepLines/>
      </w:pPr>
      <w:r w:rsidRPr="00EE5AFB">
        <w:t>In costing the proposal, it has been assumed that:</w:t>
      </w:r>
    </w:p>
    <w:p w:rsidR="000B5C96" w:rsidRPr="00EE5AFB" w:rsidRDefault="000B5C96" w:rsidP="000B5C96">
      <w:pPr>
        <w:pStyle w:val="ListBullet"/>
        <w:keepNext/>
        <w:numPr>
          <w:ilvl w:val="0"/>
          <w:numId w:val="2"/>
        </w:numPr>
        <w:spacing w:before="113"/>
        <w:ind w:left="454" w:hanging="454"/>
        <w:rPr>
          <w:lang w:eastAsia="en-AU"/>
        </w:rPr>
      </w:pPr>
      <w:r w:rsidRPr="00EE5AFB">
        <w:rPr>
          <w:lang w:eastAsia="en-AU"/>
        </w:rPr>
        <w:t>the chronic disease management items removed in 2018</w:t>
      </w:r>
      <w:r w:rsidRPr="00EE5AFB">
        <w:rPr>
          <w:lang w:eastAsia="en-AU"/>
        </w:rPr>
        <w:noBreakHyphen/>
        <w:t>19 would represent 50 per cent of the costs of all of the items specified to be removed from 2019</w:t>
      </w:r>
      <w:r w:rsidRPr="00EE5AFB">
        <w:rPr>
          <w:lang w:eastAsia="en-AU"/>
        </w:rPr>
        <w:noBreakHyphen/>
        <w:t>20 onwards.  This is due to the uncertainty regarding which chronic disease management items would be removed in 2018</w:t>
      </w:r>
      <w:r w:rsidRPr="00EE5AFB">
        <w:rPr>
          <w:lang w:eastAsia="en-AU"/>
        </w:rPr>
        <w:noBreakHyphen/>
        <w:t>19, which is subject to consultation as specified in the proposal.</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70 per cent of the capped one million patients with a chronic disease condition would enrol with doctors in the second half of 2017-18 and the remaining 30 per cent would enrol with doctors in 2018-19.</w:t>
      </w:r>
    </w:p>
    <w:p w:rsidR="000B5C96" w:rsidRPr="00EE5AFB" w:rsidRDefault="000B5C96" w:rsidP="003F606A">
      <w:pPr>
        <w:pStyle w:val="CostingsH7"/>
        <w:rPr>
          <w:rFonts w:eastAsia="Calibri"/>
        </w:rPr>
      </w:pPr>
      <w:r w:rsidRPr="00EE5AFB">
        <w:rPr>
          <w:rFonts w:eastAsia="Calibri"/>
        </w:rPr>
        <w:t>Methodology</w:t>
      </w:r>
    </w:p>
    <w:p w:rsidR="000B5C96" w:rsidRPr="00000708" w:rsidRDefault="000B5C96" w:rsidP="003F606A">
      <w:pPr>
        <w:pStyle w:val="CostingsH8"/>
        <w:rPr>
          <w:rFonts w:eastAsia="Calibri"/>
          <w:b w:val="0"/>
          <w:i/>
        </w:rPr>
      </w:pPr>
      <w:r w:rsidRPr="00000708">
        <w:rPr>
          <w:rFonts w:eastAsia="Calibri"/>
          <w:b w:val="0"/>
          <w:i/>
        </w:rPr>
        <w:t>Administered expenses</w:t>
      </w:r>
    </w:p>
    <w:p w:rsidR="000B5C96" w:rsidRPr="00EE5AFB" w:rsidRDefault="000B5C96" w:rsidP="003F606A">
      <w:pPr>
        <w:pStyle w:val="BodyText"/>
      </w:pPr>
      <w:r w:rsidRPr="00EE5AFB">
        <w:t>The costs of additional payments to doctors were derived by multiplying the specified number of enrolled patients with a chronic disease condition by the specified annual payments to doctors per enrolled patient ($1,000).</w:t>
      </w:r>
    </w:p>
    <w:p w:rsidR="000B5C96" w:rsidRPr="00EE5AFB" w:rsidRDefault="000B5C96" w:rsidP="003F606A">
      <w:pPr>
        <w:pStyle w:val="BodyText"/>
      </w:pPr>
      <w:r w:rsidRPr="00EE5AFB">
        <w:t>The savings from reduced Medicare payments for chronic disease management items were calculated based on applying the appropriate growth rate (based on the historical trend in MBS benefits paid) to expenditure of these items in 2014</w:t>
      </w:r>
      <w:r w:rsidRPr="00EE5AFB">
        <w:noBreakHyphen/>
        <w:t>15.</w:t>
      </w:r>
    </w:p>
    <w:p w:rsidR="000B5C96" w:rsidRPr="00000708" w:rsidRDefault="000B5C96" w:rsidP="003F606A">
      <w:pPr>
        <w:pStyle w:val="CostingsH8"/>
        <w:rPr>
          <w:rFonts w:eastAsia="Calibri"/>
          <w:b w:val="0"/>
          <w:i/>
        </w:rPr>
      </w:pPr>
      <w:r w:rsidRPr="00000708">
        <w:rPr>
          <w:rFonts w:eastAsia="Calibri"/>
          <w:b w:val="0"/>
          <w:i/>
        </w:rPr>
        <w:t>Departmental expenses</w:t>
      </w:r>
    </w:p>
    <w:p w:rsidR="000B5C96" w:rsidRPr="00EE5AFB" w:rsidRDefault="000B5C96" w:rsidP="003F606A">
      <w:pPr>
        <w:pStyle w:val="BodyText"/>
      </w:pPr>
      <w:r w:rsidRPr="00EE5AFB">
        <w:t>The additional departmental expenses for the Department of Human Services (DHS) related to payments for enrolled patients were derived by multiplying the specified number of enrolled patients by the estimated processing cost per transaction with additional funding for the development of the payment system in 2016-17.</w:t>
      </w:r>
    </w:p>
    <w:p w:rsidR="000B5C96" w:rsidRPr="00EE5AFB" w:rsidRDefault="000B5C96" w:rsidP="003F606A">
      <w:pPr>
        <w:pStyle w:val="BodyText"/>
      </w:pPr>
      <w:r w:rsidRPr="00EE5AFB">
        <w:t>The savings in departmental costs for DHS were derived by multiplying the estimated number of services for MBS items that would be removed under this proposal by the estimated processing cost per transaction.</w:t>
      </w:r>
    </w:p>
    <w:p w:rsidR="000B5C96" w:rsidRPr="00EE5AFB" w:rsidRDefault="000B5C96" w:rsidP="003F606A">
      <w:pPr>
        <w:pStyle w:val="BodyText"/>
      </w:pPr>
      <w:r w:rsidRPr="00EE5AFB">
        <w:t>The departmental costs for Health were calculated based on similar sized programs</w:t>
      </w:r>
      <w:r w:rsidRPr="00EE5AFB">
        <w:rPr>
          <w:vertAlign w:val="superscript"/>
        </w:rPr>
        <w:footnoteReference w:id="10"/>
      </w:r>
      <w:r w:rsidRPr="00EE5AFB">
        <w:t>.</w:t>
      </w:r>
    </w:p>
    <w:p w:rsidR="000B5C96" w:rsidRPr="00EE5AFB" w:rsidRDefault="000B5C96" w:rsidP="003F606A">
      <w:pPr>
        <w:pStyle w:val="CostingsH7"/>
        <w:rPr>
          <w:rFonts w:eastAsia="Calibri"/>
        </w:rPr>
      </w:pPr>
      <w:r w:rsidRPr="00EE5AFB">
        <w:rPr>
          <w:rFonts w:eastAsia="Calibri"/>
        </w:rPr>
        <w:t>Data sources</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The Department of Finance - indexation and efficiency dividend parameters.</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Medicare statistics, </w:t>
      </w:r>
      <w:hyperlink r:id="rId433" w:history="1">
        <w:r w:rsidRPr="00EE5AFB">
          <w:rPr>
            <w:lang w:eastAsia="en-AU"/>
          </w:rPr>
          <w:t>http://medicarestatistics.humanservices.gov.au/statistics/mbs_item.jsp</w:t>
        </w:r>
      </w:hyperlink>
      <w:r w:rsidRPr="00EE5AFB">
        <w:rPr>
          <w:lang w:eastAsia="en-AU"/>
        </w:rPr>
        <w:t>.</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Department of Human Services provided the 2016-17 Budget Funding Model on Unit Prices for National Policy Proposals.</w:t>
      </w:r>
    </w:p>
    <w:p w:rsidR="000B5C96" w:rsidRPr="00EE5AFB" w:rsidRDefault="000B5C96" w:rsidP="000B5C96">
      <w:pPr>
        <w:pStyle w:val="ListBullet"/>
        <w:keepLines w:val="0"/>
        <w:numPr>
          <w:ilvl w:val="0"/>
          <w:numId w:val="2"/>
        </w:numPr>
        <w:spacing w:before="113"/>
        <w:ind w:left="454" w:hanging="454"/>
        <w:rPr>
          <w:lang w:eastAsia="en-AU"/>
        </w:rPr>
        <w:sectPr w:rsidR="000B5C96" w:rsidRPr="00EE5AFB" w:rsidSect="003F606A">
          <w:headerReference w:type="even" r:id="rId434"/>
          <w:headerReference w:type="default" r:id="rId435"/>
          <w:footerReference w:type="even" r:id="rId436"/>
          <w:footerReference w:type="default" r:id="rId437"/>
          <w:headerReference w:type="first" r:id="rId438"/>
          <w:footerReference w:type="first" r:id="rId439"/>
          <w:footnotePr>
            <w:numRestart w:val="eachSect"/>
          </w:footnotePr>
          <w:pgSz w:w="11906" w:h="16838"/>
          <w:pgMar w:top="1361" w:right="1797" w:bottom="1474" w:left="1797" w:header="283" w:footer="454" w:gutter="0"/>
          <w:cols w:space="708"/>
          <w:docGrid w:linePitch="360"/>
        </w:sectPr>
      </w:pPr>
    </w:p>
    <w:p w:rsidR="000B5C96" w:rsidRPr="00EE5AFB" w:rsidRDefault="000B5C96" w:rsidP="000B5C96">
      <w:pPr>
        <w:pStyle w:val="Heading6"/>
        <w:numPr>
          <w:ilvl w:val="0"/>
          <w:numId w:val="5"/>
        </w:numPr>
        <w:tabs>
          <w:tab w:val="clear" w:pos="0"/>
          <w:tab w:val="num" w:pos="360"/>
          <w:tab w:val="right" w:pos="1418"/>
          <w:tab w:val="right" w:pos="1701"/>
          <w:tab w:val="right" w:pos="1985"/>
        </w:tabs>
      </w:pPr>
      <w:r w:rsidRPr="00EE5AFB">
        <w:t>Attachment A: List of current chronic disease management items being removed from 2018</w:t>
      </w:r>
      <w:r w:rsidRPr="00EE5AFB">
        <w:noBreakHyphen/>
        <w:t>19 under the proposal</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10986 Health assessment kids check </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701 Health assessment brief </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703 Health assessment standard </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705 Health assessment long </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707 Health assessment prolonged </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715 Health assessment ATSI </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721 Chronic disease plan </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723 Team care coordination </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729 Contribution to team care (health) </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731 Contribution to team care (aged) </w:t>
      </w:r>
    </w:p>
    <w:p w:rsidR="000B5C96" w:rsidRPr="00EE5AFB" w:rsidRDefault="000B5C96" w:rsidP="000B5C96">
      <w:pPr>
        <w:pStyle w:val="ListBullet"/>
        <w:keepLines w:val="0"/>
        <w:numPr>
          <w:ilvl w:val="0"/>
          <w:numId w:val="2"/>
        </w:numPr>
        <w:spacing w:before="113"/>
        <w:ind w:left="454" w:hanging="454"/>
        <w:rPr>
          <w:lang w:eastAsia="en-AU"/>
        </w:rPr>
      </w:pPr>
      <w:r w:rsidRPr="00EE5AFB">
        <w:rPr>
          <w:lang w:eastAsia="en-AU"/>
        </w:rPr>
        <w:t xml:space="preserve">732 Review of GP management plan </w:t>
      </w:r>
    </w:p>
    <w:p w:rsidR="000B5C96" w:rsidRPr="00EE5AFB" w:rsidRDefault="000B5C96" w:rsidP="000B5C96">
      <w:pPr>
        <w:pStyle w:val="ListBullet"/>
        <w:keepLines w:val="0"/>
        <w:numPr>
          <w:ilvl w:val="0"/>
          <w:numId w:val="2"/>
        </w:numPr>
        <w:spacing w:before="113"/>
        <w:ind w:left="454" w:hanging="454"/>
        <w:rPr>
          <w:highlight w:val="yellow"/>
          <w:lang w:eastAsia="en-AU"/>
        </w:rPr>
        <w:sectPr w:rsidR="000B5C96" w:rsidRPr="00EE5AFB" w:rsidSect="003F606A">
          <w:headerReference w:type="even" r:id="rId440"/>
          <w:headerReference w:type="default" r:id="rId441"/>
          <w:footerReference w:type="even" r:id="rId442"/>
          <w:footerReference w:type="default" r:id="rId443"/>
          <w:headerReference w:type="first" r:id="rId444"/>
          <w:footnotePr>
            <w:numRestart w:val="eachSect"/>
          </w:footnotePr>
          <w:pgSz w:w="11906" w:h="16838"/>
          <w:pgMar w:top="1361" w:right="1797" w:bottom="1474" w:left="1797" w:header="283" w:footer="454" w:gutter="0"/>
          <w:cols w:space="708"/>
          <w:docGrid w:linePitch="360"/>
        </w:sectPr>
      </w:pPr>
    </w:p>
    <w:p w:rsidR="000B5C96" w:rsidRPr="00EE5AFB" w:rsidRDefault="000B5C96" w:rsidP="000B5C96">
      <w:pPr>
        <w:pStyle w:val="Heading6"/>
        <w:numPr>
          <w:ilvl w:val="0"/>
          <w:numId w:val="5"/>
        </w:numPr>
        <w:tabs>
          <w:tab w:val="clear" w:pos="0"/>
          <w:tab w:val="num" w:pos="360"/>
          <w:tab w:val="right" w:pos="1418"/>
          <w:tab w:val="right" w:pos="1701"/>
          <w:tab w:val="right" w:pos="1985"/>
        </w:tabs>
      </w:pPr>
      <w:r w:rsidRPr="00EE5AFB">
        <w:t>Attachment B: Implementing Primary Health Care—financial implications</w:t>
      </w:r>
    </w:p>
    <w:p w:rsidR="000B5C96" w:rsidRPr="00EE5AFB" w:rsidRDefault="000B5C96" w:rsidP="003F606A">
      <w:pPr>
        <w:pStyle w:val="Caption"/>
        <w:rPr>
          <w:vertAlign w:val="superscript"/>
        </w:rPr>
      </w:pPr>
      <w:r w:rsidRPr="00EE5AFB">
        <w:t>Table B1: Implementing Primary Health Care—Financial implications</w:t>
      </w:r>
      <w:r w:rsidRPr="00EE5AFB">
        <w:rPr>
          <w:vertAlign w:val="superscript"/>
        </w:rPr>
        <w:t>(a)(b)</w:t>
      </w:r>
    </w:p>
    <w:tbl>
      <w:tblPr>
        <w:tblStyle w:val="TableGrid21"/>
        <w:tblW w:w="5414" w:type="pct"/>
        <w:tblInd w:w="-562" w:type="dxa"/>
        <w:tblLook w:val="0680" w:firstRow="0" w:lastRow="0" w:firstColumn="1" w:lastColumn="0" w:noHBand="1" w:noVBand="1"/>
      </w:tblPr>
      <w:tblGrid>
        <w:gridCol w:w="3489"/>
        <w:gridCol w:w="836"/>
        <w:gridCol w:w="836"/>
        <w:gridCol w:w="836"/>
        <w:gridCol w:w="835"/>
        <w:gridCol w:w="835"/>
        <w:gridCol w:w="835"/>
        <w:gridCol w:w="835"/>
        <w:gridCol w:w="835"/>
        <w:gridCol w:w="835"/>
        <w:gridCol w:w="835"/>
        <w:gridCol w:w="835"/>
        <w:gridCol w:w="835"/>
        <w:gridCol w:w="841"/>
      </w:tblGrid>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1215" w:type="pct"/>
            <w:shd w:val="clear" w:color="auto" w:fill="D7DDE9"/>
            <w:vAlign w:val="center"/>
          </w:tcPr>
          <w:p w:rsidR="000B5C96" w:rsidRPr="00EE5AFB" w:rsidRDefault="000B5C96" w:rsidP="003F606A">
            <w:pPr>
              <w:keepNext/>
              <w:keepLines/>
              <w:spacing w:line="240" w:lineRule="auto"/>
              <w:ind w:left="57" w:right="57"/>
              <w:rPr>
                <w:rFonts w:ascii="Calibri" w:hAnsi="Calibri"/>
                <w:sz w:val="20"/>
                <w:szCs w:val="20"/>
              </w:rPr>
            </w:pPr>
            <w:r w:rsidRPr="00EE5AFB">
              <w:rPr>
                <w:rFonts w:ascii="Calibri" w:hAnsi="Calibri"/>
                <w:sz w:val="20"/>
                <w:szCs w:val="20"/>
              </w:rPr>
              <w:t>($m)</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5AFB">
              <w:rPr>
                <w:rFonts w:ascii="Calibri" w:hAnsi="Calibri"/>
                <w:sz w:val="20"/>
              </w:rPr>
              <w:t>2016–17</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5AFB">
              <w:rPr>
                <w:rFonts w:ascii="Calibri" w:hAnsi="Calibri"/>
                <w:sz w:val="20"/>
              </w:rPr>
              <w:t>2017–18</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5AFB">
              <w:rPr>
                <w:rFonts w:ascii="Calibri" w:hAnsi="Calibri"/>
                <w:sz w:val="20"/>
              </w:rPr>
              <w:t>2018–19</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5AFB">
              <w:rPr>
                <w:rFonts w:ascii="Calibri" w:hAnsi="Calibri"/>
                <w:sz w:val="20"/>
              </w:rPr>
              <w:t>2019–20</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5AFB">
              <w:rPr>
                <w:rFonts w:ascii="Calibri" w:hAnsi="Calibri"/>
                <w:b/>
                <w:sz w:val="20"/>
              </w:rPr>
              <w:t>Total to 2019–20</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5AFB">
              <w:rPr>
                <w:rFonts w:ascii="Calibri" w:hAnsi="Calibri"/>
                <w:sz w:val="20"/>
              </w:rPr>
              <w:t>2020–21</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5AFB">
              <w:rPr>
                <w:rFonts w:ascii="Calibri" w:hAnsi="Calibri"/>
                <w:sz w:val="20"/>
              </w:rPr>
              <w:t>2021–22</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5AFB">
              <w:rPr>
                <w:rFonts w:ascii="Calibri" w:hAnsi="Calibri"/>
                <w:sz w:val="20"/>
              </w:rPr>
              <w:t>2022–23</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5AFB">
              <w:rPr>
                <w:rFonts w:ascii="Calibri" w:hAnsi="Calibri"/>
                <w:sz w:val="20"/>
              </w:rPr>
              <w:t>2023–24</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5AFB">
              <w:rPr>
                <w:rFonts w:ascii="Calibri" w:hAnsi="Calibri"/>
                <w:sz w:val="20"/>
              </w:rPr>
              <w:t>2024–25</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5AFB">
              <w:rPr>
                <w:rFonts w:ascii="Calibri" w:hAnsi="Calibri"/>
                <w:sz w:val="20"/>
              </w:rPr>
              <w:t>2025–26</w:t>
            </w:r>
          </w:p>
        </w:tc>
        <w:tc>
          <w:tcPr>
            <w:tcW w:w="291"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5AFB">
              <w:rPr>
                <w:rFonts w:ascii="Calibri" w:hAnsi="Calibri"/>
                <w:sz w:val="20"/>
              </w:rPr>
              <w:t>2026–27</w:t>
            </w:r>
          </w:p>
        </w:tc>
        <w:tc>
          <w:tcPr>
            <w:tcW w:w="293" w:type="pct"/>
            <w:shd w:val="clear" w:color="auto" w:fill="D7DDE9"/>
            <w:vAlign w:val="center"/>
          </w:tcPr>
          <w:p w:rsidR="000B5C96" w:rsidRPr="00EE5AFB" w:rsidRDefault="000B5C96" w:rsidP="003F606A">
            <w:pPr>
              <w:keepNext/>
              <w:keepLines/>
              <w:spacing w:line="240" w:lineRule="auto"/>
              <w:ind w:left="57" w:right="0"/>
              <w:jc w:val="center"/>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5AFB">
              <w:rPr>
                <w:rFonts w:ascii="Calibri" w:hAnsi="Calibri"/>
                <w:b/>
                <w:sz w:val="20"/>
              </w:rPr>
              <w:t>Total to 2026–27</w:t>
            </w:r>
          </w:p>
        </w:tc>
      </w:tr>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EE5AFB" w:rsidRDefault="000B5C96" w:rsidP="003F606A">
            <w:pPr>
              <w:spacing w:line="240" w:lineRule="auto"/>
              <w:ind w:left="57" w:right="57"/>
              <w:rPr>
                <w:rFonts w:ascii="Calibri" w:hAnsi="Calibri"/>
                <w:b/>
                <w:sz w:val="20"/>
                <w:szCs w:val="20"/>
              </w:rPr>
            </w:pPr>
            <w:r w:rsidRPr="00EE5AFB">
              <w:rPr>
                <w:rFonts w:ascii="Calibri" w:hAnsi="Calibri"/>
                <w:b/>
                <w:sz w:val="20"/>
                <w:szCs w:val="20"/>
              </w:rPr>
              <w:t>Impact on fiscal and underlying cash balances</w:t>
            </w:r>
          </w:p>
        </w:tc>
      </w:tr>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EE5AFB" w:rsidRDefault="000B5C96" w:rsidP="003F606A">
            <w:pPr>
              <w:spacing w:line="240" w:lineRule="auto"/>
              <w:ind w:left="57" w:right="57"/>
              <w:rPr>
                <w:rFonts w:ascii="Calibri" w:hAnsi="Calibri"/>
                <w:b/>
                <w:sz w:val="20"/>
                <w:szCs w:val="20"/>
              </w:rPr>
            </w:pPr>
            <w:r w:rsidRPr="00EE5AFB">
              <w:rPr>
                <w:rFonts w:ascii="Calibri" w:hAnsi="Calibri"/>
                <w:b/>
                <w:sz w:val="20"/>
                <w:szCs w:val="20"/>
              </w:rPr>
              <w:t>Administered</w:t>
            </w:r>
          </w:p>
        </w:tc>
      </w:tr>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1215" w:type="pct"/>
          </w:tcPr>
          <w:p w:rsidR="000B5C96" w:rsidRPr="00EE5AFB" w:rsidRDefault="000B5C96" w:rsidP="003F606A">
            <w:pPr>
              <w:spacing w:line="240" w:lineRule="auto"/>
              <w:ind w:left="57" w:right="57"/>
              <w:rPr>
                <w:rFonts w:ascii="Calibri" w:hAnsi="Calibri"/>
                <w:sz w:val="20"/>
                <w:szCs w:val="20"/>
              </w:rPr>
            </w:pPr>
            <w:r w:rsidRPr="00EE5AFB">
              <w:rPr>
                <w:rFonts w:ascii="Calibri" w:hAnsi="Calibri"/>
                <w:sz w:val="20"/>
                <w:szCs w:val="20"/>
              </w:rPr>
              <w:t>Payments for enrolled patients</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-700.0</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-1,000.0</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-1,000.0</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i/>
                <w:sz w:val="20"/>
                <w:szCs w:val="20"/>
              </w:rPr>
              <w:t>-2,700.0</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-1,000.0</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-1,000.0</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-1,000.0</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-1,000.0</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-1,000.0</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-1,000.0</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-1,000.0</w:t>
            </w:r>
          </w:p>
        </w:tc>
        <w:tc>
          <w:tcPr>
            <w:tcW w:w="293"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i/>
                <w:sz w:val="20"/>
                <w:szCs w:val="20"/>
              </w:rPr>
              <w:t>-9,700.0</w:t>
            </w:r>
          </w:p>
        </w:tc>
      </w:tr>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1215" w:type="pct"/>
            <w:vAlign w:val="center"/>
          </w:tcPr>
          <w:p w:rsidR="000B5C96" w:rsidRPr="00EE5AFB" w:rsidRDefault="000B5C96" w:rsidP="003F606A">
            <w:pPr>
              <w:spacing w:line="240" w:lineRule="auto"/>
              <w:ind w:left="57" w:right="57"/>
              <w:rPr>
                <w:rFonts w:ascii="Calibri" w:hAnsi="Calibri"/>
                <w:sz w:val="20"/>
                <w:szCs w:val="20"/>
              </w:rPr>
            </w:pPr>
            <w:r w:rsidRPr="00EE5AFB">
              <w:rPr>
                <w:rFonts w:ascii="Calibri" w:hAnsi="Calibri"/>
                <w:sz w:val="20"/>
                <w:szCs w:val="20"/>
              </w:rPr>
              <w:t>Savings from removed MBS items</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 xml:space="preserve"> 534.0</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1,121.6</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i/>
                <w:sz w:val="20"/>
                <w:szCs w:val="20"/>
              </w:rPr>
              <w:t xml:space="preserve"> 1,655.6</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1,178.0</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1,237.2</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1,299.4</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1,364.6</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1,433.2</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1,505.2</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1,580.8</w:t>
            </w:r>
          </w:p>
        </w:tc>
        <w:tc>
          <w:tcPr>
            <w:tcW w:w="293"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i/>
                <w:sz w:val="20"/>
                <w:szCs w:val="20"/>
              </w:rPr>
              <w:t>11,254.1</w:t>
            </w:r>
          </w:p>
        </w:tc>
      </w:tr>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1215" w:type="pct"/>
            <w:shd w:val="clear" w:color="auto" w:fill="E9ECF3"/>
          </w:tcPr>
          <w:p w:rsidR="000B5C96" w:rsidRPr="00EE5AFB" w:rsidRDefault="000B5C96" w:rsidP="003F606A">
            <w:pPr>
              <w:spacing w:line="240" w:lineRule="auto"/>
              <w:ind w:left="57" w:right="57"/>
              <w:rPr>
                <w:rFonts w:ascii="Calibri" w:hAnsi="Calibri"/>
                <w:b/>
                <w:sz w:val="20"/>
                <w:szCs w:val="20"/>
              </w:rPr>
            </w:pPr>
            <w:r w:rsidRPr="00EE5AFB">
              <w:rPr>
                <w:rFonts w:ascii="Calibri" w:hAnsi="Calibri"/>
                <w:b/>
                <w:sz w:val="20"/>
                <w:szCs w:val="20"/>
              </w:rPr>
              <w:t>Total administered</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-700.0</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-466.0</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121.6</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-1,044.4</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178.0</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237.2</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299.4</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364.6</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433.2</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505.2</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580.8</w:t>
            </w:r>
          </w:p>
        </w:tc>
        <w:tc>
          <w:tcPr>
            <w:tcW w:w="293"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sz w:val="20"/>
                <w:szCs w:val="20"/>
              </w:rPr>
              <w:t>1,554.1</w:t>
            </w:r>
          </w:p>
        </w:tc>
      </w:tr>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EE5AFB" w:rsidRDefault="000B5C96" w:rsidP="003F606A">
            <w:pPr>
              <w:spacing w:line="240" w:lineRule="auto"/>
              <w:ind w:left="57" w:right="57"/>
              <w:rPr>
                <w:rFonts w:ascii="Calibri" w:hAnsi="Calibri"/>
                <w:b/>
                <w:sz w:val="20"/>
                <w:szCs w:val="20"/>
              </w:rPr>
            </w:pPr>
            <w:r w:rsidRPr="00EE5AFB">
              <w:rPr>
                <w:rFonts w:ascii="Calibri" w:hAnsi="Calibri"/>
                <w:b/>
                <w:sz w:val="20"/>
                <w:szCs w:val="20"/>
              </w:rPr>
              <w:t>Departmental</w:t>
            </w:r>
          </w:p>
        </w:tc>
      </w:tr>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1215" w:type="pct"/>
          </w:tcPr>
          <w:p w:rsidR="000B5C96" w:rsidRPr="00EE5AFB" w:rsidRDefault="000B5C96" w:rsidP="003F606A">
            <w:pPr>
              <w:spacing w:line="240" w:lineRule="auto"/>
              <w:ind w:left="57" w:right="57"/>
              <w:rPr>
                <w:rFonts w:ascii="Calibri" w:hAnsi="Calibri"/>
                <w:sz w:val="20"/>
                <w:szCs w:val="20"/>
              </w:rPr>
            </w:pPr>
            <w:r w:rsidRPr="00EE5AFB">
              <w:rPr>
                <w:rFonts w:ascii="Calibri" w:hAnsi="Calibri"/>
                <w:sz w:val="20"/>
                <w:szCs w:val="20"/>
              </w:rPr>
              <w:t>Payments for enrolled patients (DHS)</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-5.8</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-7.1</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-7.1</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i/>
                <w:sz w:val="20"/>
                <w:szCs w:val="20"/>
              </w:rPr>
              <w:t>-20.0</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-7.2</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-7.2</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-7.3</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-7.3</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-7.4</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-7.4</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-7.4</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i/>
                <w:sz w:val="20"/>
                <w:szCs w:val="20"/>
              </w:rPr>
              <w:t>-71.1</w:t>
            </w:r>
          </w:p>
        </w:tc>
      </w:tr>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1215" w:type="pct"/>
          </w:tcPr>
          <w:p w:rsidR="000B5C96" w:rsidRPr="00EE5AFB" w:rsidRDefault="000B5C96" w:rsidP="003F606A">
            <w:pPr>
              <w:spacing w:line="240" w:lineRule="auto"/>
              <w:ind w:left="57" w:right="57"/>
              <w:rPr>
                <w:rFonts w:ascii="Calibri" w:hAnsi="Calibri"/>
                <w:sz w:val="20"/>
                <w:szCs w:val="20"/>
              </w:rPr>
            </w:pPr>
            <w:r w:rsidRPr="00EE5AFB">
              <w:rPr>
                <w:rFonts w:ascii="Calibri" w:hAnsi="Calibri"/>
                <w:sz w:val="20"/>
                <w:szCs w:val="20"/>
              </w:rPr>
              <w:t>Savings from removed MBS items (DHS)</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 xml:space="preserve"> 3.0</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6.3</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i/>
                <w:sz w:val="20"/>
                <w:szCs w:val="20"/>
              </w:rPr>
              <w:t>9.4</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i/>
                <w:sz w:val="20"/>
                <w:szCs w:val="20"/>
              </w:rPr>
              <w:t>6.7</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7.1</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7.5</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7.9</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8.4</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8.9</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9.4</w:t>
            </w:r>
          </w:p>
        </w:tc>
        <w:tc>
          <w:tcPr>
            <w:tcW w:w="291" w:type="pct"/>
            <w:vAlign w:val="center"/>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i/>
                <w:sz w:val="20"/>
                <w:szCs w:val="20"/>
              </w:rPr>
              <w:t>65.2</w:t>
            </w:r>
          </w:p>
        </w:tc>
      </w:tr>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1215" w:type="pct"/>
          </w:tcPr>
          <w:p w:rsidR="000B5C96" w:rsidRPr="00EE5AFB" w:rsidRDefault="000B5C96" w:rsidP="003F606A">
            <w:pPr>
              <w:spacing w:line="240" w:lineRule="auto"/>
              <w:ind w:left="57" w:right="57"/>
              <w:rPr>
                <w:rFonts w:ascii="Calibri" w:hAnsi="Calibri"/>
                <w:sz w:val="20"/>
                <w:szCs w:val="20"/>
              </w:rPr>
            </w:pPr>
            <w:r w:rsidRPr="00EE5AFB">
              <w:rPr>
                <w:rFonts w:ascii="Calibri" w:hAnsi="Calibri"/>
                <w:sz w:val="20"/>
                <w:szCs w:val="20"/>
              </w:rPr>
              <w:t>Health</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-0.9</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-0.9</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-0.9</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i/>
                <w:sz w:val="20"/>
                <w:szCs w:val="20"/>
              </w:rPr>
              <w:t>-2.7</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-0.9</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-0.9</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-0.9</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-0.9</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-0.9</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-0.9</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5AFB">
              <w:rPr>
                <w:rFonts w:ascii="Calibri" w:hAnsi="Calibri"/>
                <w:i/>
                <w:sz w:val="20"/>
                <w:szCs w:val="20"/>
              </w:rPr>
              <w:t>-0.9</w:t>
            </w:r>
          </w:p>
        </w:tc>
        <w:tc>
          <w:tcPr>
            <w:tcW w:w="291" w:type="pct"/>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i/>
                <w:sz w:val="20"/>
                <w:szCs w:val="20"/>
              </w:rPr>
              <w:t>-9.2</w:t>
            </w:r>
          </w:p>
        </w:tc>
      </w:tr>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1215" w:type="pct"/>
            <w:shd w:val="clear" w:color="auto" w:fill="E9ECF3"/>
          </w:tcPr>
          <w:p w:rsidR="000B5C96" w:rsidRPr="00EE5AFB" w:rsidRDefault="000B5C96" w:rsidP="003F606A">
            <w:pPr>
              <w:spacing w:line="240" w:lineRule="auto"/>
              <w:ind w:left="57" w:right="57"/>
              <w:rPr>
                <w:rFonts w:ascii="Calibri" w:hAnsi="Calibri"/>
                <w:b/>
                <w:sz w:val="20"/>
                <w:szCs w:val="20"/>
              </w:rPr>
            </w:pPr>
            <w:r w:rsidRPr="00EE5AFB">
              <w:rPr>
                <w:rFonts w:ascii="Calibri" w:hAnsi="Calibri"/>
                <w:b/>
                <w:sz w:val="20"/>
                <w:szCs w:val="20"/>
              </w:rPr>
              <w:t>Total departmental</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-6.7</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-5.0</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-1.7</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-13.4</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-1.4</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-1.0</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-0.7</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-0.3</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0.1</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0.5</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1.0</w:t>
            </w:r>
          </w:p>
        </w:tc>
        <w:tc>
          <w:tcPr>
            <w:tcW w:w="291" w:type="pct"/>
            <w:shd w:val="clear" w:color="auto" w:fill="E9ECF3"/>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5AFB">
              <w:rPr>
                <w:rFonts w:ascii="Calibri" w:hAnsi="Calibri"/>
                <w:b/>
              </w:rPr>
              <w:t>-15.2</w:t>
            </w:r>
          </w:p>
        </w:tc>
      </w:tr>
      <w:tr w:rsidR="000B5C96" w:rsidRPr="00EE5AFB" w:rsidTr="003F606A">
        <w:trPr>
          <w:cantSplit/>
        </w:trPr>
        <w:tc>
          <w:tcPr>
            <w:cnfStyle w:val="001000000000" w:firstRow="0" w:lastRow="0" w:firstColumn="1" w:lastColumn="0" w:oddVBand="0" w:evenVBand="0" w:oddHBand="0" w:evenHBand="0" w:firstRowFirstColumn="0" w:firstRowLastColumn="0" w:lastRowFirstColumn="0" w:lastRowLastColumn="0"/>
            <w:tcW w:w="1215" w:type="pct"/>
            <w:shd w:val="clear" w:color="auto" w:fill="D7DDE9"/>
          </w:tcPr>
          <w:p w:rsidR="000B5C96" w:rsidRPr="00EE5AFB" w:rsidRDefault="000B5C96" w:rsidP="003F606A">
            <w:pPr>
              <w:spacing w:line="240" w:lineRule="auto"/>
              <w:ind w:left="57" w:right="57"/>
              <w:rPr>
                <w:rFonts w:ascii="Calibri" w:hAnsi="Calibri"/>
                <w:b/>
                <w:sz w:val="20"/>
                <w:szCs w:val="20"/>
              </w:rPr>
            </w:pPr>
            <w:r w:rsidRPr="00EE5AFB">
              <w:rPr>
                <w:rFonts w:ascii="Calibri" w:hAnsi="Calibri"/>
                <w:b/>
                <w:sz w:val="20"/>
                <w:szCs w:val="20"/>
              </w:rPr>
              <w:t>Total</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-706.7</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-471.0</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120.0</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-1,057.7</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176.6</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236.2</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298.7</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364.3</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433.3</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505.7</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581.8</w:t>
            </w:r>
          </w:p>
        </w:tc>
        <w:tc>
          <w:tcPr>
            <w:tcW w:w="291" w:type="pct"/>
            <w:shd w:val="clear" w:color="auto" w:fill="D7DDE9"/>
          </w:tcPr>
          <w:p w:rsidR="000B5C96" w:rsidRPr="00EE5AFB" w:rsidRDefault="000B5C96" w:rsidP="003F606A">
            <w:pPr>
              <w:spacing w:line="240" w:lineRule="auto"/>
              <w:ind w:left="57" w:right="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5AFB">
              <w:rPr>
                <w:rFonts w:ascii="Calibri" w:hAnsi="Calibri"/>
                <w:b/>
              </w:rPr>
              <w:t>1,538.9</w:t>
            </w:r>
          </w:p>
        </w:tc>
      </w:tr>
    </w:tbl>
    <w:p w:rsidR="000B5C96" w:rsidRPr="00EE5AFB" w:rsidRDefault="000B5C96" w:rsidP="000F7918">
      <w:pPr>
        <w:pStyle w:val="Footnotes"/>
        <w:numPr>
          <w:ilvl w:val="0"/>
          <w:numId w:val="200"/>
        </w:numPr>
        <w:ind w:left="284" w:hanging="284"/>
      </w:pPr>
      <w:r w:rsidRPr="00EE5AFB">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EE5AFB" w:rsidRDefault="000B5C96" w:rsidP="000F7918">
      <w:pPr>
        <w:pStyle w:val="Footnotes"/>
        <w:numPr>
          <w:ilvl w:val="0"/>
          <w:numId w:val="200"/>
        </w:numPr>
        <w:ind w:left="284" w:hanging="284"/>
      </w:pPr>
      <w:r w:rsidRPr="00EE5AFB">
        <w:t>Figures may not sum to totals due to rounding.</w:t>
      </w:r>
    </w:p>
    <w:p w:rsidR="000B5C96" w:rsidRPr="00EE5AFB" w:rsidRDefault="000B5C96" w:rsidP="000B5C96">
      <w:pPr>
        <w:pStyle w:val="Footnotes"/>
        <w:numPr>
          <w:ilvl w:val="0"/>
          <w:numId w:val="114"/>
        </w:numPr>
        <w:ind w:left="284" w:hanging="284"/>
      </w:pPr>
      <w:r w:rsidRPr="00EE5AFB">
        <w:t>Indicates nil.</w:t>
      </w:r>
    </w:p>
    <w:p w:rsidR="000B5C96" w:rsidRDefault="000B5C96" w:rsidP="003F606A">
      <w:pPr>
        <w:pStyle w:val="BodyText"/>
      </w:pPr>
    </w:p>
    <w:p w:rsidR="000B5C96" w:rsidRDefault="000B5C96" w:rsidP="003F606A">
      <w:pPr>
        <w:pStyle w:val="BodyText"/>
        <w:sectPr w:rsidR="000B5C96" w:rsidSect="003F606A">
          <w:headerReference w:type="even" r:id="rId445"/>
          <w:headerReference w:type="default" r:id="rId446"/>
          <w:footerReference w:type="even" r:id="rId447"/>
          <w:footerReference w:type="default" r:id="rId448"/>
          <w:footnotePr>
            <w:numRestart w:val="eachSect"/>
          </w:footnotePr>
          <w:pgSz w:w="16839" w:h="11907" w:orient="landscape" w:code="9"/>
          <w:pgMar w:top="1361" w:right="1797" w:bottom="1474" w:left="1797" w:header="283" w:footer="454" w:gutter="0"/>
          <w:cols w:space="708"/>
          <w:docGrid w:linePitch="360"/>
        </w:sectPr>
      </w:pPr>
    </w:p>
    <w:p w:rsidR="000B5C96" w:rsidRDefault="000B5C96" w:rsidP="003F606A">
      <w:pPr>
        <w:pStyle w:val="Heading5"/>
        <w:spacing w:before="0"/>
      </w:pPr>
      <w:bookmarkStart w:id="153" w:name="_Toc457979364"/>
      <w:bookmarkStart w:id="154" w:name="_Toc458069222"/>
      <w:r>
        <w:t>GRN047: Primary health care networks: funding</w:t>
      </w:r>
      <w:bookmarkEnd w:id="153"/>
      <w:bookmarkEnd w:id="154"/>
    </w:p>
    <w:p w:rsidR="000B5C96" w:rsidRPr="009C09D3" w:rsidRDefault="000B5C96" w:rsidP="003F606A">
      <w:pPr>
        <w:pStyle w:val="BodyText"/>
      </w:pPr>
      <w:r w:rsidRPr="009C09D3">
        <w:rPr>
          <w:noProof/>
          <w:lang w:eastAsia="en-AU"/>
        </w:rPr>
        <w:drawing>
          <wp:inline distT="0" distB="0" distL="0" distR="0" wp14:anchorId="1E61BD60" wp14:editId="26AADFF2">
            <wp:extent cx="2696845" cy="572135"/>
            <wp:effectExtent l="0" t="0" r="8255" b="0"/>
            <wp:docPr id="37" name="Picture 3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C51E94" w:rsidRDefault="000B5C96" w:rsidP="000B5C96">
      <w:pPr>
        <w:pStyle w:val="Heading6"/>
        <w:numPr>
          <w:ilvl w:val="0"/>
          <w:numId w:val="5"/>
        </w:numPr>
        <w:tabs>
          <w:tab w:val="clear" w:pos="0"/>
          <w:tab w:val="num" w:pos="360"/>
          <w:tab w:val="right" w:pos="1418"/>
          <w:tab w:val="right" w:pos="1701"/>
          <w:tab w:val="right" w:pos="1985"/>
        </w:tabs>
      </w:pPr>
      <w:r w:rsidRPr="00C51E94">
        <w:t>Policy costing—during the caretaker period for the 2016 general election</w:t>
      </w:r>
    </w:p>
    <w:tbl>
      <w:tblPr>
        <w:tblStyle w:val="TableGrid22"/>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862AB8" w:rsidRDefault="000B5C96" w:rsidP="003F606A">
            <w:pPr>
              <w:pStyle w:val="PullOutBoxHeading"/>
              <w:rPr>
                <w:b/>
              </w:rPr>
            </w:pPr>
            <w:r w:rsidRPr="00862AB8">
              <w:rPr>
                <w:b/>
              </w:rPr>
              <w:t>Name of proposal:</w:t>
            </w:r>
          </w:p>
        </w:tc>
        <w:tc>
          <w:tcPr>
            <w:tcW w:w="5335" w:type="dxa"/>
          </w:tcPr>
          <w:p w:rsidR="000B5C96" w:rsidRPr="00862AB8" w:rsidRDefault="000B5C96" w:rsidP="003F606A">
            <w:pPr>
              <w:pStyle w:val="PullOutBoxHeading"/>
              <w:cnfStyle w:val="100000000000" w:firstRow="1" w:lastRow="0" w:firstColumn="0" w:lastColumn="0" w:oddVBand="0" w:evenVBand="0" w:oddHBand="0" w:evenHBand="0" w:firstRowFirstColumn="0" w:firstRowLastColumn="0" w:lastRowFirstColumn="0" w:lastRowLastColumn="0"/>
              <w:rPr>
                <w:b/>
              </w:rPr>
            </w:pPr>
            <w:r w:rsidRPr="00862AB8">
              <w:rPr>
                <w:b/>
              </w:rPr>
              <w:t>Primary Health Networks - Funding</w:t>
            </w:r>
          </w:p>
        </w:tc>
      </w:tr>
      <w:tr w:rsidR="000B5C96" w:rsidRPr="00C51E94"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C51E94" w:rsidRDefault="000B5C96" w:rsidP="003F606A">
            <w:pPr>
              <w:pStyle w:val="PullOutBoxBodyText"/>
            </w:pPr>
            <w:r w:rsidRPr="00C51E94">
              <w:t>Summary of proposal:</w:t>
            </w:r>
          </w:p>
        </w:tc>
        <w:tc>
          <w:tcPr>
            <w:tcW w:w="5335" w:type="dxa"/>
          </w:tcPr>
          <w:p w:rsidR="000B5C96" w:rsidRPr="00C51E94"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C51E94">
              <w:t>The proposal would provide a pool of funds to Primary Health Networks, equivalent to $750 for each enrolled patient visiting allied health providers (such as physiotherapists, nutritionists, nurses and psychologists).</w:t>
            </w:r>
          </w:p>
          <w:p w:rsidR="000B5C96" w:rsidRPr="00C51E94"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C51E94">
              <w:t>The number of enrolled patients for whom funding would be provided would be capped at one million patients per annum.</w:t>
            </w:r>
          </w:p>
          <w:p w:rsidR="000B5C96" w:rsidRPr="00C51E94"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C51E94">
              <w:t>The proposal would have effect from 1 July 2017.</w:t>
            </w:r>
          </w:p>
        </w:tc>
      </w:tr>
      <w:tr w:rsidR="000B5C96" w:rsidRPr="00C51E94"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C51E94" w:rsidRDefault="000B5C96" w:rsidP="003F606A">
            <w:pPr>
              <w:pStyle w:val="PullOutBoxBodyText"/>
            </w:pPr>
            <w:r w:rsidRPr="00C51E94">
              <w:t>Person/party requesting costing:</w:t>
            </w:r>
          </w:p>
        </w:tc>
        <w:tc>
          <w:tcPr>
            <w:tcW w:w="5335" w:type="dxa"/>
          </w:tcPr>
          <w:p w:rsidR="000B5C96" w:rsidRPr="00C51E94"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C51E94">
              <w:t>Senator Richard Di Natale, Australian Greens</w:t>
            </w:r>
          </w:p>
        </w:tc>
      </w:tr>
      <w:tr w:rsidR="000B5C96" w:rsidRPr="00C51E94"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C51E94" w:rsidRDefault="000B5C96" w:rsidP="003F606A">
            <w:pPr>
              <w:pStyle w:val="PullOutBoxBodyText"/>
            </w:pPr>
            <w:r w:rsidRPr="00C51E94">
              <w:t>Date of public release of policy:</w:t>
            </w:r>
          </w:p>
        </w:tc>
        <w:tc>
          <w:tcPr>
            <w:tcW w:w="5335" w:type="dxa"/>
          </w:tcPr>
          <w:p w:rsidR="000B5C96" w:rsidRPr="00C51E94"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C51E94">
              <w:t>27 May 2016</w:t>
            </w:r>
          </w:p>
        </w:tc>
      </w:tr>
      <w:tr w:rsidR="000B5C96" w:rsidRPr="00C51E94"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C51E94" w:rsidRDefault="000B5C96" w:rsidP="003F606A">
            <w:pPr>
              <w:pStyle w:val="PullOutBoxBodyText"/>
            </w:pPr>
            <w:r w:rsidRPr="00C51E94">
              <w:t>Date costing request received:</w:t>
            </w:r>
          </w:p>
        </w:tc>
        <w:tc>
          <w:tcPr>
            <w:tcW w:w="5335" w:type="dxa"/>
          </w:tcPr>
          <w:p w:rsidR="000B5C96" w:rsidRPr="00C51E94"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C51E94">
              <w:t>29 June 2016</w:t>
            </w:r>
          </w:p>
        </w:tc>
      </w:tr>
      <w:tr w:rsidR="000B5C96" w:rsidRPr="00C51E94"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C51E94" w:rsidRDefault="000B5C96" w:rsidP="003F606A">
            <w:pPr>
              <w:pStyle w:val="PullOutBoxBodyText"/>
            </w:pPr>
            <w:r w:rsidRPr="00C51E94">
              <w:t>Date costing completed:</w:t>
            </w:r>
          </w:p>
        </w:tc>
        <w:tc>
          <w:tcPr>
            <w:tcW w:w="5335" w:type="dxa"/>
          </w:tcPr>
          <w:p w:rsidR="000B5C96" w:rsidRPr="00C51E94"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C51E94">
              <w:t>29 June 2016</w:t>
            </w:r>
          </w:p>
        </w:tc>
      </w:tr>
      <w:tr w:rsidR="000B5C96" w:rsidRPr="00C51E94"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C51E94" w:rsidRDefault="000B5C96" w:rsidP="003F606A">
            <w:pPr>
              <w:pStyle w:val="PullOutBoxBodyText"/>
            </w:pPr>
            <w:r w:rsidRPr="00C51E94">
              <w:t>Additional information requested:</w:t>
            </w:r>
          </w:p>
        </w:tc>
        <w:tc>
          <w:tcPr>
            <w:tcW w:w="5335" w:type="dxa"/>
          </w:tcPr>
          <w:p w:rsidR="000B5C96" w:rsidRPr="00C51E94"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C51E94">
              <w:t xml:space="preserve">On 29 June 2016 clarification was sought from the </w:t>
            </w:r>
            <w:r>
              <w:t>O</w:t>
            </w:r>
            <w:r w:rsidRPr="00C51E94">
              <w:t xml:space="preserve">ffice of Senator Di Natale (the </w:t>
            </w:r>
            <w:r>
              <w:t>O</w:t>
            </w:r>
            <w:r w:rsidRPr="00C51E94">
              <w:t>ffice) as to the start date of the policy.</w:t>
            </w:r>
          </w:p>
        </w:tc>
      </w:tr>
      <w:tr w:rsidR="000B5C96" w:rsidRPr="00C51E94"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C51E94" w:rsidRDefault="000B5C96" w:rsidP="003F606A">
            <w:pPr>
              <w:pStyle w:val="PullOutBoxBodyText"/>
            </w:pPr>
            <w:r w:rsidRPr="00C51E94">
              <w:t>Additional information received:</w:t>
            </w:r>
          </w:p>
        </w:tc>
        <w:tc>
          <w:tcPr>
            <w:tcW w:w="5335" w:type="dxa"/>
          </w:tcPr>
          <w:p w:rsidR="000B5C96" w:rsidRPr="00C51E94"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C51E94">
              <w:t xml:space="preserve">On 29 June 2016 the </w:t>
            </w:r>
            <w:r>
              <w:t>O</w:t>
            </w:r>
            <w:r w:rsidRPr="00C51E94">
              <w:t>ffice advised that the proposal would commence on 1 July 2017.</w:t>
            </w:r>
          </w:p>
        </w:tc>
      </w:tr>
      <w:tr w:rsidR="000B5C96" w:rsidRPr="00C51E94"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C51E94" w:rsidRDefault="000B5C96" w:rsidP="003F606A">
            <w:pPr>
              <w:pStyle w:val="PullOutBoxBodyText"/>
            </w:pPr>
            <w:r w:rsidRPr="00C51E94">
              <w:t>Expiry date for the costing:</w:t>
            </w:r>
          </w:p>
        </w:tc>
        <w:tc>
          <w:tcPr>
            <w:tcW w:w="5335" w:type="dxa"/>
          </w:tcPr>
          <w:p w:rsidR="000B5C96" w:rsidRPr="00C51E94"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C51E94">
              <w:t>Release of the next economic and fiscal outlook report</w:t>
            </w:r>
          </w:p>
        </w:tc>
      </w:tr>
    </w:tbl>
    <w:p w:rsidR="000B5C96" w:rsidRPr="00C51E94" w:rsidRDefault="000B5C96" w:rsidP="003F606A">
      <w:pPr>
        <w:pStyle w:val="CostingsH7"/>
        <w:rPr>
          <w:rFonts w:eastAsia="Calibri"/>
        </w:rPr>
      </w:pPr>
      <w:r w:rsidRPr="00C51E94">
        <w:rPr>
          <w:rFonts w:eastAsia="Calibri"/>
        </w:rPr>
        <w:t>Costing overview</w:t>
      </w:r>
    </w:p>
    <w:p w:rsidR="000B5C96" w:rsidRPr="00C51E94" w:rsidRDefault="000B5C96" w:rsidP="003F606A">
      <w:pPr>
        <w:pStyle w:val="BodyText"/>
      </w:pPr>
      <w:r w:rsidRPr="00C51E94">
        <w:t>This proposal would be expected to decrease the fiscal and underlying cash balances by $2,047.7 million over the 2016-17 Budget forward estimates period.  These impacts are due to an increase in administered expenses of $2,025.0 million and an increase in departmental expenses of $22.7 million.</w:t>
      </w:r>
    </w:p>
    <w:p w:rsidR="000B5C96" w:rsidRPr="00C51E94" w:rsidRDefault="000B5C96" w:rsidP="003F606A">
      <w:pPr>
        <w:pStyle w:val="BodyText"/>
        <w:rPr>
          <w:u w:val="single"/>
        </w:rPr>
      </w:pPr>
      <w:r w:rsidRPr="00C51E94">
        <w:t xml:space="preserve">This proposal would have an ongoing effect beyond the forward estimates period and a breakdown of the financial impacts to 2026-27 is provided at </w:t>
      </w:r>
      <w:r w:rsidRPr="00C51E94">
        <w:rPr>
          <w:u w:val="single"/>
        </w:rPr>
        <w:t>Attachment A</w:t>
      </w:r>
      <w:r w:rsidRPr="00C51E94">
        <w:t>.</w:t>
      </w:r>
    </w:p>
    <w:p w:rsidR="000B5C96" w:rsidRPr="00C51E94" w:rsidRDefault="000B5C96" w:rsidP="003F606A">
      <w:pPr>
        <w:pStyle w:val="BodyText"/>
      </w:pPr>
      <w:r w:rsidRPr="00C51E94">
        <w:t>This costing is considered to be of high reliability as the number of enrolled patients is specified and departmental expenses are based on similar activities</w:t>
      </w:r>
      <w:r w:rsidRPr="00C51E94">
        <w:rPr>
          <w:rFonts w:eastAsia="Times New Roman"/>
        </w:rPr>
        <w:t>.</w:t>
      </w:r>
    </w:p>
    <w:p w:rsidR="000B5C96" w:rsidRPr="00C51E94" w:rsidRDefault="000B5C96" w:rsidP="003F606A">
      <w:pPr>
        <w:pStyle w:val="Caption"/>
      </w:pPr>
      <w:r w:rsidRPr="00C51E94">
        <w:t>Table 1: Financial implications (outturn prices)</w:t>
      </w:r>
      <w:r w:rsidRPr="00C51E94">
        <w:rPr>
          <w:vertAlign w:val="superscript"/>
        </w:rPr>
        <w:t>(a)(b)</w:t>
      </w:r>
    </w:p>
    <w:tbl>
      <w:tblPr>
        <w:tblStyle w:val="TableGrid22"/>
        <w:tblW w:w="4993" w:type="pct"/>
        <w:tblLook w:val="04A0" w:firstRow="1" w:lastRow="0" w:firstColumn="1" w:lastColumn="0" w:noHBand="0" w:noVBand="1"/>
      </w:tblPr>
      <w:tblGrid>
        <w:gridCol w:w="2645"/>
        <w:gridCol w:w="1134"/>
        <w:gridCol w:w="1133"/>
        <w:gridCol w:w="1133"/>
        <w:gridCol w:w="1133"/>
        <w:gridCol w:w="1132"/>
      </w:tblGrid>
      <w:tr w:rsidR="000B5C96" w:rsidRPr="00C51E94"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C51E94" w:rsidRDefault="000B5C96" w:rsidP="003F606A">
            <w:pPr>
              <w:keepNext/>
              <w:keepLines/>
              <w:spacing w:line="240" w:lineRule="auto"/>
              <w:ind w:left="57" w:right="57"/>
              <w:rPr>
                <w:sz w:val="20"/>
                <w:szCs w:val="20"/>
              </w:rPr>
            </w:pPr>
            <w:r w:rsidRPr="00C51E94">
              <w:rPr>
                <w:sz w:val="20"/>
                <w:szCs w:val="20"/>
              </w:rPr>
              <w:t>Impact on ($m)</w:t>
            </w:r>
          </w:p>
        </w:tc>
        <w:tc>
          <w:tcPr>
            <w:tcW w:w="682" w:type="pct"/>
          </w:tcPr>
          <w:p w:rsidR="000B5C96" w:rsidRPr="00C51E94"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C51E94">
              <w:rPr>
                <w:sz w:val="20"/>
                <w:szCs w:val="20"/>
              </w:rPr>
              <w:t>2016–17</w:t>
            </w:r>
          </w:p>
        </w:tc>
        <w:tc>
          <w:tcPr>
            <w:tcW w:w="682" w:type="pct"/>
          </w:tcPr>
          <w:p w:rsidR="000B5C96" w:rsidRPr="00C51E94"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C51E94">
              <w:rPr>
                <w:sz w:val="20"/>
                <w:szCs w:val="20"/>
              </w:rPr>
              <w:t>2017–18</w:t>
            </w:r>
          </w:p>
        </w:tc>
        <w:tc>
          <w:tcPr>
            <w:tcW w:w="682" w:type="pct"/>
          </w:tcPr>
          <w:p w:rsidR="000B5C96" w:rsidRPr="00C51E94"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C51E94">
              <w:rPr>
                <w:sz w:val="20"/>
                <w:szCs w:val="20"/>
              </w:rPr>
              <w:t>2018–19</w:t>
            </w:r>
          </w:p>
        </w:tc>
        <w:tc>
          <w:tcPr>
            <w:tcW w:w="682" w:type="pct"/>
          </w:tcPr>
          <w:p w:rsidR="000B5C96" w:rsidRPr="00C51E94"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C51E94">
              <w:rPr>
                <w:sz w:val="20"/>
                <w:szCs w:val="20"/>
              </w:rPr>
              <w:t>2019–20</w:t>
            </w:r>
          </w:p>
        </w:tc>
        <w:tc>
          <w:tcPr>
            <w:tcW w:w="681" w:type="pct"/>
          </w:tcPr>
          <w:p w:rsidR="000B5C96" w:rsidRPr="00C51E94"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C51E94">
              <w:rPr>
                <w:sz w:val="20"/>
                <w:szCs w:val="20"/>
              </w:rPr>
              <w:t>Total</w:t>
            </w:r>
          </w:p>
        </w:tc>
      </w:tr>
      <w:tr w:rsidR="000B5C96" w:rsidRPr="00C51E94"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C51E94" w:rsidRDefault="000B5C96" w:rsidP="003F606A">
            <w:pPr>
              <w:keepNext/>
              <w:keepLines/>
              <w:spacing w:line="240" w:lineRule="auto"/>
              <w:ind w:left="57" w:right="57"/>
              <w:rPr>
                <w:rFonts w:ascii="Calibri" w:hAnsi="Calibri"/>
                <w:sz w:val="20"/>
                <w:szCs w:val="20"/>
              </w:rPr>
            </w:pPr>
            <w:r w:rsidRPr="00C51E94">
              <w:rPr>
                <w:rFonts w:ascii="Calibri" w:hAnsi="Calibri"/>
                <w:sz w:val="20"/>
                <w:szCs w:val="20"/>
              </w:rPr>
              <w:t>Fiscal balance</w:t>
            </w:r>
          </w:p>
        </w:tc>
        <w:tc>
          <w:tcPr>
            <w:tcW w:w="682" w:type="pct"/>
            <w:vAlign w:val="center"/>
          </w:tcPr>
          <w:p w:rsidR="000B5C96" w:rsidRPr="00C51E94"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51E94">
              <w:rPr>
                <w:rFonts w:ascii="Calibri" w:hAnsi="Calibri"/>
                <w:sz w:val="20"/>
                <w:szCs w:val="20"/>
              </w:rPr>
              <w:t>-</w:t>
            </w:r>
          </w:p>
        </w:tc>
        <w:tc>
          <w:tcPr>
            <w:tcW w:w="682" w:type="pct"/>
            <w:vAlign w:val="center"/>
          </w:tcPr>
          <w:p w:rsidR="000B5C96" w:rsidRPr="00C51E94"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C51E94">
              <w:rPr>
                <w:rFonts w:ascii="Calibri" w:hAnsi="Calibri"/>
                <w:sz w:val="20"/>
              </w:rPr>
              <w:t xml:space="preserve">-531.7 </w:t>
            </w:r>
          </w:p>
        </w:tc>
        <w:tc>
          <w:tcPr>
            <w:tcW w:w="682" w:type="pct"/>
            <w:vAlign w:val="center"/>
          </w:tcPr>
          <w:p w:rsidR="000B5C96" w:rsidRPr="00C51E94"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C51E94">
              <w:rPr>
                <w:rFonts w:ascii="Calibri" w:hAnsi="Calibri"/>
                <w:sz w:val="20"/>
              </w:rPr>
              <w:t xml:space="preserve">-758.0 </w:t>
            </w:r>
          </w:p>
        </w:tc>
        <w:tc>
          <w:tcPr>
            <w:tcW w:w="682" w:type="pct"/>
            <w:vAlign w:val="center"/>
          </w:tcPr>
          <w:p w:rsidR="000B5C96" w:rsidRPr="00C51E94"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C51E94">
              <w:rPr>
                <w:rFonts w:ascii="Calibri" w:hAnsi="Calibri"/>
                <w:sz w:val="20"/>
              </w:rPr>
              <w:t xml:space="preserve">-758.0 </w:t>
            </w:r>
          </w:p>
        </w:tc>
        <w:tc>
          <w:tcPr>
            <w:tcW w:w="681" w:type="pct"/>
            <w:vAlign w:val="center"/>
          </w:tcPr>
          <w:p w:rsidR="000B5C96" w:rsidRPr="00C51E94"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rPr>
            </w:pPr>
            <w:r w:rsidRPr="00C51E94">
              <w:rPr>
                <w:rFonts w:ascii="Calibri" w:hAnsi="Calibri"/>
                <w:b/>
                <w:sz w:val="20"/>
              </w:rPr>
              <w:t xml:space="preserve">-2,047.7 </w:t>
            </w:r>
          </w:p>
        </w:tc>
      </w:tr>
      <w:tr w:rsidR="000B5C96" w:rsidRPr="00C51E94"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C51E94" w:rsidRDefault="000B5C96" w:rsidP="003F606A">
            <w:pPr>
              <w:keepNext/>
              <w:keepLines/>
              <w:spacing w:line="240" w:lineRule="auto"/>
              <w:ind w:left="57" w:right="57"/>
              <w:rPr>
                <w:rFonts w:ascii="Calibri" w:hAnsi="Calibri"/>
                <w:sz w:val="20"/>
                <w:szCs w:val="20"/>
              </w:rPr>
            </w:pPr>
            <w:r w:rsidRPr="00C51E94">
              <w:rPr>
                <w:rFonts w:ascii="Calibri" w:hAnsi="Calibri"/>
                <w:sz w:val="20"/>
                <w:szCs w:val="20"/>
              </w:rPr>
              <w:t>Underlying cash balance</w:t>
            </w:r>
          </w:p>
        </w:tc>
        <w:tc>
          <w:tcPr>
            <w:tcW w:w="682" w:type="pct"/>
            <w:vAlign w:val="center"/>
          </w:tcPr>
          <w:p w:rsidR="000B5C96" w:rsidRPr="00C51E94"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w:t>
            </w:r>
          </w:p>
        </w:tc>
        <w:tc>
          <w:tcPr>
            <w:tcW w:w="682" w:type="pct"/>
            <w:vAlign w:val="center"/>
          </w:tcPr>
          <w:p w:rsidR="000B5C96" w:rsidRPr="00C51E94"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 xml:space="preserve">-531.7 </w:t>
            </w:r>
          </w:p>
        </w:tc>
        <w:tc>
          <w:tcPr>
            <w:tcW w:w="682" w:type="pct"/>
            <w:vAlign w:val="center"/>
          </w:tcPr>
          <w:p w:rsidR="000B5C96" w:rsidRPr="00C51E94"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 xml:space="preserve">-758.0 </w:t>
            </w:r>
          </w:p>
        </w:tc>
        <w:tc>
          <w:tcPr>
            <w:tcW w:w="682" w:type="pct"/>
            <w:vAlign w:val="center"/>
          </w:tcPr>
          <w:p w:rsidR="000B5C96" w:rsidRPr="00C51E94"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 xml:space="preserve">-758.0 </w:t>
            </w:r>
          </w:p>
        </w:tc>
        <w:tc>
          <w:tcPr>
            <w:tcW w:w="681" w:type="pct"/>
            <w:vAlign w:val="center"/>
          </w:tcPr>
          <w:p w:rsidR="000B5C96" w:rsidRPr="00C51E94"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C51E94">
              <w:rPr>
                <w:rFonts w:ascii="Calibri" w:hAnsi="Calibri"/>
                <w:b/>
                <w:sz w:val="20"/>
              </w:rPr>
              <w:t xml:space="preserve">-2,047.7 </w:t>
            </w:r>
          </w:p>
        </w:tc>
      </w:tr>
    </w:tbl>
    <w:p w:rsidR="000B5C96" w:rsidRPr="00C51E94" w:rsidRDefault="000B5C96" w:rsidP="000F7918">
      <w:pPr>
        <w:pStyle w:val="Footnotes"/>
        <w:keepNext/>
        <w:keepLines/>
        <w:numPr>
          <w:ilvl w:val="0"/>
          <w:numId w:val="201"/>
        </w:numPr>
        <w:ind w:left="284" w:hanging="284"/>
      </w:pPr>
      <w:r w:rsidRPr="00C51E94">
        <w:t>A positive number indicates an increase in the relevant budget balance, a negative number a decrease</w:t>
      </w:r>
      <w:r w:rsidRPr="00C51E94" w:rsidDel="0066665A">
        <w:t>.</w:t>
      </w:r>
      <w:r w:rsidRPr="00C51E94">
        <w:t xml:space="preserve"> </w:t>
      </w:r>
    </w:p>
    <w:p w:rsidR="000B5C96" w:rsidRPr="00C51E94" w:rsidRDefault="000B5C96" w:rsidP="000F7918">
      <w:pPr>
        <w:pStyle w:val="Footnotes"/>
        <w:numPr>
          <w:ilvl w:val="0"/>
          <w:numId w:val="201"/>
        </w:numPr>
        <w:ind w:left="284" w:hanging="284"/>
      </w:pPr>
      <w:r w:rsidRPr="00C51E94">
        <w:t>Figures may not sum to totals due to rounding</w:t>
      </w:r>
    </w:p>
    <w:p w:rsidR="000B5C96" w:rsidRPr="00C51E94" w:rsidRDefault="000B5C96" w:rsidP="003F606A">
      <w:pPr>
        <w:pStyle w:val="CostingsH7"/>
        <w:rPr>
          <w:rFonts w:eastAsia="Calibri"/>
        </w:rPr>
      </w:pPr>
      <w:r w:rsidRPr="00C51E94">
        <w:rPr>
          <w:rFonts w:eastAsia="Calibri"/>
        </w:rPr>
        <w:t>Key assumptions</w:t>
      </w:r>
    </w:p>
    <w:p w:rsidR="000B5C96" w:rsidRPr="00C51E94" w:rsidRDefault="000B5C96" w:rsidP="003F606A">
      <w:pPr>
        <w:pStyle w:val="BodyText"/>
      </w:pPr>
      <w:r w:rsidRPr="00C51E94">
        <w:t>In costing the proposal, it has been assumed that 70 percent of the capped one million patients visiting allied health providers would enrol in the system in 2017-18 and the remaining 30 percent would enrol in 2018-19.</w:t>
      </w:r>
    </w:p>
    <w:p w:rsidR="000B5C96" w:rsidRPr="00C51E94" w:rsidRDefault="000B5C96" w:rsidP="003F606A">
      <w:pPr>
        <w:pStyle w:val="CostingsH7"/>
        <w:rPr>
          <w:rFonts w:eastAsia="Calibri"/>
        </w:rPr>
      </w:pPr>
      <w:r w:rsidRPr="00C51E94">
        <w:rPr>
          <w:rFonts w:eastAsia="Calibri"/>
        </w:rPr>
        <w:t>Methodology</w:t>
      </w:r>
    </w:p>
    <w:p w:rsidR="000B5C96" w:rsidRPr="00C51E94" w:rsidRDefault="000B5C96" w:rsidP="003F606A">
      <w:pPr>
        <w:pStyle w:val="BodyText"/>
      </w:pPr>
      <w:r w:rsidRPr="00C51E94">
        <w:t>The impact of this proposal on administered expenses was derived by multiplying the specified number of enrolled patients by the specified annual funding per patient ($750).</w:t>
      </w:r>
    </w:p>
    <w:p w:rsidR="000B5C96" w:rsidRPr="00C51E94" w:rsidRDefault="000B5C96" w:rsidP="003F606A">
      <w:pPr>
        <w:pStyle w:val="BodyText"/>
      </w:pPr>
      <w:r w:rsidRPr="00C51E94">
        <w:t>The departmental expenses for the Department of Human Services (DHS) were derived by multiplying the estimated number of annually enrolled patients by the estimated processing cost per transaction (based on similar activities) with additional funding for the development of the payment system in 2017-18.</w:t>
      </w:r>
    </w:p>
    <w:p w:rsidR="000B5C96" w:rsidRPr="00C51E94" w:rsidRDefault="000B5C96" w:rsidP="003F606A">
      <w:pPr>
        <w:pStyle w:val="BodyText"/>
      </w:pPr>
      <w:r w:rsidRPr="00C51E94">
        <w:t>The departmental expenses for the Department of Health (Health) were calculated based on similar sized programs</w:t>
      </w:r>
      <w:r w:rsidRPr="00C51E94">
        <w:rPr>
          <w:vertAlign w:val="superscript"/>
        </w:rPr>
        <w:footnoteReference w:id="11"/>
      </w:r>
      <w:r w:rsidRPr="00C51E94">
        <w:t>.</w:t>
      </w:r>
    </w:p>
    <w:p w:rsidR="000B5C96" w:rsidRPr="00C51E94" w:rsidRDefault="000B5C96" w:rsidP="003F606A">
      <w:pPr>
        <w:pStyle w:val="CostingsH7"/>
        <w:rPr>
          <w:rFonts w:eastAsia="Calibri"/>
        </w:rPr>
      </w:pPr>
      <w:r w:rsidRPr="00C51E94">
        <w:rPr>
          <w:rFonts w:eastAsia="Calibri"/>
        </w:rPr>
        <w:t>Data sources</w:t>
      </w:r>
    </w:p>
    <w:p w:rsidR="000B5C96" w:rsidRPr="00C51E94" w:rsidRDefault="000B5C96" w:rsidP="003F606A">
      <w:pPr>
        <w:pStyle w:val="BodyText"/>
      </w:pPr>
      <w:r w:rsidRPr="00C51E94">
        <w:t>The Department of Finance provided indexation and efficiency dividend parameters.</w:t>
      </w:r>
    </w:p>
    <w:p w:rsidR="000B5C96" w:rsidRPr="00C51E94" w:rsidRDefault="000B5C96" w:rsidP="003F606A">
      <w:pPr>
        <w:pStyle w:val="BodyText"/>
        <w:rPr>
          <w:rFonts w:eastAsia="Times New Roman"/>
          <w:lang w:eastAsia="en-AU"/>
        </w:rPr>
      </w:pPr>
      <w:r w:rsidRPr="00C51E94">
        <w:rPr>
          <w:rFonts w:eastAsia="Times New Roman"/>
          <w:lang w:eastAsia="en-AU"/>
        </w:rPr>
        <w:t>The Department of Human Services provided the 2016-17 Budget Funding Model on Unit Prices for National Policy Proposals.</w:t>
      </w:r>
    </w:p>
    <w:p w:rsidR="000B5C96" w:rsidRPr="00C51E94" w:rsidRDefault="000B5C96" w:rsidP="003F606A">
      <w:pPr>
        <w:pStyle w:val="BodyText"/>
        <w:rPr>
          <w:rFonts w:eastAsia="Times New Roman"/>
          <w:highlight w:val="yellow"/>
          <w:lang w:eastAsia="en-AU"/>
        </w:rPr>
        <w:sectPr w:rsidR="000B5C96" w:rsidRPr="00C51E94" w:rsidSect="003F606A">
          <w:headerReference w:type="even" r:id="rId449"/>
          <w:headerReference w:type="default" r:id="rId450"/>
          <w:footerReference w:type="even" r:id="rId451"/>
          <w:footerReference w:type="default" r:id="rId452"/>
          <w:headerReference w:type="first" r:id="rId453"/>
          <w:footerReference w:type="first" r:id="rId454"/>
          <w:footnotePr>
            <w:numRestart w:val="eachSect"/>
          </w:footnotePr>
          <w:pgSz w:w="11906" w:h="16838"/>
          <w:pgMar w:top="1361" w:right="1797" w:bottom="1474" w:left="1797" w:header="283" w:footer="454" w:gutter="0"/>
          <w:cols w:space="708"/>
          <w:docGrid w:linePitch="360"/>
        </w:sectPr>
      </w:pPr>
    </w:p>
    <w:p w:rsidR="000B5C96" w:rsidRPr="00C51E94" w:rsidRDefault="000B5C96" w:rsidP="000B5C96">
      <w:pPr>
        <w:pStyle w:val="Heading6"/>
        <w:numPr>
          <w:ilvl w:val="0"/>
          <w:numId w:val="5"/>
        </w:numPr>
        <w:tabs>
          <w:tab w:val="clear" w:pos="0"/>
          <w:tab w:val="num" w:pos="360"/>
          <w:tab w:val="right" w:pos="1418"/>
          <w:tab w:val="right" w:pos="1701"/>
          <w:tab w:val="right" w:pos="1985"/>
        </w:tabs>
      </w:pPr>
      <w:r w:rsidRPr="00C51E94">
        <w:t>Attachment A: Primary Health Networks – funding—financial implications</w:t>
      </w:r>
    </w:p>
    <w:p w:rsidR="000B5C96" w:rsidRPr="00C51E94" w:rsidRDefault="000B5C96" w:rsidP="003F606A">
      <w:pPr>
        <w:pStyle w:val="Caption"/>
        <w:rPr>
          <w:vertAlign w:val="superscript"/>
        </w:rPr>
      </w:pPr>
      <w:r w:rsidRPr="00C51E94">
        <w:t>Table A1: Financial implications</w:t>
      </w:r>
      <w:r w:rsidRPr="00C51E94">
        <w:rPr>
          <w:vertAlign w:val="superscript"/>
        </w:rPr>
        <w:t>(a)(b)</w:t>
      </w:r>
    </w:p>
    <w:tbl>
      <w:tblPr>
        <w:tblStyle w:val="TableGrid22"/>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C51E94" w:rsidRDefault="000B5C96" w:rsidP="003F606A">
            <w:pPr>
              <w:keepNext/>
              <w:keepLines/>
              <w:spacing w:before="114" w:after="114"/>
              <w:rPr>
                <w:rFonts w:ascii="Calibri" w:hAnsi="Calibri"/>
                <w:sz w:val="20"/>
                <w:szCs w:val="20"/>
              </w:rPr>
            </w:pPr>
            <w:r w:rsidRPr="00C51E94">
              <w:rPr>
                <w:rFonts w:ascii="Calibri" w:hAnsi="Calibri"/>
                <w:sz w:val="20"/>
                <w:szCs w:val="20"/>
              </w:rPr>
              <w:t>($m)</w:t>
            </w:r>
          </w:p>
        </w:tc>
        <w:tc>
          <w:tcPr>
            <w:tcW w:w="326"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2016–17</w:t>
            </w:r>
          </w:p>
        </w:tc>
        <w:tc>
          <w:tcPr>
            <w:tcW w:w="325"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2017–18</w:t>
            </w:r>
          </w:p>
        </w:tc>
        <w:tc>
          <w:tcPr>
            <w:tcW w:w="325"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2018–19</w:t>
            </w:r>
          </w:p>
        </w:tc>
        <w:tc>
          <w:tcPr>
            <w:tcW w:w="325"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2019–20</w:t>
            </w:r>
          </w:p>
        </w:tc>
        <w:tc>
          <w:tcPr>
            <w:tcW w:w="327"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C51E94">
              <w:rPr>
                <w:rFonts w:ascii="Calibri" w:hAnsi="Calibri"/>
                <w:b/>
                <w:sz w:val="20"/>
              </w:rPr>
              <w:t>Total to 2019–20</w:t>
            </w:r>
          </w:p>
        </w:tc>
        <w:tc>
          <w:tcPr>
            <w:tcW w:w="325"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2020–21</w:t>
            </w:r>
          </w:p>
        </w:tc>
        <w:tc>
          <w:tcPr>
            <w:tcW w:w="325"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2021–22</w:t>
            </w:r>
          </w:p>
        </w:tc>
        <w:tc>
          <w:tcPr>
            <w:tcW w:w="325"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2022–23</w:t>
            </w:r>
          </w:p>
        </w:tc>
        <w:tc>
          <w:tcPr>
            <w:tcW w:w="325"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2023–24</w:t>
            </w:r>
          </w:p>
        </w:tc>
        <w:tc>
          <w:tcPr>
            <w:tcW w:w="325"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2024–25</w:t>
            </w:r>
          </w:p>
        </w:tc>
        <w:tc>
          <w:tcPr>
            <w:tcW w:w="325"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2025–26</w:t>
            </w:r>
          </w:p>
        </w:tc>
        <w:tc>
          <w:tcPr>
            <w:tcW w:w="325"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51E94">
              <w:rPr>
                <w:rFonts w:ascii="Calibri" w:hAnsi="Calibri"/>
                <w:sz w:val="20"/>
              </w:rPr>
              <w:t>2026–27</w:t>
            </w:r>
          </w:p>
        </w:tc>
        <w:tc>
          <w:tcPr>
            <w:tcW w:w="326" w:type="pct"/>
            <w:shd w:val="clear" w:color="auto" w:fill="D7DDE9"/>
            <w:vAlign w:val="center"/>
          </w:tcPr>
          <w:p w:rsidR="000B5C96" w:rsidRPr="00C51E94" w:rsidRDefault="000B5C96" w:rsidP="003F606A">
            <w:pPr>
              <w:keepNext/>
              <w:keepLines/>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C51E94">
              <w:rPr>
                <w:rFonts w:ascii="Calibri" w:hAnsi="Calibri"/>
                <w:b/>
                <w:sz w:val="20"/>
              </w:rPr>
              <w:t>Total to 2026–27</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C51E94" w:rsidRDefault="000B5C96" w:rsidP="003F606A">
            <w:pPr>
              <w:rPr>
                <w:rFonts w:ascii="Calibri" w:hAnsi="Calibri"/>
                <w:b/>
                <w:i/>
                <w:sz w:val="20"/>
                <w:szCs w:val="20"/>
              </w:rPr>
            </w:pPr>
            <w:r w:rsidRPr="00C51E94">
              <w:rPr>
                <w:rFonts w:ascii="Calibri" w:hAnsi="Calibri"/>
                <w:b/>
                <w:sz w:val="20"/>
                <w:szCs w:val="20"/>
              </w:rPr>
              <w:t>Impact on fiscal and underlying cash balances</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C51E94" w:rsidRDefault="000B5C96" w:rsidP="003F606A">
            <w:pPr>
              <w:rPr>
                <w:rFonts w:ascii="Calibri" w:hAnsi="Calibri"/>
                <w:sz w:val="20"/>
                <w:szCs w:val="20"/>
              </w:rPr>
            </w:pPr>
            <w:r w:rsidRPr="00C51E94">
              <w:rPr>
                <w:rFonts w:ascii="Calibri" w:hAnsi="Calibri"/>
                <w:sz w:val="20"/>
                <w:szCs w:val="20"/>
              </w:rPr>
              <w:t>Administered</w:t>
            </w:r>
          </w:p>
        </w:tc>
        <w:tc>
          <w:tcPr>
            <w:tcW w:w="326"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w:t>
            </w:r>
          </w:p>
        </w:tc>
        <w:tc>
          <w:tcPr>
            <w:tcW w:w="325"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-525.0 </w:t>
            </w:r>
          </w:p>
        </w:tc>
        <w:tc>
          <w:tcPr>
            <w:tcW w:w="325"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-750.0 </w:t>
            </w:r>
          </w:p>
        </w:tc>
        <w:tc>
          <w:tcPr>
            <w:tcW w:w="325"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-750.0 </w:t>
            </w:r>
          </w:p>
        </w:tc>
        <w:tc>
          <w:tcPr>
            <w:tcW w:w="327"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C51E94">
              <w:rPr>
                <w:rFonts w:ascii="Calibri" w:hAnsi="Calibri"/>
                <w:b/>
                <w:i/>
                <w:sz w:val="20"/>
                <w:szCs w:val="20"/>
              </w:rPr>
              <w:t xml:space="preserve">-2,025.0 </w:t>
            </w:r>
          </w:p>
        </w:tc>
        <w:tc>
          <w:tcPr>
            <w:tcW w:w="325"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-750.0 </w:t>
            </w:r>
          </w:p>
        </w:tc>
        <w:tc>
          <w:tcPr>
            <w:tcW w:w="325"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-750.0 </w:t>
            </w:r>
          </w:p>
        </w:tc>
        <w:tc>
          <w:tcPr>
            <w:tcW w:w="325"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-750.0 </w:t>
            </w:r>
          </w:p>
        </w:tc>
        <w:tc>
          <w:tcPr>
            <w:tcW w:w="325"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-750.0 </w:t>
            </w:r>
          </w:p>
        </w:tc>
        <w:tc>
          <w:tcPr>
            <w:tcW w:w="325"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-750.0 </w:t>
            </w:r>
          </w:p>
        </w:tc>
        <w:tc>
          <w:tcPr>
            <w:tcW w:w="325"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-750.0 </w:t>
            </w:r>
          </w:p>
        </w:tc>
        <w:tc>
          <w:tcPr>
            <w:tcW w:w="325"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-750.0 </w:t>
            </w:r>
          </w:p>
        </w:tc>
        <w:tc>
          <w:tcPr>
            <w:tcW w:w="326" w:type="pct"/>
          </w:tcPr>
          <w:p w:rsidR="000B5C96" w:rsidRPr="00C51E94"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C51E94">
              <w:rPr>
                <w:rFonts w:ascii="Calibri" w:hAnsi="Calibri"/>
                <w:b/>
                <w:i/>
                <w:sz w:val="20"/>
                <w:szCs w:val="20"/>
              </w:rPr>
              <w:t xml:space="preserve">-7,275.0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C51E94" w:rsidRDefault="000B5C96" w:rsidP="003F606A">
            <w:pPr>
              <w:rPr>
                <w:rFonts w:ascii="Calibri" w:hAnsi="Calibri"/>
                <w:b/>
                <w:i/>
                <w:sz w:val="20"/>
                <w:szCs w:val="20"/>
              </w:rPr>
            </w:pPr>
            <w:r w:rsidRPr="00C51E94">
              <w:rPr>
                <w:rFonts w:ascii="Calibri" w:hAnsi="Calibri"/>
                <w:b/>
                <w:sz w:val="20"/>
                <w:szCs w:val="20"/>
              </w:rPr>
              <w:t>Departmental</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C51E94" w:rsidRDefault="000B5C96" w:rsidP="003F606A">
            <w:pPr>
              <w:rPr>
                <w:rFonts w:ascii="Calibri" w:hAnsi="Calibri"/>
                <w:i/>
                <w:sz w:val="20"/>
                <w:szCs w:val="20"/>
              </w:rPr>
            </w:pPr>
            <w:r w:rsidRPr="00C51E94">
              <w:rPr>
                <w:rFonts w:ascii="Calibri" w:hAnsi="Calibri"/>
                <w:i/>
                <w:sz w:val="20"/>
                <w:szCs w:val="20"/>
              </w:rPr>
              <w:t>Departmental (DHS)</w:t>
            </w:r>
          </w:p>
        </w:tc>
        <w:tc>
          <w:tcPr>
            <w:tcW w:w="326"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w:t>
            </w:r>
          </w:p>
        </w:tc>
        <w:tc>
          <w:tcPr>
            <w:tcW w:w="325"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-5.8 </w:t>
            </w:r>
          </w:p>
        </w:tc>
        <w:tc>
          <w:tcPr>
            <w:tcW w:w="325"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-7.1 </w:t>
            </w:r>
          </w:p>
        </w:tc>
        <w:tc>
          <w:tcPr>
            <w:tcW w:w="325"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-7.1 </w:t>
            </w:r>
          </w:p>
        </w:tc>
        <w:tc>
          <w:tcPr>
            <w:tcW w:w="327"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C51E94">
              <w:rPr>
                <w:rFonts w:ascii="Calibri" w:hAnsi="Calibri"/>
                <w:b/>
                <w:i/>
                <w:sz w:val="20"/>
                <w:szCs w:val="20"/>
              </w:rPr>
              <w:t xml:space="preserve">-20.0 </w:t>
            </w:r>
          </w:p>
        </w:tc>
        <w:tc>
          <w:tcPr>
            <w:tcW w:w="325"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-7.2 </w:t>
            </w:r>
          </w:p>
        </w:tc>
        <w:tc>
          <w:tcPr>
            <w:tcW w:w="325"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-7.2 </w:t>
            </w:r>
          </w:p>
        </w:tc>
        <w:tc>
          <w:tcPr>
            <w:tcW w:w="325"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-7.3 </w:t>
            </w:r>
          </w:p>
        </w:tc>
        <w:tc>
          <w:tcPr>
            <w:tcW w:w="325"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-7.3 </w:t>
            </w:r>
          </w:p>
        </w:tc>
        <w:tc>
          <w:tcPr>
            <w:tcW w:w="325"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-7.3 </w:t>
            </w:r>
          </w:p>
        </w:tc>
        <w:tc>
          <w:tcPr>
            <w:tcW w:w="325"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-7.4 </w:t>
            </w:r>
          </w:p>
        </w:tc>
        <w:tc>
          <w:tcPr>
            <w:tcW w:w="325"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-7.4 </w:t>
            </w:r>
          </w:p>
        </w:tc>
        <w:tc>
          <w:tcPr>
            <w:tcW w:w="326" w:type="pct"/>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C51E94">
              <w:rPr>
                <w:rFonts w:ascii="Calibri" w:hAnsi="Calibri"/>
                <w:b/>
                <w:i/>
                <w:sz w:val="20"/>
                <w:szCs w:val="20"/>
              </w:rPr>
              <w:t xml:space="preserve">-71.1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bottom w:val="single" w:sz="4" w:space="0" w:color="788184"/>
            </w:tcBorders>
          </w:tcPr>
          <w:p w:rsidR="000B5C96" w:rsidRPr="00C51E94" w:rsidRDefault="000B5C96" w:rsidP="003F606A">
            <w:pPr>
              <w:rPr>
                <w:rFonts w:ascii="Calibri" w:hAnsi="Calibri"/>
                <w:i/>
                <w:sz w:val="20"/>
                <w:szCs w:val="20"/>
              </w:rPr>
            </w:pPr>
            <w:r w:rsidRPr="00C51E94">
              <w:rPr>
                <w:rFonts w:ascii="Calibri" w:hAnsi="Calibri"/>
                <w:i/>
                <w:sz w:val="20"/>
                <w:szCs w:val="20"/>
              </w:rPr>
              <w:t>Departmental (Health)</w:t>
            </w:r>
          </w:p>
        </w:tc>
        <w:tc>
          <w:tcPr>
            <w:tcW w:w="326"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w:t>
            </w:r>
          </w:p>
        </w:tc>
        <w:tc>
          <w:tcPr>
            <w:tcW w:w="325"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-0.9 </w:t>
            </w:r>
          </w:p>
        </w:tc>
        <w:tc>
          <w:tcPr>
            <w:tcW w:w="325"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-0.9 </w:t>
            </w:r>
          </w:p>
        </w:tc>
        <w:tc>
          <w:tcPr>
            <w:tcW w:w="325"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-0.9 </w:t>
            </w:r>
          </w:p>
        </w:tc>
        <w:tc>
          <w:tcPr>
            <w:tcW w:w="327"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C51E94">
              <w:rPr>
                <w:rFonts w:ascii="Calibri" w:hAnsi="Calibri"/>
                <w:b/>
                <w:i/>
                <w:sz w:val="20"/>
                <w:szCs w:val="20"/>
              </w:rPr>
              <w:t xml:space="preserve">-2.7 </w:t>
            </w:r>
          </w:p>
        </w:tc>
        <w:tc>
          <w:tcPr>
            <w:tcW w:w="325"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-0.9 </w:t>
            </w:r>
          </w:p>
        </w:tc>
        <w:tc>
          <w:tcPr>
            <w:tcW w:w="325"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-0.9 </w:t>
            </w:r>
          </w:p>
        </w:tc>
        <w:tc>
          <w:tcPr>
            <w:tcW w:w="325"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-0.9 </w:t>
            </w:r>
          </w:p>
        </w:tc>
        <w:tc>
          <w:tcPr>
            <w:tcW w:w="325"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-0.9 </w:t>
            </w:r>
          </w:p>
        </w:tc>
        <w:tc>
          <w:tcPr>
            <w:tcW w:w="325"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-0.9 </w:t>
            </w:r>
          </w:p>
        </w:tc>
        <w:tc>
          <w:tcPr>
            <w:tcW w:w="325"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-0.9 </w:t>
            </w:r>
          </w:p>
        </w:tc>
        <w:tc>
          <w:tcPr>
            <w:tcW w:w="325"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 xml:space="preserve">-1.0 </w:t>
            </w:r>
          </w:p>
        </w:tc>
        <w:tc>
          <w:tcPr>
            <w:tcW w:w="326" w:type="pct"/>
            <w:tcBorders>
              <w:bottom w:val="single" w:sz="4" w:space="0" w:color="788184"/>
            </w:tcBorders>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C51E94">
              <w:rPr>
                <w:rFonts w:ascii="Calibri" w:hAnsi="Calibri"/>
                <w:b/>
                <w:i/>
                <w:sz w:val="20"/>
                <w:szCs w:val="20"/>
              </w:rPr>
              <w:t xml:space="preserve">-9.3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C51E94" w:rsidRDefault="000B5C96" w:rsidP="003F606A">
            <w:pPr>
              <w:rPr>
                <w:rFonts w:ascii="Calibri" w:hAnsi="Calibri"/>
                <w:b/>
                <w:sz w:val="20"/>
                <w:szCs w:val="20"/>
              </w:rPr>
            </w:pPr>
            <w:r w:rsidRPr="00C51E94">
              <w:rPr>
                <w:rFonts w:ascii="Calibri" w:hAnsi="Calibri"/>
                <w:b/>
                <w:sz w:val="20"/>
                <w:szCs w:val="20"/>
              </w:rPr>
              <w:t>Total Departmental</w:t>
            </w:r>
          </w:p>
        </w:tc>
        <w:tc>
          <w:tcPr>
            <w:tcW w:w="326"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C51E94">
              <w:rPr>
                <w:rFonts w:ascii="Calibri" w:hAnsi="Calibri"/>
                <w:i/>
                <w:sz w:val="20"/>
                <w:szCs w:val="20"/>
              </w:rPr>
              <w:t>-</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-6.7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-8.0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-8.0 </w:t>
            </w:r>
          </w:p>
        </w:tc>
        <w:tc>
          <w:tcPr>
            <w:tcW w:w="327"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51E94">
              <w:rPr>
                <w:rFonts w:ascii="Calibri" w:hAnsi="Calibri"/>
                <w:b/>
                <w:sz w:val="20"/>
                <w:szCs w:val="20"/>
              </w:rPr>
              <w:t xml:space="preserve">-22.7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-8.1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-8.1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-8.2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-8.2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-8.2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-8.3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-8.4 </w:t>
            </w:r>
          </w:p>
        </w:tc>
        <w:tc>
          <w:tcPr>
            <w:tcW w:w="326"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51E94">
              <w:rPr>
                <w:rFonts w:ascii="Calibri" w:hAnsi="Calibri"/>
                <w:b/>
                <w:sz w:val="20"/>
                <w:szCs w:val="20"/>
              </w:rPr>
              <w:t xml:space="preserve">-80.4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C51E94" w:rsidRDefault="000B5C96" w:rsidP="003F606A">
            <w:pPr>
              <w:rPr>
                <w:rFonts w:ascii="Calibri" w:hAnsi="Calibri"/>
                <w:b/>
                <w:sz w:val="20"/>
                <w:szCs w:val="20"/>
              </w:rPr>
            </w:pPr>
            <w:r w:rsidRPr="00C51E94">
              <w:rPr>
                <w:rFonts w:ascii="Calibri" w:hAnsi="Calibri"/>
                <w:b/>
                <w:sz w:val="20"/>
                <w:szCs w:val="20"/>
              </w:rPr>
              <w:t>Total</w:t>
            </w:r>
          </w:p>
        </w:tc>
        <w:tc>
          <w:tcPr>
            <w:tcW w:w="326"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51E94">
              <w:rPr>
                <w:rFonts w:ascii="Calibri" w:hAnsi="Calibri"/>
                <w:b/>
                <w:sz w:val="20"/>
                <w:szCs w:val="20"/>
              </w:rPr>
              <w:t>-</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-531.7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-758.0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-758.0 </w:t>
            </w:r>
          </w:p>
        </w:tc>
        <w:tc>
          <w:tcPr>
            <w:tcW w:w="327"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51E94">
              <w:rPr>
                <w:rFonts w:ascii="Calibri" w:hAnsi="Calibri"/>
                <w:b/>
                <w:sz w:val="20"/>
                <w:szCs w:val="20"/>
              </w:rPr>
              <w:t xml:space="preserve">-2,047.7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-758.1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-758.1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-758.2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-758.2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-758.2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-758.3 </w:t>
            </w:r>
          </w:p>
        </w:tc>
        <w:tc>
          <w:tcPr>
            <w:tcW w:w="325"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1E94">
              <w:rPr>
                <w:rFonts w:ascii="Calibri" w:hAnsi="Calibri"/>
                <w:sz w:val="20"/>
                <w:szCs w:val="20"/>
              </w:rPr>
              <w:t xml:space="preserve">-758.4 </w:t>
            </w:r>
          </w:p>
        </w:tc>
        <w:tc>
          <w:tcPr>
            <w:tcW w:w="326" w:type="pct"/>
            <w:shd w:val="clear" w:color="auto" w:fill="D7DDE9"/>
            <w:vAlign w:val="center"/>
          </w:tcPr>
          <w:p w:rsidR="000B5C96" w:rsidRPr="00C51E94" w:rsidRDefault="000B5C96" w:rsidP="003F606A">
            <w:pPr>
              <w:spacing w:before="0" w:after="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51E94">
              <w:rPr>
                <w:rFonts w:ascii="Calibri" w:hAnsi="Calibri"/>
                <w:b/>
                <w:sz w:val="20"/>
                <w:szCs w:val="20"/>
              </w:rPr>
              <w:t xml:space="preserve">-7,355.4 </w:t>
            </w:r>
          </w:p>
        </w:tc>
      </w:tr>
    </w:tbl>
    <w:p w:rsidR="000B5C96" w:rsidRPr="00C51E94" w:rsidRDefault="000B5C96" w:rsidP="009B1BCB">
      <w:pPr>
        <w:pStyle w:val="Footnotes"/>
        <w:numPr>
          <w:ilvl w:val="0"/>
          <w:numId w:val="202"/>
        </w:numPr>
        <w:ind w:left="284" w:hanging="284"/>
      </w:pPr>
      <w:r w:rsidRPr="00C51E94">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C51E94" w:rsidRDefault="000B5C96" w:rsidP="009B1BCB">
      <w:pPr>
        <w:pStyle w:val="Footnotes"/>
        <w:numPr>
          <w:ilvl w:val="0"/>
          <w:numId w:val="202"/>
        </w:numPr>
        <w:ind w:left="284" w:hanging="284"/>
      </w:pPr>
      <w:r w:rsidRPr="00C51E94">
        <w:t>Figures may not sum to totals due to rounding.</w:t>
      </w:r>
    </w:p>
    <w:p w:rsidR="000B5C96" w:rsidRPr="00C51E94" w:rsidRDefault="000B5C96" w:rsidP="000B5C96">
      <w:pPr>
        <w:pStyle w:val="Footnotes"/>
        <w:numPr>
          <w:ilvl w:val="0"/>
          <w:numId w:val="114"/>
        </w:numPr>
        <w:ind w:left="284" w:hanging="284"/>
      </w:pPr>
      <w:r w:rsidRPr="00C51E94">
        <w:t>Indicates nil.</w:t>
      </w:r>
    </w:p>
    <w:p w:rsidR="000B5C96" w:rsidRDefault="000B5C96" w:rsidP="003F606A">
      <w:pPr>
        <w:pStyle w:val="BodyText"/>
      </w:pPr>
    </w:p>
    <w:p w:rsidR="000B5C96" w:rsidRDefault="000B5C96" w:rsidP="003F606A">
      <w:pPr>
        <w:pStyle w:val="BodyText"/>
        <w:sectPr w:rsidR="000B5C96" w:rsidSect="003F606A">
          <w:headerReference w:type="even" r:id="rId455"/>
          <w:headerReference w:type="default" r:id="rId456"/>
          <w:footerReference w:type="even" r:id="rId457"/>
          <w:footerReference w:type="default" r:id="rId458"/>
          <w:footnotePr>
            <w:numRestart w:val="eachSect"/>
          </w:footnotePr>
          <w:pgSz w:w="16839" w:h="11907" w:orient="landscape" w:code="9"/>
          <w:pgMar w:top="1361" w:right="1797" w:bottom="1474" w:left="1797" w:header="283" w:footer="454" w:gutter="0"/>
          <w:cols w:space="708"/>
          <w:docGrid w:linePitch="360"/>
        </w:sectPr>
      </w:pPr>
    </w:p>
    <w:p w:rsidR="000B5C96" w:rsidRDefault="000B5C96" w:rsidP="003F606A">
      <w:pPr>
        <w:pStyle w:val="Heading5"/>
        <w:spacing w:before="0"/>
      </w:pPr>
      <w:bookmarkStart w:id="155" w:name="_Toc457979365"/>
      <w:bookmarkStart w:id="156" w:name="_Toc458069223"/>
      <w:r>
        <w:t>GRN048: More Funding for Mental Health</w:t>
      </w:r>
      <w:bookmarkEnd w:id="155"/>
      <w:bookmarkEnd w:id="156"/>
    </w:p>
    <w:p w:rsidR="000B5C96" w:rsidRPr="009C09D3" w:rsidRDefault="000B5C96" w:rsidP="003F606A">
      <w:pPr>
        <w:pStyle w:val="BodyText"/>
      </w:pPr>
      <w:r w:rsidRPr="009C09D3">
        <w:rPr>
          <w:noProof/>
          <w:lang w:eastAsia="en-AU"/>
        </w:rPr>
        <w:drawing>
          <wp:inline distT="0" distB="0" distL="0" distR="0" wp14:anchorId="045E191D" wp14:editId="28F62AFA">
            <wp:extent cx="2696845" cy="572135"/>
            <wp:effectExtent l="0" t="0" r="8255" b="0"/>
            <wp:docPr id="38" name="Picture 3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C51E94" w:rsidRDefault="000B5C96" w:rsidP="000B5C96">
      <w:pPr>
        <w:pStyle w:val="Heading6"/>
        <w:numPr>
          <w:ilvl w:val="0"/>
          <w:numId w:val="5"/>
        </w:numPr>
        <w:tabs>
          <w:tab w:val="clear" w:pos="0"/>
          <w:tab w:val="num" w:pos="360"/>
          <w:tab w:val="right" w:pos="1418"/>
          <w:tab w:val="right" w:pos="1701"/>
          <w:tab w:val="right" w:pos="1985"/>
        </w:tabs>
      </w:pPr>
      <w:r w:rsidRPr="00C51E94">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862AB8" w:rsidRDefault="000B5C96" w:rsidP="003F606A">
            <w:pPr>
              <w:pStyle w:val="PullOutBoxHeading"/>
              <w:rPr>
                <w:b/>
                <w:sz w:val="22"/>
              </w:rPr>
            </w:pPr>
            <w:r w:rsidRPr="00862AB8">
              <w:rPr>
                <w:b/>
                <w:sz w:val="22"/>
              </w:rPr>
              <w:t>Name of proposal:</w:t>
            </w:r>
          </w:p>
        </w:tc>
        <w:tc>
          <w:tcPr>
            <w:tcW w:w="5335" w:type="dxa"/>
          </w:tcPr>
          <w:p w:rsidR="000B5C96" w:rsidRPr="00862AB8" w:rsidRDefault="000B5C96" w:rsidP="003F606A">
            <w:pPr>
              <w:pStyle w:val="PullOutBoxHeading"/>
              <w:rPr>
                <w:b/>
                <w:sz w:val="22"/>
              </w:rPr>
            </w:pPr>
            <w:r w:rsidRPr="00862AB8">
              <w:rPr>
                <w:b/>
                <w:sz w:val="22"/>
              </w:rPr>
              <w:t>More Funding for Mental Health</w:t>
            </w:r>
          </w:p>
        </w:tc>
      </w:tr>
      <w:tr w:rsidR="000B5C96" w:rsidRPr="00C51E94" w:rsidTr="003F606A">
        <w:tc>
          <w:tcPr>
            <w:tcW w:w="3005" w:type="dxa"/>
          </w:tcPr>
          <w:p w:rsidR="000B5C96" w:rsidRPr="00C51E94" w:rsidRDefault="000B5C96" w:rsidP="003F606A">
            <w:pPr>
              <w:pStyle w:val="PullOutBoxBodyText"/>
            </w:pPr>
            <w:r w:rsidRPr="00C51E94">
              <w:t>Summary of proposal:</w:t>
            </w:r>
          </w:p>
        </w:tc>
        <w:tc>
          <w:tcPr>
            <w:tcW w:w="5335" w:type="dxa"/>
          </w:tcPr>
          <w:p w:rsidR="000B5C96" w:rsidRPr="00C51E94" w:rsidRDefault="000B5C96" w:rsidP="003F606A">
            <w:pPr>
              <w:pStyle w:val="PullOutBoxBodyText"/>
            </w:pPr>
            <w:r w:rsidRPr="00C51E94">
              <w:t>The proposal contains a number of components:</w:t>
            </w:r>
          </w:p>
          <w:p w:rsidR="000B5C96" w:rsidRPr="00C51E94" w:rsidRDefault="000B5C96" w:rsidP="003F606A">
            <w:pPr>
              <w:pStyle w:val="PullOutBoxBodyText"/>
              <w:rPr>
                <w:u w:val="single"/>
              </w:rPr>
            </w:pPr>
            <w:r w:rsidRPr="00C51E94">
              <w:rPr>
                <w:u w:val="single"/>
              </w:rPr>
              <w:t>Component 1: National Institute for Mental Health Research</w:t>
            </w:r>
          </w:p>
          <w:p w:rsidR="000B5C96" w:rsidRPr="00C51E94" w:rsidRDefault="000B5C96" w:rsidP="003F606A">
            <w:pPr>
              <w:pStyle w:val="PullOutBoxBodyText"/>
            </w:pPr>
            <w:r w:rsidRPr="00C51E94">
              <w:t>This component would provide $37.5 million per year to establish a National Institute for Mental Health.</w:t>
            </w:r>
          </w:p>
          <w:p w:rsidR="000B5C96" w:rsidRPr="00C51E94" w:rsidRDefault="000B5C96" w:rsidP="003F606A">
            <w:pPr>
              <w:pStyle w:val="PullOutBoxBodyText"/>
              <w:rPr>
                <w:u w:val="single"/>
              </w:rPr>
            </w:pPr>
            <w:r w:rsidRPr="00C51E94">
              <w:rPr>
                <w:u w:val="single"/>
              </w:rPr>
              <w:t>Component 2: National Suicide Prevention Campaign</w:t>
            </w:r>
          </w:p>
          <w:p w:rsidR="000B5C96" w:rsidRPr="00C51E94" w:rsidRDefault="000B5C96" w:rsidP="003F606A">
            <w:pPr>
              <w:pStyle w:val="PullOutBoxBodyText"/>
            </w:pPr>
            <w:r w:rsidRPr="00C51E94">
              <w:t>This component would provide $9.6 million per year to establish a National Suicide Prevention Campaign and improve the collection of data.</w:t>
            </w:r>
          </w:p>
          <w:p w:rsidR="000B5C96" w:rsidRPr="00C51E94" w:rsidRDefault="000B5C96" w:rsidP="003F606A">
            <w:pPr>
              <w:pStyle w:val="PullOutBoxBodyText"/>
              <w:rPr>
                <w:u w:val="single"/>
              </w:rPr>
            </w:pPr>
            <w:r w:rsidRPr="00C51E94">
              <w:rPr>
                <w:u w:val="single"/>
              </w:rPr>
              <w:t>Component 3: Rural mental health workforce plan</w:t>
            </w:r>
          </w:p>
          <w:p w:rsidR="000B5C96" w:rsidRPr="00C51E94" w:rsidRDefault="000B5C96" w:rsidP="003F606A">
            <w:pPr>
              <w:pStyle w:val="PullOutBoxBodyText"/>
            </w:pPr>
            <w:r w:rsidRPr="00C51E94">
              <w:t>This component would provide:</w:t>
            </w:r>
          </w:p>
          <w:p w:rsidR="000B5C96" w:rsidRPr="00C51E94" w:rsidRDefault="000B5C96" w:rsidP="000B5C96">
            <w:pPr>
              <w:pStyle w:val="PullOutBoxBullet"/>
              <w:numPr>
                <w:ilvl w:val="0"/>
                <w:numId w:val="2"/>
              </w:numPr>
              <w:ind w:left="397"/>
              <w:rPr>
                <w:lang w:eastAsia="en-AU"/>
              </w:rPr>
            </w:pPr>
            <w:r w:rsidRPr="00C51E94">
              <w:rPr>
                <w:lang w:eastAsia="en-AU"/>
              </w:rPr>
              <w:t>$35 million per year to develop and implement a rural mental health workforce plan incorporating investment in hiring incentives, education, research and training</w:t>
            </w:r>
          </w:p>
          <w:p w:rsidR="000B5C96" w:rsidRPr="00C51E94" w:rsidRDefault="000B5C96" w:rsidP="000B5C96">
            <w:pPr>
              <w:pStyle w:val="PullOutBoxBullet"/>
              <w:numPr>
                <w:ilvl w:val="0"/>
                <w:numId w:val="2"/>
              </w:numPr>
              <w:ind w:left="397"/>
              <w:rPr>
                <w:lang w:eastAsia="en-AU"/>
              </w:rPr>
            </w:pPr>
            <w:r w:rsidRPr="00C51E94">
              <w:rPr>
                <w:lang w:eastAsia="en-AU"/>
              </w:rPr>
              <w:t>$35 million per year for stepped prevention and recovery facilities and services, including step-up and step-down accommodation and short term residential care.</w:t>
            </w:r>
          </w:p>
          <w:p w:rsidR="000B5C96" w:rsidRPr="009D0E8F" w:rsidRDefault="000B5C96" w:rsidP="003F606A">
            <w:pPr>
              <w:pStyle w:val="PullOutBoxBodyText"/>
              <w:rPr>
                <w:u w:val="single"/>
              </w:rPr>
            </w:pPr>
            <w:r w:rsidRPr="009D0E8F">
              <w:rPr>
                <w:u w:val="single"/>
              </w:rPr>
              <w:t>Component 4: Primary Health Networks</w:t>
            </w:r>
          </w:p>
          <w:p w:rsidR="000B5C96" w:rsidRPr="00C51E94" w:rsidRDefault="000B5C96" w:rsidP="003F606A">
            <w:pPr>
              <w:pStyle w:val="PullOutBoxBodyText"/>
            </w:pPr>
            <w:r w:rsidRPr="00C51E94">
              <w:t>This component would provide additional funding of $100 million per year for the Primary Health Network (PHN) mental health flexible fund.</w:t>
            </w:r>
          </w:p>
          <w:p w:rsidR="000B5C96" w:rsidRPr="009D0E8F" w:rsidRDefault="000B5C96" w:rsidP="003F606A">
            <w:pPr>
              <w:pStyle w:val="PullOutBoxBodyText"/>
              <w:rPr>
                <w:u w:val="single"/>
              </w:rPr>
            </w:pPr>
            <w:r w:rsidRPr="009D0E8F">
              <w:rPr>
                <w:u w:val="single"/>
              </w:rPr>
              <w:t>Component 5: National Mental Health Consumers and Carers</w:t>
            </w:r>
          </w:p>
          <w:p w:rsidR="000B5C96" w:rsidRPr="009D0E8F" w:rsidRDefault="000B5C96" w:rsidP="003F606A">
            <w:pPr>
              <w:pStyle w:val="PullOutBoxBodyText"/>
              <w:rPr>
                <w:rFonts w:eastAsia="Times New Roman"/>
                <w:lang w:eastAsia="en-AU"/>
              </w:rPr>
            </w:pPr>
            <w:r w:rsidRPr="00C51E94">
              <w:rPr>
                <w:rFonts w:eastAsia="Times New Roman"/>
                <w:lang w:eastAsia="en-AU"/>
              </w:rPr>
              <w:t>This component would provide $6 million for the National Mental Health Consumer and Carer forum, the National Register, mental health consumer and carer representatives.</w:t>
            </w:r>
          </w:p>
        </w:tc>
      </w:tr>
      <w:tr w:rsidR="000B5C96" w:rsidRPr="00C51E94" w:rsidTr="003F606A">
        <w:tc>
          <w:tcPr>
            <w:tcW w:w="3005" w:type="dxa"/>
          </w:tcPr>
          <w:p w:rsidR="000B5C96" w:rsidRPr="00C51E94" w:rsidRDefault="000B5C96" w:rsidP="003F606A">
            <w:pPr>
              <w:pStyle w:val="PullOutBoxBodyText"/>
              <w:keepNext/>
              <w:keepLines/>
            </w:pPr>
          </w:p>
        </w:tc>
        <w:tc>
          <w:tcPr>
            <w:tcW w:w="5335" w:type="dxa"/>
          </w:tcPr>
          <w:p w:rsidR="000B5C96" w:rsidRPr="009D0E8F" w:rsidRDefault="000B5C96" w:rsidP="003F606A">
            <w:pPr>
              <w:pStyle w:val="PullOutBoxBodyText"/>
              <w:keepNext/>
              <w:keepLines/>
              <w:rPr>
                <w:u w:val="single"/>
              </w:rPr>
            </w:pPr>
            <w:r w:rsidRPr="009D0E8F">
              <w:rPr>
                <w:u w:val="single"/>
              </w:rPr>
              <w:t>Component 6: Insurance Discrimination</w:t>
            </w:r>
          </w:p>
          <w:p w:rsidR="000B5C96" w:rsidRPr="00C51E94" w:rsidRDefault="000B5C96" w:rsidP="003F606A">
            <w:pPr>
              <w:pStyle w:val="PullOutBoxBodyText"/>
              <w:keepNext/>
              <w:keepLines/>
            </w:pPr>
            <w:r w:rsidRPr="00C51E94">
              <w:t>This component would provide $0.5 million to research and develop a plan to end insurance discrimination for those with a mental illness over the period 2016-17 and 2017-18.</w:t>
            </w:r>
          </w:p>
          <w:p w:rsidR="000B5C96" w:rsidRPr="009D0E8F" w:rsidRDefault="000B5C96" w:rsidP="003F606A">
            <w:pPr>
              <w:pStyle w:val="PullOutBoxBodyText"/>
              <w:keepNext/>
              <w:keepLines/>
              <w:rPr>
                <w:u w:val="single"/>
              </w:rPr>
            </w:pPr>
            <w:r w:rsidRPr="009D0E8F">
              <w:rPr>
                <w:u w:val="single"/>
              </w:rPr>
              <w:t>Component 7: Mental Health Nurse Program</w:t>
            </w:r>
          </w:p>
          <w:p w:rsidR="000B5C96" w:rsidRPr="00C51E94" w:rsidRDefault="000B5C96" w:rsidP="003F606A">
            <w:pPr>
              <w:pStyle w:val="PullOutBoxBodyText"/>
              <w:keepNext/>
              <w:keepLines/>
            </w:pPr>
            <w:r w:rsidRPr="00C51E94">
              <w:t>This component would:</w:t>
            </w:r>
          </w:p>
          <w:p w:rsidR="000B5C96" w:rsidRPr="00C51E94" w:rsidRDefault="000B5C96" w:rsidP="000B5C96">
            <w:pPr>
              <w:pStyle w:val="PullOutBoxBullet"/>
              <w:keepNext/>
              <w:keepLines/>
              <w:numPr>
                <w:ilvl w:val="0"/>
                <w:numId w:val="2"/>
              </w:numPr>
              <w:ind w:left="397"/>
              <w:rPr>
                <w:lang w:eastAsia="en-AU"/>
              </w:rPr>
            </w:pPr>
            <w:r w:rsidRPr="00C51E94">
              <w:rPr>
                <w:lang w:eastAsia="en-AU"/>
              </w:rPr>
              <w:t>provide additional funding of $70 million per year to the Mental Health Nurse Incentive Program (MHNIP).</w:t>
            </w:r>
          </w:p>
          <w:p w:rsidR="000B5C96" w:rsidRPr="00C51E94" w:rsidRDefault="000B5C96" w:rsidP="000B5C96">
            <w:pPr>
              <w:pStyle w:val="PullOutBoxBullet"/>
              <w:keepNext/>
              <w:keepLines/>
              <w:numPr>
                <w:ilvl w:val="0"/>
                <w:numId w:val="2"/>
              </w:numPr>
              <w:ind w:left="397"/>
              <w:rPr>
                <w:lang w:eastAsia="en-AU"/>
              </w:rPr>
            </w:pPr>
            <w:r w:rsidRPr="00C51E94">
              <w:rPr>
                <w:lang w:eastAsia="en-AU"/>
              </w:rPr>
              <w:t>ensure that although the MHNIP funding would be managed by the PHNs, it would be kept quarantined from the flexible funding pool until 2021.</w:t>
            </w:r>
          </w:p>
          <w:p w:rsidR="000B5C96" w:rsidRPr="009D0E8F" w:rsidRDefault="000B5C96" w:rsidP="003F606A">
            <w:pPr>
              <w:pStyle w:val="PullOutBoxBodyText"/>
              <w:keepNext/>
              <w:keepLines/>
              <w:rPr>
                <w:u w:val="single"/>
              </w:rPr>
            </w:pPr>
            <w:r w:rsidRPr="009D0E8F">
              <w:rPr>
                <w:u w:val="single"/>
              </w:rPr>
              <w:t>Component 8: Children of Parents with a Mental Illness</w:t>
            </w:r>
          </w:p>
          <w:p w:rsidR="000B5C96" w:rsidRPr="00C51E94" w:rsidRDefault="000B5C96" w:rsidP="003F606A">
            <w:pPr>
              <w:pStyle w:val="PullOutBoxBodyText"/>
              <w:keepNext/>
              <w:keepLines/>
            </w:pPr>
            <w:r w:rsidRPr="00C51E94">
              <w:t>This component would restore full funding to ‘Children of Parents with a Mental Illness’ at the same rate as prior to the withdrawal of federal funding.</w:t>
            </w:r>
          </w:p>
          <w:p w:rsidR="000B5C96" w:rsidRPr="009D0E8F" w:rsidRDefault="000B5C96" w:rsidP="003F606A">
            <w:pPr>
              <w:pStyle w:val="PullOutBoxBodyText"/>
              <w:keepNext/>
              <w:keepLines/>
              <w:rPr>
                <w:u w:val="single"/>
              </w:rPr>
            </w:pPr>
            <w:r w:rsidRPr="009D0E8F">
              <w:rPr>
                <w:u w:val="single"/>
              </w:rPr>
              <w:t>Component 9: Mind Matters and KidsMatter</w:t>
            </w:r>
          </w:p>
          <w:p w:rsidR="000B5C96" w:rsidRPr="00C51E94" w:rsidRDefault="000B5C96" w:rsidP="003F606A">
            <w:pPr>
              <w:pStyle w:val="PullOutBoxBodyText"/>
              <w:keepNext/>
              <w:keepLines/>
            </w:pPr>
            <w:r w:rsidRPr="00C51E94">
              <w:t>This component would increase funding for the Mind Matters and Kids Matter programs by 50 per cent.</w:t>
            </w:r>
          </w:p>
          <w:p w:rsidR="000B5C96" w:rsidRPr="009D0E8F" w:rsidRDefault="000B5C96" w:rsidP="003F606A">
            <w:pPr>
              <w:pStyle w:val="PullOutBoxBodyText"/>
              <w:keepNext/>
              <w:keepLines/>
              <w:rPr>
                <w:u w:val="single"/>
              </w:rPr>
            </w:pPr>
            <w:r w:rsidRPr="009D0E8F">
              <w:rPr>
                <w:u w:val="single"/>
              </w:rPr>
              <w:t>Component 10: Better Access Initiative</w:t>
            </w:r>
          </w:p>
          <w:p w:rsidR="000B5C96" w:rsidRPr="00C51E94" w:rsidRDefault="000B5C96" w:rsidP="003F606A">
            <w:pPr>
              <w:pStyle w:val="PullOutBoxBodyText"/>
              <w:keepNext/>
              <w:keepLines/>
              <w:rPr>
                <w:rFonts w:eastAsia="Times New Roman"/>
                <w:lang w:eastAsia="en-AU"/>
              </w:rPr>
            </w:pPr>
            <w:r w:rsidRPr="00C51E94">
              <w:rPr>
                <w:rFonts w:eastAsia="Times New Roman"/>
                <w:lang w:eastAsia="en-AU"/>
              </w:rPr>
              <w:t>This component would reintroduce additional sessions in exceptional circumstances to the Better Access Initiative.</w:t>
            </w:r>
          </w:p>
          <w:p w:rsidR="000B5C96" w:rsidRPr="009D0E8F" w:rsidRDefault="000B5C96" w:rsidP="003F606A">
            <w:pPr>
              <w:pStyle w:val="PullOutBoxBodyText"/>
              <w:keepNext/>
              <w:keepLines/>
              <w:rPr>
                <w:u w:val="single"/>
              </w:rPr>
            </w:pPr>
            <w:r w:rsidRPr="009D0E8F">
              <w:rPr>
                <w:u w:val="single"/>
              </w:rPr>
              <w:t>Component 11: Targeted anti-stigma campaigns</w:t>
            </w:r>
          </w:p>
          <w:p w:rsidR="000B5C96" w:rsidRPr="00C51E94" w:rsidRDefault="000B5C96" w:rsidP="003F606A">
            <w:pPr>
              <w:pStyle w:val="PullOutBoxBodyText"/>
              <w:keepNext/>
              <w:keepLines/>
              <w:rPr>
                <w:lang w:eastAsia="en-AU"/>
              </w:rPr>
            </w:pPr>
            <w:r w:rsidRPr="00C51E94">
              <w:rPr>
                <w:lang w:eastAsia="en-AU"/>
              </w:rPr>
              <w:t>This component would provide $10m per year for targeted mental illness anti-stigma campaigns</w:t>
            </w:r>
          </w:p>
          <w:p w:rsidR="000B5C96" w:rsidRPr="00C51E94" w:rsidRDefault="000B5C96" w:rsidP="003F606A">
            <w:pPr>
              <w:pStyle w:val="PullOutBoxBodyText"/>
              <w:keepNext/>
              <w:keepLines/>
            </w:pPr>
            <w:r w:rsidRPr="00C51E94">
              <w:rPr>
                <w:rFonts w:eastAsia="Times New Roman"/>
                <w:lang w:eastAsia="en-AU"/>
              </w:rPr>
              <w:t>The proposal would have effect from 1 September 2016.  For the capped funding components of the request, departmental costs would be met from within the cap.</w:t>
            </w:r>
          </w:p>
        </w:tc>
      </w:tr>
      <w:tr w:rsidR="000B5C96" w:rsidRPr="00C51E94" w:rsidTr="003F606A">
        <w:tc>
          <w:tcPr>
            <w:tcW w:w="3005" w:type="dxa"/>
          </w:tcPr>
          <w:p w:rsidR="000B5C96" w:rsidRPr="00C51E94" w:rsidRDefault="000B5C96" w:rsidP="003F606A">
            <w:pPr>
              <w:pStyle w:val="PullOutBoxBodyText"/>
            </w:pPr>
            <w:r w:rsidRPr="00C51E94">
              <w:t>Person/party requesting costing:</w:t>
            </w:r>
          </w:p>
        </w:tc>
        <w:tc>
          <w:tcPr>
            <w:tcW w:w="5335" w:type="dxa"/>
          </w:tcPr>
          <w:p w:rsidR="000B5C96" w:rsidRPr="00C51E94" w:rsidRDefault="000B5C96" w:rsidP="003F606A">
            <w:pPr>
              <w:pStyle w:val="PullOutBoxBodyText"/>
            </w:pPr>
            <w:r w:rsidRPr="00C51E94">
              <w:t>Senator Richard Di Natale, Australian Greens</w:t>
            </w:r>
          </w:p>
        </w:tc>
      </w:tr>
      <w:tr w:rsidR="000B5C96" w:rsidRPr="00C51E94" w:rsidTr="003F606A">
        <w:tc>
          <w:tcPr>
            <w:tcW w:w="3005" w:type="dxa"/>
          </w:tcPr>
          <w:p w:rsidR="000B5C96" w:rsidRPr="00C51E94" w:rsidRDefault="000B5C96" w:rsidP="003F606A">
            <w:pPr>
              <w:pStyle w:val="PullOutBoxBodyText"/>
            </w:pPr>
            <w:r w:rsidRPr="00C51E94">
              <w:t>Date of public release of policy:</w:t>
            </w:r>
          </w:p>
        </w:tc>
        <w:tc>
          <w:tcPr>
            <w:tcW w:w="5335" w:type="dxa"/>
          </w:tcPr>
          <w:p w:rsidR="000B5C96" w:rsidRPr="00C51E94" w:rsidRDefault="000B5C96" w:rsidP="003F606A">
            <w:pPr>
              <w:pStyle w:val="PullOutBoxBodyText"/>
            </w:pPr>
            <w:r w:rsidRPr="00C51E94">
              <w:t>23 May 2016</w:t>
            </w:r>
          </w:p>
          <w:p w:rsidR="000B5C96" w:rsidRPr="00C51E94" w:rsidRDefault="00E46526" w:rsidP="003F606A">
            <w:pPr>
              <w:pStyle w:val="PullOutBoxBodyText"/>
            </w:pPr>
            <w:hyperlink r:id="rId459" w:history="1">
              <w:r w:rsidR="000B5C96" w:rsidRPr="00C51E94">
                <w:rPr>
                  <w:color w:val="0000FF"/>
                  <w:u w:val="single"/>
                </w:rPr>
                <w:t>http://greens.org.au/mental-health</w:t>
              </w:r>
            </w:hyperlink>
          </w:p>
        </w:tc>
      </w:tr>
      <w:tr w:rsidR="000B5C96" w:rsidRPr="00C51E94" w:rsidTr="003F606A">
        <w:tc>
          <w:tcPr>
            <w:tcW w:w="3005" w:type="dxa"/>
          </w:tcPr>
          <w:p w:rsidR="000B5C96" w:rsidRPr="00C51E94" w:rsidRDefault="000B5C96" w:rsidP="003F606A">
            <w:pPr>
              <w:pStyle w:val="PullOutBoxBodyText"/>
            </w:pPr>
            <w:r w:rsidRPr="00C51E94">
              <w:t>Date costing request received:</w:t>
            </w:r>
          </w:p>
        </w:tc>
        <w:tc>
          <w:tcPr>
            <w:tcW w:w="5335" w:type="dxa"/>
          </w:tcPr>
          <w:p w:rsidR="000B5C96" w:rsidRPr="00C51E94" w:rsidRDefault="000B5C96" w:rsidP="003F606A">
            <w:pPr>
              <w:pStyle w:val="PullOutBoxBodyText"/>
            </w:pPr>
            <w:r w:rsidRPr="00C51E94">
              <w:t>29 June 2016</w:t>
            </w:r>
          </w:p>
        </w:tc>
      </w:tr>
      <w:tr w:rsidR="000B5C96" w:rsidRPr="00C51E94" w:rsidTr="003F606A">
        <w:tc>
          <w:tcPr>
            <w:tcW w:w="3005" w:type="dxa"/>
          </w:tcPr>
          <w:p w:rsidR="000B5C96" w:rsidRPr="00C51E94" w:rsidRDefault="000B5C96" w:rsidP="003F606A">
            <w:pPr>
              <w:pStyle w:val="PullOutBoxBodyText"/>
            </w:pPr>
            <w:r w:rsidRPr="00C51E94">
              <w:t>Date costing completed:</w:t>
            </w:r>
          </w:p>
        </w:tc>
        <w:tc>
          <w:tcPr>
            <w:tcW w:w="5335" w:type="dxa"/>
          </w:tcPr>
          <w:p w:rsidR="000B5C96" w:rsidRPr="00C51E94" w:rsidRDefault="000B5C96" w:rsidP="003F606A">
            <w:pPr>
              <w:pStyle w:val="PullOutBoxBodyText"/>
            </w:pPr>
            <w:r w:rsidRPr="00C51E94">
              <w:t>29 June 2016</w:t>
            </w:r>
          </w:p>
        </w:tc>
      </w:tr>
      <w:tr w:rsidR="000B5C96" w:rsidRPr="00C51E94" w:rsidTr="003F606A">
        <w:tc>
          <w:tcPr>
            <w:tcW w:w="3005" w:type="dxa"/>
          </w:tcPr>
          <w:p w:rsidR="000B5C96" w:rsidRPr="00C51E94" w:rsidRDefault="000B5C96" w:rsidP="003F606A">
            <w:pPr>
              <w:pStyle w:val="PullOutBoxBodyText"/>
            </w:pPr>
            <w:r w:rsidRPr="00C51E94">
              <w:t>Expiry date for the costing:</w:t>
            </w:r>
          </w:p>
        </w:tc>
        <w:tc>
          <w:tcPr>
            <w:tcW w:w="5335" w:type="dxa"/>
          </w:tcPr>
          <w:p w:rsidR="000B5C96" w:rsidRPr="00C51E94" w:rsidRDefault="000B5C96" w:rsidP="003F606A">
            <w:pPr>
              <w:pStyle w:val="PullOutBoxBodyText"/>
            </w:pPr>
            <w:r w:rsidRPr="00C51E94">
              <w:t>Release of the next economic and fiscal outlook report</w:t>
            </w:r>
          </w:p>
        </w:tc>
      </w:tr>
    </w:tbl>
    <w:p w:rsidR="000B5C96" w:rsidRPr="00C51E94" w:rsidRDefault="000B5C96" w:rsidP="003F606A">
      <w:pPr>
        <w:pStyle w:val="CostingsH7"/>
      </w:pPr>
      <w:r w:rsidRPr="00C51E94">
        <w:t>Costing overview</w:t>
      </w:r>
    </w:p>
    <w:p w:rsidR="000B5C96" w:rsidRPr="00C51E94" w:rsidRDefault="000B5C96" w:rsidP="003F606A">
      <w:pPr>
        <w:pStyle w:val="BodyText"/>
      </w:pPr>
      <w:r w:rsidRPr="00C51E94">
        <w:t>This proposal would be expected to decrease the fiscal balance by $1,452.8 million and the underlying cash balance by $1,449.9 million over the 2016-17 Budget forward estimates period.  In fiscal balance terms, this reflects an increase in administered expenditure of $1,376.5 million and departmental expenditure of $76.3 million.</w:t>
      </w:r>
    </w:p>
    <w:p w:rsidR="000B5C96" w:rsidRPr="00C51E94" w:rsidRDefault="000B5C96" w:rsidP="003F606A">
      <w:pPr>
        <w:pStyle w:val="BodyText"/>
      </w:pPr>
      <w:r w:rsidRPr="00C51E94">
        <w:t xml:space="preserve">This proposal would have an ongoing impact beyond the 2016-17 Budget forward estimates period.  Detailed financial implications are provided at </w:t>
      </w:r>
      <w:r w:rsidRPr="00C51E94">
        <w:rPr>
          <w:u w:val="single"/>
        </w:rPr>
        <w:t>Attachment A</w:t>
      </w:r>
      <w:r w:rsidRPr="00C51E94">
        <w:t>.</w:t>
      </w:r>
    </w:p>
    <w:p w:rsidR="000B5C96" w:rsidRPr="00C51E94" w:rsidRDefault="000B5C96" w:rsidP="003F606A">
      <w:pPr>
        <w:pStyle w:val="BodyText"/>
      </w:pPr>
      <w:r w:rsidRPr="00C51E94">
        <w:t>The proposal has a different impact on the fiscal and underlying cash balances due to a lag between when services are provided and when payments are made under a range of programs.</w:t>
      </w:r>
    </w:p>
    <w:p w:rsidR="000B5C96" w:rsidRPr="00C51E94" w:rsidRDefault="000B5C96" w:rsidP="003F606A">
      <w:pPr>
        <w:pStyle w:val="BodyText"/>
      </w:pPr>
      <w:r w:rsidRPr="00C51E94">
        <w:t>This costing is considered to be of low reliability due to uncertainty of the expected uptake of non</w:t>
      </w:r>
      <w:r w:rsidRPr="00C51E94">
        <w:noBreakHyphen/>
        <w:t>capped components.</w:t>
      </w:r>
    </w:p>
    <w:p w:rsidR="000B5C96" w:rsidRPr="00C51E94" w:rsidRDefault="000B5C96" w:rsidP="003F606A">
      <w:pPr>
        <w:pStyle w:val="BodyText"/>
      </w:pPr>
      <w:r w:rsidRPr="00C51E94">
        <w:t>Components 1 to 7 and Component 11 provide capped funding amounts.  The capped components of this costing are considered to be of high reliability as the amount of funding is fixed.  However, no analysis has been undertaken to determine the adequacy of the prescribed funding amounts to achieve the objective of the proposal.</w:t>
      </w:r>
    </w:p>
    <w:p w:rsidR="000B5C96" w:rsidRPr="00C51E94" w:rsidRDefault="000B5C96" w:rsidP="003F606A">
      <w:pPr>
        <w:pStyle w:val="Caption"/>
      </w:pPr>
      <w:r w:rsidRPr="00C51E94">
        <w:t>Table 1: Financial implications (outturn prices)</w:t>
      </w:r>
      <w:r w:rsidRPr="00C51E94">
        <w:rPr>
          <w:vertAlign w:val="superscript"/>
        </w:rPr>
        <w:t>(a)(b)</w:t>
      </w:r>
    </w:p>
    <w:tbl>
      <w:tblPr>
        <w:tblStyle w:val="TableGrid23"/>
        <w:tblW w:w="4993" w:type="pct"/>
        <w:tblLook w:val="04A0" w:firstRow="1" w:lastRow="0" w:firstColumn="1" w:lastColumn="0" w:noHBand="0" w:noVBand="1"/>
      </w:tblPr>
      <w:tblGrid>
        <w:gridCol w:w="2645"/>
        <w:gridCol w:w="1134"/>
        <w:gridCol w:w="1133"/>
        <w:gridCol w:w="1133"/>
        <w:gridCol w:w="1133"/>
        <w:gridCol w:w="1132"/>
      </w:tblGrid>
      <w:tr w:rsidR="000B5C96" w:rsidRPr="00C51E94"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C51E94" w:rsidRDefault="000B5C96" w:rsidP="003F606A">
            <w:pPr>
              <w:keepNext/>
              <w:keepLines/>
              <w:spacing w:line="240" w:lineRule="auto"/>
              <w:ind w:left="57" w:right="57"/>
              <w:rPr>
                <w:szCs w:val="20"/>
              </w:rPr>
            </w:pPr>
            <w:r w:rsidRPr="00C51E94">
              <w:rPr>
                <w:szCs w:val="20"/>
              </w:rPr>
              <w:t>Impact on ($m)</w:t>
            </w:r>
          </w:p>
        </w:tc>
        <w:tc>
          <w:tcPr>
            <w:tcW w:w="682" w:type="pct"/>
          </w:tcPr>
          <w:p w:rsidR="000B5C96" w:rsidRPr="00C51E9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51E94">
              <w:rPr>
                <w:szCs w:val="20"/>
              </w:rPr>
              <w:t>2016–17</w:t>
            </w:r>
          </w:p>
        </w:tc>
        <w:tc>
          <w:tcPr>
            <w:tcW w:w="682" w:type="pct"/>
          </w:tcPr>
          <w:p w:rsidR="000B5C96" w:rsidRPr="00C51E9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51E94">
              <w:rPr>
                <w:szCs w:val="20"/>
              </w:rPr>
              <w:t>2017–18</w:t>
            </w:r>
          </w:p>
        </w:tc>
        <w:tc>
          <w:tcPr>
            <w:tcW w:w="682" w:type="pct"/>
          </w:tcPr>
          <w:p w:rsidR="000B5C96" w:rsidRPr="00C51E9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51E94">
              <w:rPr>
                <w:szCs w:val="20"/>
              </w:rPr>
              <w:t>2018–19</w:t>
            </w:r>
          </w:p>
        </w:tc>
        <w:tc>
          <w:tcPr>
            <w:tcW w:w="682" w:type="pct"/>
          </w:tcPr>
          <w:p w:rsidR="000B5C96" w:rsidRPr="00C51E9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C51E94">
              <w:rPr>
                <w:szCs w:val="20"/>
              </w:rPr>
              <w:t>2019–20</w:t>
            </w:r>
          </w:p>
        </w:tc>
        <w:tc>
          <w:tcPr>
            <w:tcW w:w="681" w:type="pct"/>
          </w:tcPr>
          <w:p w:rsidR="000B5C96" w:rsidRPr="00C51E9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C51E94">
              <w:rPr>
                <w:b/>
                <w:szCs w:val="20"/>
              </w:rPr>
              <w:t>Total</w:t>
            </w:r>
          </w:p>
        </w:tc>
      </w:tr>
      <w:tr w:rsidR="000B5C96" w:rsidRPr="00C51E94"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C51E94" w:rsidRDefault="000B5C96" w:rsidP="003F606A">
            <w:pPr>
              <w:keepNext/>
              <w:keepLines/>
              <w:ind w:left="57" w:right="57"/>
              <w:rPr>
                <w:szCs w:val="20"/>
              </w:rPr>
            </w:pPr>
            <w:r w:rsidRPr="00C51E94">
              <w:rPr>
                <w:szCs w:val="20"/>
              </w:rPr>
              <w:t>Fiscal balance</w:t>
            </w:r>
          </w:p>
        </w:tc>
        <w:tc>
          <w:tcPr>
            <w:tcW w:w="682" w:type="pct"/>
          </w:tcPr>
          <w:p w:rsidR="000B5C96" w:rsidRPr="00C51E94"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C51E94">
              <w:rPr>
                <w:rFonts w:ascii="Calibri" w:hAnsi="Calibri"/>
              </w:rPr>
              <w:t xml:space="preserve">-361.3 </w:t>
            </w:r>
          </w:p>
        </w:tc>
        <w:tc>
          <w:tcPr>
            <w:tcW w:w="682" w:type="pct"/>
          </w:tcPr>
          <w:p w:rsidR="000B5C96" w:rsidRPr="00C51E94"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C51E94">
              <w:rPr>
                <w:rFonts w:ascii="Calibri" w:hAnsi="Calibri"/>
              </w:rPr>
              <w:t xml:space="preserve">-362.6 </w:t>
            </w:r>
          </w:p>
        </w:tc>
        <w:tc>
          <w:tcPr>
            <w:tcW w:w="682" w:type="pct"/>
          </w:tcPr>
          <w:p w:rsidR="000B5C96" w:rsidRPr="00C51E94"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C51E94">
              <w:rPr>
                <w:rFonts w:ascii="Calibri" w:hAnsi="Calibri"/>
              </w:rPr>
              <w:t xml:space="preserve">-363.7 </w:t>
            </w:r>
          </w:p>
        </w:tc>
        <w:tc>
          <w:tcPr>
            <w:tcW w:w="682" w:type="pct"/>
          </w:tcPr>
          <w:p w:rsidR="000B5C96" w:rsidRPr="00C51E94"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C51E94">
              <w:rPr>
                <w:rFonts w:ascii="Calibri" w:hAnsi="Calibri"/>
              </w:rPr>
              <w:t xml:space="preserve">-365.2 </w:t>
            </w:r>
          </w:p>
        </w:tc>
        <w:tc>
          <w:tcPr>
            <w:tcW w:w="681" w:type="pct"/>
          </w:tcPr>
          <w:p w:rsidR="000B5C96" w:rsidRPr="00C51E94"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 w:val="24"/>
                <w:szCs w:val="24"/>
              </w:rPr>
            </w:pPr>
            <w:r w:rsidRPr="00C51E94">
              <w:rPr>
                <w:rFonts w:ascii="Calibri" w:hAnsi="Calibri"/>
                <w:b/>
              </w:rPr>
              <w:t xml:space="preserve">-1,452.8 </w:t>
            </w:r>
          </w:p>
        </w:tc>
      </w:tr>
      <w:tr w:rsidR="000B5C96" w:rsidRPr="00C51E94"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C51E94" w:rsidRDefault="000B5C96" w:rsidP="003F606A">
            <w:pPr>
              <w:keepNext/>
              <w:keepLines/>
              <w:ind w:left="57" w:right="57"/>
              <w:rPr>
                <w:szCs w:val="20"/>
              </w:rPr>
            </w:pPr>
            <w:r w:rsidRPr="00C51E94">
              <w:rPr>
                <w:szCs w:val="20"/>
              </w:rPr>
              <w:t>Underlying cash balance</w:t>
            </w:r>
          </w:p>
        </w:tc>
        <w:tc>
          <w:tcPr>
            <w:tcW w:w="682"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C51E94">
              <w:rPr>
                <w:rFonts w:ascii="Calibri" w:hAnsi="Calibri"/>
              </w:rPr>
              <w:t xml:space="preserve">-360.6 </w:t>
            </w:r>
          </w:p>
        </w:tc>
        <w:tc>
          <w:tcPr>
            <w:tcW w:w="682"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C51E94">
              <w:rPr>
                <w:rFonts w:ascii="Calibri" w:hAnsi="Calibri"/>
              </w:rPr>
              <w:t xml:space="preserve">-361.9 </w:t>
            </w:r>
          </w:p>
        </w:tc>
        <w:tc>
          <w:tcPr>
            <w:tcW w:w="682"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C51E94">
              <w:rPr>
                <w:rFonts w:ascii="Calibri" w:hAnsi="Calibri"/>
              </w:rPr>
              <w:t xml:space="preserve">-363.0 </w:t>
            </w:r>
          </w:p>
        </w:tc>
        <w:tc>
          <w:tcPr>
            <w:tcW w:w="682"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C51E94">
              <w:rPr>
                <w:rFonts w:ascii="Calibri" w:hAnsi="Calibri"/>
              </w:rPr>
              <w:t xml:space="preserve">-364.4 </w:t>
            </w:r>
          </w:p>
        </w:tc>
        <w:tc>
          <w:tcPr>
            <w:tcW w:w="681"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 w:val="24"/>
                <w:szCs w:val="24"/>
              </w:rPr>
            </w:pPr>
            <w:r w:rsidRPr="00C51E94">
              <w:rPr>
                <w:rFonts w:ascii="Calibri" w:hAnsi="Calibri"/>
                <w:b/>
              </w:rPr>
              <w:t xml:space="preserve">-1,449.9 </w:t>
            </w:r>
          </w:p>
        </w:tc>
      </w:tr>
    </w:tbl>
    <w:p w:rsidR="000B5C96" w:rsidRPr="00C51E94" w:rsidRDefault="000B5C96" w:rsidP="00512747">
      <w:pPr>
        <w:pStyle w:val="Footnotes"/>
        <w:numPr>
          <w:ilvl w:val="0"/>
          <w:numId w:val="203"/>
        </w:numPr>
        <w:ind w:left="284" w:hanging="284"/>
      </w:pPr>
      <w:r w:rsidRPr="00C51E94">
        <w:t>A negative number indicates a decrease in the relevant budget balance.</w:t>
      </w:r>
    </w:p>
    <w:p w:rsidR="000B5C96" w:rsidRPr="00C51E94" w:rsidRDefault="000B5C96" w:rsidP="00512747">
      <w:pPr>
        <w:pStyle w:val="Footnotes"/>
        <w:numPr>
          <w:ilvl w:val="0"/>
          <w:numId w:val="203"/>
        </w:numPr>
        <w:ind w:left="284" w:hanging="284"/>
      </w:pPr>
      <w:r w:rsidRPr="00C51E94">
        <w:t>Figures may not sum to totals due to rounding.</w:t>
      </w:r>
    </w:p>
    <w:p w:rsidR="000B5C96" w:rsidRPr="00C51E94" w:rsidRDefault="000B5C96" w:rsidP="003F606A">
      <w:pPr>
        <w:pStyle w:val="CostingsH7"/>
      </w:pPr>
      <w:r w:rsidRPr="00C51E94">
        <w:t>Key assumptions</w:t>
      </w:r>
    </w:p>
    <w:p w:rsidR="000B5C96" w:rsidRPr="00C51E94" w:rsidRDefault="000B5C96" w:rsidP="003F606A">
      <w:pPr>
        <w:pStyle w:val="BodyText"/>
      </w:pPr>
      <w:r w:rsidRPr="00C51E94">
        <w:t>In costing this proposal it has been assumed that there would be a full year effect of the proposal in 2016-17 despite commencing on 1 September 2016.</w:t>
      </w:r>
    </w:p>
    <w:p w:rsidR="000B5C96" w:rsidRPr="00C51E94" w:rsidRDefault="000B5C96" w:rsidP="003F606A">
      <w:pPr>
        <w:pStyle w:val="CostingsH7"/>
      </w:pPr>
      <w:r w:rsidRPr="00C51E94">
        <w:t>Methodology</w:t>
      </w:r>
    </w:p>
    <w:p w:rsidR="000B5C96" w:rsidRPr="00C51E94" w:rsidRDefault="000B5C96" w:rsidP="003F606A">
      <w:pPr>
        <w:pStyle w:val="BodyText"/>
      </w:pPr>
      <w:r w:rsidRPr="00C51E94">
        <w:t>Departmental expenditure estimates are accommodated within the capped funding amounts as specified in the request.  These estimates are based on similar sized programs and estimates account for the net effect of indexation parameters and the efficiency dividend, in accordance with the Department of Finance’s costing practices.</w:t>
      </w:r>
    </w:p>
    <w:p w:rsidR="000B5C96" w:rsidRPr="00C51E94" w:rsidRDefault="000B5C96" w:rsidP="003F606A">
      <w:pPr>
        <w:pStyle w:val="BodyText"/>
      </w:pPr>
      <w:r w:rsidRPr="00C51E94">
        <w:t xml:space="preserve">Administered expenditure estimates for the funding for each component are the remainder of the capped funding amounts after allowing for estimated departmental expenditure.  </w:t>
      </w:r>
    </w:p>
    <w:p w:rsidR="000B5C96" w:rsidRPr="00C51E94" w:rsidRDefault="000B5C96" w:rsidP="003F606A">
      <w:pPr>
        <w:pStyle w:val="BodyText"/>
      </w:pPr>
      <w:r w:rsidRPr="00C51E94">
        <w:t>For Component 7, the Department of Health advised that funding for the MHNIP was not incorporated into the flexible funding pool for mental health over the 2016-17 Budget forward estimates period.</w:t>
      </w:r>
    </w:p>
    <w:p w:rsidR="000B5C96" w:rsidRPr="00C51E94" w:rsidRDefault="000B5C96" w:rsidP="003F606A">
      <w:pPr>
        <w:pStyle w:val="BodyText"/>
      </w:pPr>
      <w:r w:rsidRPr="00C51E94">
        <w:t>Components 8 and 9 are based on costing models provided by the Department of Health.</w:t>
      </w:r>
    </w:p>
    <w:p w:rsidR="000B5C96" w:rsidRPr="00C51E94" w:rsidRDefault="000B5C96" w:rsidP="003F606A">
      <w:pPr>
        <w:pStyle w:val="BodyText"/>
      </w:pPr>
      <w:r w:rsidRPr="00C51E94">
        <w:t>Component 10 is costed based on the unit price and expected number of services under the Better Access Initiative from the 2011-12 Budget.  The unit price and expected number of services have been projected using the relevant Department of Finance indexation and efficiency dividend parameters.</w:t>
      </w:r>
    </w:p>
    <w:p w:rsidR="000B5C96" w:rsidRPr="00C51E94" w:rsidRDefault="000B5C96" w:rsidP="003F606A">
      <w:pPr>
        <w:pStyle w:val="CostingsH7"/>
      </w:pPr>
      <w:r w:rsidRPr="00C51E94">
        <w:t>Data sources</w:t>
      </w:r>
    </w:p>
    <w:p w:rsidR="000B5C96" w:rsidRPr="00C51E94" w:rsidRDefault="000B5C96" w:rsidP="003F606A">
      <w:pPr>
        <w:pStyle w:val="BodyText"/>
      </w:pPr>
      <w:r w:rsidRPr="00C51E94">
        <w:t>The Department of Health provided costing models and materials related to:</w:t>
      </w:r>
    </w:p>
    <w:p w:rsidR="000B5C96" w:rsidRPr="002F3B12" w:rsidRDefault="000B5C96" w:rsidP="000B5C96">
      <w:pPr>
        <w:pStyle w:val="ListBullet"/>
        <w:keepLines w:val="0"/>
        <w:numPr>
          <w:ilvl w:val="0"/>
          <w:numId w:val="2"/>
        </w:numPr>
        <w:spacing w:before="113"/>
        <w:ind w:left="454" w:hanging="454"/>
        <w:rPr>
          <w:lang w:eastAsia="en-AU"/>
        </w:rPr>
      </w:pPr>
      <w:r w:rsidRPr="002F3B12">
        <w:rPr>
          <w:lang w:eastAsia="en-AU"/>
        </w:rPr>
        <w:t>the KidsMatter program</w:t>
      </w:r>
    </w:p>
    <w:p w:rsidR="000B5C96" w:rsidRPr="002F3B12" w:rsidRDefault="000B5C96" w:rsidP="000B5C96">
      <w:pPr>
        <w:pStyle w:val="ListBullet"/>
        <w:keepLines w:val="0"/>
        <w:numPr>
          <w:ilvl w:val="0"/>
          <w:numId w:val="2"/>
        </w:numPr>
        <w:spacing w:before="113"/>
        <w:ind w:left="454" w:hanging="454"/>
        <w:rPr>
          <w:lang w:eastAsia="en-AU"/>
        </w:rPr>
      </w:pPr>
      <w:r w:rsidRPr="002F3B12">
        <w:rPr>
          <w:lang w:eastAsia="en-AU"/>
        </w:rPr>
        <w:t>the Mind Matters program</w:t>
      </w:r>
    </w:p>
    <w:p w:rsidR="000B5C96" w:rsidRPr="002F3B12" w:rsidRDefault="000B5C96" w:rsidP="000B5C96">
      <w:pPr>
        <w:pStyle w:val="ListBullet"/>
        <w:keepLines w:val="0"/>
        <w:numPr>
          <w:ilvl w:val="0"/>
          <w:numId w:val="2"/>
        </w:numPr>
        <w:spacing w:before="113"/>
        <w:ind w:left="454" w:hanging="454"/>
        <w:rPr>
          <w:lang w:eastAsia="en-AU"/>
        </w:rPr>
      </w:pPr>
      <w:r w:rsidRPr="002F3B12">
        <w:rPr>
          <w:lang w:eastAsia="en-AU"/>
        </w:rPr>
        <w:t>the Children of Parents with a Mental Illness program</w:t>
      </w:r>
    </w:p>
    <w:p w:rsidR="000B5C96" w:rsidRPr="002F3B12" w:rsidRDefault="000B5C96" w:rsidP="000B5C96">
      <w:pPr>
        <w:pStyle w:val="ListBullet"/>
        <w:keepLines w:val="0"/>
        <w:numPr>
          <w:ilvl w:val="0"/>
          <w:numId w:val="2"/>
        </w:numPr>
        <w:spacing w:before="113"/>
        <w:ind w:left="454" w:hanging="454"/>
        <w:rPr>
          <w:lang w:eastAsia="en-AU"/>
        </w:rPr>
      </w:pPr>
      <w:r w:rsidRPr="002F3B12">
        <w:rPr>
          <w:lang w:eastAsia="en-AU"/>
        </w:rPr>
        <w:t>the Better Access Initiative</w:t>
      </w:r>
    </w:p>
    <w:p w:rsidR="000B5C96" w:rsidRPr="002F3B12" w:rsidRDefault="000B5C96" w:rsidP="000B5C96">
      <w:pPr>
        <w:pStyle w:val="ListBullet"/>
        <w:keepLines w:val="0"/>
        <w:numPr>
          <w:ilvl w:val="0"/>
          <w:numId w:val="2"/>
        </w:numPr>
        <w:spacing w:before="113"/>
        <w:ind w:left="454" w:hanging="454"/>
        <w:rPr>
          <w:lang w:eastAsia="en-AU"/>
        </w:rPr>
      </w:pPr>
      <w:r w:rsidRPr="002F3B12">
        <w:rPr>
          <w:lang w:eastAsia="en-AU"/>
        </w:rPr>
        <w:t>the Mental Health Nurse Incentive Program.</w:t>
      </w:r>
    </w:p>
    <w:p w:rsidR="000B5C96" w:rsidRPr="00C51E94" w:rsidRDefault="000B5C96" w:rsidP="003F606A">
      <w:pPr>
        <w:pStyle w:val="BodyText"/>
        <w:rPr>
          <w:highlight w:val="yellow"/>
        </w:rPr>
        <w:sectPr w:rsidR="000B5C96" w:rsidRPr="00C51E94" w:rsidSect="003F606A">
          <w:headerReference w:type="even" r:id="rId460"/>
          <w:headerReference w:type="default" r:id="rId461"/>
          <w:footerReference w:type="even" r:id="rId462"/>
          <w:footerReference w:type="default" r:id="rId463"/>
          <w:headerReference w:type="first" r:id="rId464"/>
          <w:footerReference w:type="first" r:id="rId465"/>
          <w:footnotePr>
            <w:numRestart w:val="eachSect"/>
          </w:footnotePr>
          <w:pgSz w:w="11906" w:h="16838"/>
          <w:pgMar w:top="1361" w:right="1797" w:bottom="1474" w:left="1797" w:header="283" w:footer="454" w:gutter="0"/>
          <w:cols w:space="708"/>
          <w:docGrid w:linePitch="360"/>
        </w:sectPr>
      </w:pPr>
      <w:r w:rsidRPr="00C51E94">
        <w:t>The Department of Finance provided indexation and efficiency dividend parameters as at the 2016</w:t>
      </w:r>
      <w:r w:rsidRPr="00C51E94">
        <w:noBreakHyphen/>
        <w:t>17 Budget.</w:t>
      </w:r>
    </w:p>
    <w:p w:rsidR="000B5C96" w:rsidRPr="00C51E94" w:rsidRDefault="000B5C96" w:rsidP="000B5C96">
      <w:pPr>
        <w:pStyle w:val="Heading6"/>
        <w:numPr>
          <w:ilvl w:val="0"/>
          <w:numId w:val="5"/>
        </w:numPr>
        <w:tabs>
          <w:tab w:val="clear" w:pos="0"/>
          <w:tab w:val="num" w:pos="360"/>
          <w:tab w:val="right" w:pos="1418"/>
          <w:tab w:val="right" w:pos="1701"/>
          <w:tab w:val="right" w:pos="1985"/>
        </w:tabs>
      </w:pPr>
      <w:r w:rsidRPr="00C51E94">
        <w:t>Attachment A: More Funding for Mental Health—financial implications</w:t>
      </w:r>
    </w:p>
    <w:p w:rsidR="000B5C96" w:rsidRPr="00C51E94" w:rsidRDefault="000B5C96" w:rsidP="003F606A">
      <w:pPr>
        <w:pStyle w:val="Caption"/>
      </w:pPr>
      <w:r w:rsidRPr="00C51E94">
        <w:t>Table A1: Combined impact of all components—Financial implications</w:t>
      </w:r>
      <w:r w:rsidRPr="00C51E94">
        <w:rPr>
          <w:vertAlign w:val="superscript"/>
        </w:rPr>
        <w:t>(a)(b)</w:t>
      </w:r>
    </w:p>
    <w:tbl>
      <w:tblPr>
        <w:tblStyle w:val="TableGrid23"/>
        <w:tblW w:w="5000" w:type="pct"/>
        <w:tblLook w:val="0680" w:firstRow="0" w:lastRow="0" w:firstColumn="1" w:lastColumn="0" w:noHBand="1" w:noVBand="1"/>
      </w:tblPr>
      <w:tblGrid>
        <w:gridCol w:w="2318"/>
        <w:gridCol w:w="1162"/>
        <w:gridCol w:w="1162"/>
        <w:gridCol w:w="1162"/>
        <w:gridCol w:w="1162"/>
        <w:gridCol w:w="1357"/>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1393" w:type="pct"/>
            <w:shd w:val="clear" w:color="auto" w:fill="D7DDE9"/>
          </w:tcPr>
          <w:p w:rsidR="000B5C96" w:rsidRPr="00C51E94" w:rsidRDefault="000B5C96" w:rsidP="003F606A">
            <w:pPr>
              <w:ind w:left="57" w:right="57"/>
              <w:rPr>
                <w:szCs w:val="20"/>
              </w:rPr>
            </w:pPr>
            <w:r w:rsidRPr="00C51E94">
              <w:rPr>
                <w:szCs w:val="20"/>
              </w:rPr>
              <w:t>($m)</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2016–17</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2017–18</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2018–19</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2019–20</w:t>
            </w:r>
          </w:p>
        </w:tc>
        <w:tc>
          <w:tcPr>
            <w:tcW w:w="8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Total to 2019</w:t>
            </w:r>
            <w:r w:rsidRPr="00C51E94">
              <w:rPr>
                <w:rFonts w:ascii="Calibri" w:hAnsi="Calibri"/>
                <w:b/>
                <w:szCs w:val="20"/>
              </w:rPr>
              <w:noBreakHyphen/>
              <w:t>20</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C51E94" w:rsidRDefault="000B5C96" w:rsidP="003F606A">
            <w:pPr>
              <w:ind w:left="57" w:right="57"/>
              <w:rPr>
                <w:b/>
                <w:szCs w:val="20"/>
              </w:rPr>
            </w:pPr>
            <w:r w:rsidRPr="00C51E94">
              <w:rPr>
                <w:b/>
                <w:szCs w:val="20"/>
              </w:rPr>
              <w:t>Fiscal balance</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393" w:type="pct"/>
          </w:tcPr>
          <w:p w:rsidR="000B5C96" w:rsidRPr="00C51E94" w:rsidRDefault="000B5C96" w:rsidP="003F606A">
            <w:pPr>
              <w:ind w:left="57" w:right="57"/>
              <w:rPr>
                <w:szCs w:val="20"/>
              </w:rPr>
            </w:pPr>
            <w:r w:rsidRPr="00C51E94">
              <w:rPr>
                <w:szCs w:val="20"/>
              </w:rPr>
              <w:t>Administered</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-342.0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-343.4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-344.8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-346.2 </w:t>
            </w:r>
          </w:p>
        </w:tc>
        <w:tc>
          <w:tcPr>
            <w:tcW w:w="8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-1,376.5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393" w:type="pct"/>
          </w:tcPr>
          <w:p w:rsidR="000B5C96" w:rsidRPr="00C51E94" w:rsidRDefault="000B5C96" w:rsidP="003F606A">
            <w:pPr>
              <w:ind w:left="57" w:right="57"/>
              <w:rPr>
                <w:szCs w:val="20"/>
              </w:rPr>
            </w:pPr>
            <w:r w:rsidRPr="00C51E94">
              <w:rPr>
                <w:szCs w:val="20"/>
              </w:rPr>
              <w:t>Departmental</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-19.3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-19.2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-18.9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-18.9 </w:t>
            </w:r>
          </w:p>
        </w:tc>
        <w:tc>
          <w:tcPr>
            <w:tcW w:w="8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-76.3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393" w:type="pct"/>
            <w:shd w:val="clear" w:color="auto" w:fill="D7DDE9"/>
          </w:tcPr>
          <w:p w:rsidR="000B5C96" w:rsidRPr="00C51E94" w:rsidRDefault="000B5C96" w:rsidP="003F606A">
            <w:pPr>
              <w:ind w:left="57" w:right="57"/>
              <w:rPr>
                <w:b/>
                <w:szCs w:val="20"/>
              </w:rPr>
            </w:pPr>
            <w:r w:rsidRPr="00C51E94">
              <w:rPr>
                <w:b/>
                <w:szCs w:val="20"/>
              </w:rPr>
              <w:t>Total</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-361.3 </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-362.6 </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-363.7 </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-365.2 </w:t>
            </w:r>
          </w:p>
        </w:tc>
        <w:tc>
          <w:tcPr>
            <w:tcW w:w="8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-1,452.8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C51E94" w:rsidRDefault="000B5C96" w:rsidP="003F606A">
            <w:pPr>
              <w:ind w:left="57" w:right="57"/>
              <w:rPr>
                <w:b/>
                <w:szCs w:val="20"/>
              </w:rPr>
            </w:pPr>
            <w:r w:rsidRPr="00C51E94">
              <w:rPr>
                <w:b/>
                <w:szCs w:val="20"/>
              </w:rPr>
              <w:t>Underlying cash balance</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393" w:type="pct"/>
          </w:tcPr>
          <w:p w:rsidR="000B5C96" w:rsidRPr="00C51E94" w:rsidRDefault="000B5C96" w:rsidP="003F606A">
            <w:pPr>
              <w:ind w:left="57" w:right="57"/>
              <w:rPr>
                <w:szCs w:val="20"/>
              </w:rPr>
            </w:pPr>
            <w:r w:rsidRPr="00C51E94">
              <w:rPr>
                <w:szCs w:val="20"/>
              </w:rPr>
              <w:t>Administered</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-341.3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-342.7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-344.1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-345.5 </w:t>
            </w:r>
          </w:p>
        </w:tc>
        <w:tc>
          <w:tcPr>
            <w:tcW w:w="8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-1,373.6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393" w:type="pct"/>
          </w:tcPr>
          <w:p w:rsidR="000B5C96" w:rsidRPr="00C51E94" w:rsidRDefault="000B5C96" w:rsidP="003F606A">
            <w:pPr>
              <w:ind w:left="57" w:right="57"/>
              <w:rPr>
                <w:szCs w:val="20"/>
              </w:rPr>
            </w:pPr>
            <w:r w:rsidRPr="00C51E94">
              <w:rPr>
                <w:szCs w:val="20"/>
              </w:rPr>
              <w:t>Departmental</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-19.3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-19.2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-18.9 </w:t>
            </w:r>
          </w:p>
        </w:tc>
        <w:tc>
          <w:tcPr>
            <w:tcW w:w="698"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-18.9 </w:t>
            </w:r>
          </w:p>
        </w:tc>
        <w:tc>
          <w:tcPr>
            <w:tcW w:w="8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-76.3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393" w:type="pct"/>
            <w:shd w:val="clear" w:color="auto" w:fill="D7DDE9"/>
          </w:tcPr>
          <w:p w:rsidR="000B5C96" w:rsidRPr="00C51E94" w:rsidRDefault="000B5C96" w:rsidP="003F606A">
            <w:pPr>
              <w:ind w:left="57" w:right="57"/>
              <w:rPr>
                <w:b/>
                <w:szCs w:val="20"/>
              </w:rPr>
            </w:pPr>
            <w:r w:rsidRPr="00C51E94">
              <w:rPr>
                <w:b/>
                <w:szCs w:val="20"/>
              </w:rPr>
              <w:t>Total</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-360.6 </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-361.9 </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-363.0 </w:t>
            </w:r>
          </w:p>
        </w:tc>
        <w:tc>
          <w:tcPr>
            <w:tcW w:w="698"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-364.4 </w:t>
            </w:r>
          </w:p>
        </w:tc>
        <w:tc>
          <w:tcPr>
            <w:tcW w:w="8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-1,449.9 </w:t>
            </w:r>
          </w:p>
        </w:tc>
      </w:tr>
    </w:tbl>
    <w:p w:rsidR="000B5C96" w:rsidRDefault="000B5C96" w:rsidP="006A42F4">
      <w:pPr>
        <w:pStyle w:val="Footnotes"/>
        <w:numPr>
          <w:ilvl w:val="0"/>
          <w:numId w:val="204"/>
        </w:numPr>
        <w:ind w:left="284" w:hanging="284"/>
      </w:pPr>
      <w:r w:rsidRPr="000E63AE">
        <w:t>A negative number indicates a decrease in revenue or an increase in expenses or net capital investment in accrual and cash terms.</w:t>
      </w:r>
    </w:p>
    <w:p w:rsidR="000B5C96" w:rsidRPr="000E63AE" w:rsidRDefault="000B5C96" w:rsidP="006A42F4">
      <w:pPr>
        <w:pStyle w:val="Footnotes"/>
        <w:numPr>
          <w:ilvl w:val="0"/>
          <w:numId w:val="204"/>
        </w:numPr>
        <w:ind w:left="284" w:hanging="284"/>
      </w:pPr>
      <w:r w:rsidRPr="000E63AE">
        <w:t>Figures may not sum to totals due to rounding.</w:t>
      </w:r>
    </w:p>
    <w:p w:rsidR="000B5C96" w:rsidRPr="00C51E94" w:rsidRDefault="000B5C96" w:rsidP="003F606A">
      <w:pPr>
        <w:pStyle w:val="Caption"/>
      </w:pPr>
      <w:r w:rsidRPr="00C51E94">
        <w:t>Table A2: Component 1: National Institute for Mental Illness Research—Financial implications</w:t>
      </w:r>
      <w:r w:rsidRPr="00C51E94">
        <w:rPr>
          <w:vertAlign w:val="superscript"/>
        </w:rPr>
        <w:t>(a)(b)</w:t>
      </w:r>
    </w:p>
    <w:tbl>
      <w:tblPr>
        <w:tblStyle w:val="TableGrid23"/>
        <w:tblW w:w="5000" w:type="pct"/>
        <w:tblLook w:val="0680" w:firstRow="0" w:lastRow="0" w:firstColumn="1" w:lastColumn="0" w:noHBand="1" w:noVBand="1"/>
      </w:tblPr>
      <w:tblGrid>
        <w:gridCol w:w="2376"/>
        <w:gridCol w:w="1190"/>
        <w:gridCol w:w="1190"/>
        <w:gridCol w:w="1190"/>
        <w:gridCol w:w="1190"/>
        <w:gridCol w:w="1187"/>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ind w:left="57" w:right="57"/>
              <w:rPr>
                <w:szCs w:val="20"/>
              </w:rPr>
            </w:pPr>
            <w:r w:rsidRPr="00C51E94">
              <w:rPr>
                <w:szCs w:val="20"/>
              </w:rPr>
              <w:t>($m)</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2016–17</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2017–18</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2018–19</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2019–20</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Total to 2019–20</w:t>
            </w:r>
          </w:p>
        </w:tc>
      </w:tr>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7DDE9"/>
          </w:tcPr>
          <w:p w:rsidR="000B5C96" w:rsidRPr="00C51E94" w:rsidRDefault="000B5C96" w:rsidP="003F606A">
            <w:pPr>
              <w:ind w:left="57" w:right="57"/>
              <w:rPr>
                <w:b/>
                <w:szCs w:val="20"/>
              </w:rPr>
            </w:pPr>
            <w:r w:rsidRPr="00C51E94">
              <w:rPr>
                <w:b/>
                <w:szCs w:val="20"/>
              </w:rPr>
              <w:t>Impact on fiscal and underlying cash balances</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ind w:left="57" w:right="57"/>
              <w:rPr>
                <w:szCs w:val="20"/>
              </w:rPr>
            </w:pPr>
            <w:r w:rsidRPr="00C51E94">
              <w:rPr>
                <w:szCs w:val="20"/>
              </w:rPr>
              <w:t>Administered</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-36.4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-36.4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-36.4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-36.4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-145.7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ind w:left="57" w:right="57"/>
              <w:rPr>
                <w:szCs w:val="20"/>
              </w:rPr>
            </w:pPr>
            <w:r w:rsidRPr="00C51E94">
              <w:rPr>
                <w:szCs w:val="20"/>
              </w:rPr>
              <w:t>Departmental</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-1.1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-1.1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-1.1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-1.1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-4.3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ind w:left="57" w:right="57"/>
              <w:rPr>
                <w:b/>
                <w:szCs w:val="20"/>
              </w:rPr>
            </w:pPr>
            <w:r w:rsidRPr="00C51E94">
              <w:rPr>
                <w:b/>
                <w:szCs w:val="20"/>
              </w:rPr>
              <w:t>Total</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-37.5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-37.5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-37.5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-37.5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-150.0 </w:t>
            </w:r>
          </w:p>
        </w:tc>
      </w:tr>
    </w:tbl>
    <w:p w:rsidR="000B5C96" w:rsidRDefault="000B5C96" w:rsidP="006A42F4">
      <w:pPr>
        <w:pStyle w:val="Footnotes"/>
        <w:numPr>
          <w:ilvl w:val="0"/>
          <w:numId w:val="205"/>
        </w:numPr>
        <w:ind w:left="284" w:hanging="284"/>
      </w:pPr>
      <w:r w:rsidRPr="000E63AE">
        <w:t>A negative number indicates a decrease in revenue or an increase in expenses or net capital investment in accrual and cash terms. The impacts on fiscal and underlying cash balances are equal.</w:t>
      </w:r>
    </w:p>
    <w:p w:rsidR="000B5C96" w:rsidRPr="000E63AE" w:rsidRDefault="000B5C96" w:rsidP="006A42F4">
      <w:pPr>
        <w:pStyle w:val="Footnotes"/>
        <w:numPr>
          <w:ilvl w:val="0"/>
          <w:numId w:val="205"/>
        </w:numPr>
        <w:ind w:left="284" w:hanging="284"/>
      </w:pPr>
      <w:r w:rsidRPr="000E63AE">
        <w:t>Figures may not sum to totals due to rounding.</w:t>
      </w:r>
    </w:p>
    <w:p w:rsidR="000B5C96" w:rsidRPr="00C51E94" w:rsidRDefault="000B5C96" w:rsidP="003F606A">
      <w:pPr>
        <w:pStyle w:val="Caption"/>
      </w:pPr>
      <w:r w:rsidRPr="00C51E94">
        <w:t>Table A3: Component 2: National Suicide Prevention Campaign—Financial implications</w:t>
      </w:r>
      <w:r w:rsidRPr="00C51E94">
        <w:rPr>
          <w:vertAlign w:val="superscript"/>
        </w:rPr>
        <w:t>(a)(b)</w:t>
      </w:r>
    </w:p>
    <w:tbl>
      <w:tblPr>
        <w:tblStyle w:val="TableGrid23"/>
        <w:tblW w:w="5000" w:type="pct"/>
        <w:tblLook w:val="0680" w:firstRow="0" w:lastRow="0" w:firstColumn="1" w:lastColumn="0" w:noHBand="1" w:noVBand="1"/>
      </w:tblPr>
      <w:tblGrid>
        <w:gridCol w:w="2376"/>
        <w:gridCol w:w="1190"/>
        <w:gridCol w:w="1190"/>
        <w:gridCol w:w="1190"/>
        <w:gridCol w:w="1190"/>
        <w:gridCol w:w="1187"/>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keepNext/>
              <w:keepLines/>
              <w:ind w:left="57" w:right="57"/>
              <w:rPr>
                <w:szCs w:val="20"/>
              </w:rPr>
            </w:pPr>
            <w:r w:rsidRPr="00C51E94">
              <w:rPr>
                <w:szCs w:val="20"/>
              </w:rPr>
              <w:t>($m)</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2016–17</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2017–18</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2018–19</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2019–20</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Total to 2019–20</w:t>
            </w:r>
          </w:p>
        </w:tc>
      </w:tr>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7DDE9"/>
          </w:tcPr>
          <w:p w:rsidR="000B5C96" w:rsidRPr="00C51E94" w:rsidRDefault="000B5C96" w:rsidP="003F606A">
            <w:pPr>
              <w:keepNext/>
              <w:keepLines/>
              <w:ind w:left="57" w:right="57"/>
              <w:rPr>
                <w:b/>
                <w:szCs w:val="20"/>
              </w:rPr>
            </w:pPr>
            <w:r w:rsidRPr="00C51E94">
              <w:rPr>
                <w:b/>
                <w:szCs w:val="20"/>
              </w:rPr>
              <w:t>Impact on fiscal and underlying cash balances</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keepNext/>
              <w:keepLines/>
              <w:ind w:left="57" w:right="57"/>
              <w:rPr>
                <w:szCs w:val="20"/>
              </w:rPr>
            </w:pPr>
            <w:r w:rsidRPr="00C51E94">
              <w:rPr>
                <w:szCs w:val="20"/>
              </w:rPr>
              <w:t>Administered</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-9.1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-9.1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-9.1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-9.1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-36.4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keepNext/>
              <w:keepLines/>
              <w:ind w:left="57" w:right="57"/>
              <w:rPr>
                <w:szCs w:val="20"/>
              </w:rPr>
            </w:pPr>
            <w:r w:rsidRPr="00C51E94">
              <w:rPr>
                <w:szCs w:val="20"/>
              </w:rPr>
              <w:t>Departmental</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-1.9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keepNext/>
              <w:keepLines/>
              <w:ind w:left="57" w:right="57"/>
              <w:rPr>
                <w:b/>
                <w:szCs w:val="20"/>
              </w:rPr>
            </w:pPr>
            <w:r w:rsidRPr="00C51E94">
              <w:rPr>
                <w:b/>
                <w:szCs w:val="20"/>
              </w:rPr>
              <w:t>Total</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-9.6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-9.6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-9.6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-9.6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-38.3 </w:t>
            </w:r>
          </w:p>
        </w:tc>
      </w:tr>
    </w:tbl>
    <w:p w:rsidR="000B5C96" w:rsidRDefault="000B5C96" w:rsidP="006A42F4">
      <w:pPr>
        <w:pStyle w:val="Footnotes"/>
        <w:numPr>
          <w:ilvl w:val="0"/>
          <w:numId w:val="206"/>
        </w:numPr>
        <w:ind w:left="284" w:hanging="284"/>
      </w:pPr>
      <w:r w:rsidRPr="000E63AE">
        <w:t>A negative number indicates a decrease in revenue or an increase in expenses or net capital investment in accrual and cash terms. The impacts on fiscal and underlying cash balances are equal.</w:t>
      </w:r>
    </w:p>
    <w:p w:rsidR="000B5C96" w:rsidRPr="000E63AE" w:rsidRDefault="000B5C96" w:rsidP="006A42F4">
      <w:pPr>
        <w:pStyle w:val="Footnotes"/>
        <w:numPr>
          <w:ilvl w:val="0"/>
          <w:numId w:val="206"/>
        </w:numPr>
        <w:ind w:left="284" w:hanging="284"/>
      </w:pPr>
      <w:r w:rsidRPr="000E63AE">
        <w:t>Figures may not sum to totals due to rounding.</w:t>
      </w:r>
    </w:p>
    <w:p w:rsidR="000B5C96" w:rsidRPr="00C51E94" w:rsidRDefault="000B5C96" w:rsidP="003F606A">
      <w:pPr>
        <w:pStyle w:val="Caption"/>
      </w:pPr>
      <w:r w:rsidRPr="00C51E94">
        <w:t>Table A4: Component 3: Rural mental health workforce plan—Financial implications</w:t>
      </w:r>
      <w:r w:rsidRPr="00C51E94">
        <w:rPr>
          <w:vertAlign w:val="superscript"/>
        </w:rPr>
        <w:t>(a)(b)</w:t>
      </w:r>
    </w:p>
    <w:tbl>
      <w:tblPr>
        <w:tblStyle w:val="TableGrid110"/>
        <w:tblW w:w="5000" w:type="pct"/>
        <w:tblLook w:val="0680" w:firstRow="0" w:lastRow="0" w:firstColumn="1" w:lastColumn="0" w:noHBand="1" w:noVBand="1"/>
      </w:tblPr>
      <w:tblGrid>
        <w:gridCol w:w="3709"/>
        <w:gridCol w:w="922"/>
        <w:gridCol w:w="922"/>
        <w:gridCol w:w="922"/>
        <w:gridCol w:w="922"/>
        <w:gridCol w:w="926"/>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2228" w:type="pct"/>
            <w:shd w:val="clear" w:color="auto" w:fill="D7DDE9"/>
          </w:tcPr>
          <w:p w:rsidR="000B5C96" w:rsidRPr="00C51E94" w:rsidRDefault="000B5C96" w:rsidP="003F606A">
            <w:pPr>
              <w:ind w:left="57" w:right="57"/>
              <w:rPr>
                <w:rFonts w:eastAsia="Calibri"/>
                <w:szCs w:val="20"/>
              </w:rPr>
            </w:pPr>
            <w:r w:rsidRPr="00C51E94">
              <w:rPr>
                <w:rFonts w:eastAsia="Calibri"/>
                <w:szCs w:val="20"/>
              </w:rPr>
              <w:t>($m)</w:t>
            </w:r>
          </w:p>
        </w:tc>
        <w:tc>
          <w:tcPr>
            <w:tcW w:w="554"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2016–17</w:t>
            </w:r>
          </w:p>
        </w:tc>
        <w:tc>
          <w:tcPr>
            <w:tcW w:w="554"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2017–18</w:t>
            </w:r>
          </w:p>
        </w:tc>
        <w:tc>
          <w:tcPr>
            <w:tcW w:w="554"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2018–19</w:t>
            </w:r>
          </w:p>
        </w:tc>
        <w:tc>
          <w:tcPr>
            <w:tcW w:w="554"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2019–20</w:t>
            </w:r>
          </w:p>
        </w:tc>
        <w:tc>
          <w:tcPr>
            <w:tcW w:w="556"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Total to 2019–20</w:t>
            </w:r>
          </w:p>
        </w:tc>
      </w:tr>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7DDE9"/>
          </w:tcPr>
          <w:p w:rsidR="000B5C96" w:rsidRPr="00C51E94" w:rsidRDefault="000B5C96" w:rsidP="003F606A">
            <w:pPr>
              <w:ind w:left="57" w:right="57"/>
              <w:rPr>
                <w:b/>
                <w:szCs w:val="20"/>
              </w:rPr>
            </w:pPr>
            <w:r w:rsidRPr="00C51E94">
              <w:rPr>
                <w:b/>
                <w:szCs w:val="20"/>
              </w:rPr>
              <w:t>Impact on fiscal and underlying cash balances</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C51E94" w:rsidRDefault="000B5C96" w:rsidP="003F606A">
            <w:pPr>
              <w:ind w:left="57" w:right="57"/>
              <w:rPr>
                <w:rFonts w:eastAsia="Calibri"/>
                <w:b/>
                <w:szCs w:val="20"/>
              </w:rPr>
            </w:pPr>
            <w:r w:rsidRPr="00C51E94">
              <w:rPr>
                <w:rFonts w:eastAsia="Calibri"/>
                <w:b/>
                <w:szCs w:val="20"/>
              </w:rPr>
              <w:t>Administered</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2228" w:type="pct"/>
          </w:tcPr>
          <w:p w:rsidR="000B5C96" w:rsidRPr="00C51E94" w:rsidRDefault="000B5C96" w:rsidP="003F606A">
            <w:pPr>
              <w:ind w:left="57" w:right="57"/>
              <w:rPr>
                <w:rFonts w:eastAsia="Calibri"/>
                <w:szCs w:val="20"/>
              </w:rPr>
            </w:pPr>
            <w:r w:rsidRPr="00C51E94">
              <w:rPr>
                <w:rFonts w:eastAsia="Calibri"/>
                <w:szCs w:val="20"/>
              </w:rPr>
              <w:t>Investment in education, research and training</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-34.0 </w:t>
            </w:r>
          </w:p>
        </w:tc>
        <w:tc>
          <w:tcPr>
            <w:tcW w:w="556"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-135.9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2228" w:type="pct"/>
          </w:tcPr>
          <w:p w:rsidR="000B5C96" w:rsidRPr="00C51E94" w:rsidRDefault="000B5C96" w:rsidP="003F606A">
            <w:pPr>
              <w:ind w:left="57" w:right="57"/>
              <w:rPr>
                <w:rFonts w:eastAsia="Calibri"/>
                <w:szCs w:val="20"/>
              </w:rPr>
            </w:pPr>
            <w:r w:rsidRPr="00C51E94">
              <w:rPr>
                <w:rFonts w:eastAsia="Calibri"/>
                <w:szCs w:val="20"/>
              </w:rPr>
              <w:t>Prevention and recovery facilities</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-34.0 </w:t>
            </w:r>
          </w:p>
        </w:tc>
        <w:tc>
          <w:tcPr>
            <w:tcW w:w="556"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-135.9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2228" w:type="pct"/>
          </w:tcPr>
          <w:p w:rsidR="000B5C96" w:rsidRPr="00C51E94" w:rsidRDefault="000B5C96" w:rsidP="003F606A">
            <w:pPr>
              <w:ind w:left="57" w:right="57"/>
              <w:rPr>
                <w:rFonts w:eastAsia="Calibri"/>
                <w:b/>
                <w:szCs w:val="20"/>
              </w:rPr>
            </w:pPr>
            <w:r w:rsidRPr="00C51E94">
              <w:rPr>
                <w:rFonts w:eastAsia="Calibri"/>
                <w:b/>
                <w:szCs w:val="20"/>
              </w:rPr>
              <w:t>Total - administered</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-67.9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-67.9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-68.0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-68.0 </w:t>
            </w:r>
          </w:p>
        </w:tc>
        <w:tc>
          <w:tcPr>
            <w:tcW w:w="556"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-271.8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C51E94" w:rsidRDefault="000B5C96" w:rsidP="003F606A">
            <w:pPr>
              <w:ind w:left="57" w:right="57"/>
              <w:rPr>
                <w:rFonts w:eastAsia="Calibri"/>
                <w:b/>
                <w:szCs w:val="20"/>
              </w:rPr>
            </w:pPr>
            <w:r w:rsidRPr="00C51E94">
              <w:rPr>
                <w:rFonts w:eastAsia="Calibri"/>
                <w:b/>
                <w:szCs w:val="20"/>
              </w:rPr>
              <w:t>Departmental</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2228" w:type="pct"/>
          </w:tcPr>
          <w:p w:rsidR="000B5C96" w:rsidRPr="00C51E94" w:rsidRDefault="000B5C96" w:rsidP="003F606A">
            <w:pPr>
              <w:ind w:left="57" w:right="57"/>
              <w:rPr>
                <w:rFonts w:eastAsia="Calibri"/>
                <w:szCs w:val="20"/>
              </w:rPr>
            </w:pPr>
            <w:r w:rsidRPr="00C51E94">
              <w:rPr>
                <w:rFonts w:eastAsia="Calibri"/>
                <w:szCs w:val="20"/>
              </w:rPr>
              <w:t>Investment in education, research and training</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-1.0 </w:t>
            </w:r>
          </w:p>
        </w:tc>
        <w:tc>
          <w:tcPr>
            <w:tcW w:w="556"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-4.1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2228" w:type="pct"/>
          </w:tcPr>
          <w:p w:rsidR="000B5C96" w:rsidRPr="00C51E94" w:rsidRDefault="000B5C96" w:rsidP="003F606A">
            <w:pPr>
              <w:ind w:left="57" w:right="57"/>
              <w:rPr>
                <w:rFonts w:eastAsia="Calibri"/>
                <w:szCs w:val="20"/>
              </w:rPr>
            </w:pPr>
            <w:r w:rsidRPr="00C51E94">
              <w:rPr>
                <w:rFonts w:eastAsia="Calibri"/>
                <w:szCs w:val="20"/>
              </w:rPr>
              <w:t>Prevention and recovery facilities</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-1.0 </w:t>
            </w:r>
          </w:p>
        </w:tc>
        <w:tc>
          <w:tcPr>
            <w:tcW w:w="556"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-4.1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2228" w:type="pct"/>
          </w:tcPr>
          <w:p w:rsidR="000B5C96" w:rsidRPr="00C51E94" w:rsidRDefault="000B5C96" w:rsidP="003F606A">
            <w:pPr>
              <w:ind w:left="57" w:right="57"/>
              <w:rPr>
                <w:rFonts w:eastAsia="Calibri"/>
                <w:b/>
                <w:szCs w:val="20"/>
              </w:rPr>
            </w:pPr>
            <w:r w:rsidRPr="00C51E94">
              <w:rPr>
                <w:rFonts w:eastAsia="Calibri"/>
                <w:b/>
                <w:szCs w:val="20"/>
              </w:rPr>
              <w:t>Total - departmental</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-2.1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-2.1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-2.0 </w:t>
            </w:r>
          </w:p>
        </w:tc>
        <w:tc>
          <w:tcPr>
            <w:tcW w:w="554"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-2.0 </w:t>
            </w:r>
          </w:p>
        </w:tc>
        <w:tc>
          <w:tcPr>
            <w:tcW w:w="556"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-8.2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2228" w:type="pct"/>
            <w:shd w:val="clear" w:color="auto" w:fill="D7DDE9"/>
          </w:tcPr>
          <w:p w:rsidR="000B5C96" w:rsidRPr="00C51E94" w:rsidRDefault="000B5C96" w:rsidP="003F606A">
            <w:pPr>
              <w:ind w:left="57" w:right="57"/>
              <w:rPr>
                <w:b/>
                <w:szCs w:val="20"/>
              </w:rPr>
            </w:pPr>
            <w:r w:rsidRPr="00C51E94">
              <w:rPr>
                <w:b/>
                <w:szCs w:val="20"/>
              </w:rPr>
              <w:t>Total</w:t>
            </w:r>
          </w:p>
        </w:tc>
        <w:tc>
          <w:tcPr>
            <w:tcW w:w="554"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-70.0 </w:t>
            </w:r>
          </w:p>
        </w:tc>
        <w:tc>
          <w:tcPr>
            <w:tcW w:w="554"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-70.0 </w:t>
            </w:r>
          </w:p>
        </w:tc>
        <w:tc>
          <w:tcPr>
            <w:tcW w:w="554"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-70.0 </w:t>
            </w:r>
          </w:p>
        </w:tc>
        <w:tc>
          <w:tcPr>
            <w:tcW w:w="554"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-70.0 </w:t>
            </w:r>
          </w:p>
        </w:tc>
        <w:tc>
          <w:tcPr>
            <w:tcW w:w="556"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-280.0 </w:t>
            </w:r>
          </w:p>
        </w:tc>
      </w:tr>
    </w:tbl>
    <w:p w:rsidR="000B5C96" w:rsidRPr="00C51E94" w:rsidRDefault="000B5C96" w:rsidP="006A42F4">
      <w:pPr>
        <w:pStyle w:val="Footnotes"/>
        <w:numPr>
          <w:ilvl w:val="0"/>
          <w:numId w:val="207"/>
        </w:numPr>
        <w:ind w:left="284" w:hanging="284"/>
      </w:pPr>
      <w:r w:rsidRPr="00C51E94">
        <w:t>A negative number indicates a decrease in revenue or an increase in expenses or net capital investment in accrual and cash terms. The impacts on fiscal and underlying cash balances are equal.</w:t>
      </w:r>
    </w:p>
    <w:p w:rsidR="000B5C96" w:rsidRPr="00C51E94" w:rsidRDefault="000B5C96" w:rsidP="006A42F4">
      <w:pPr>
        <w:pStyle w:val="Footnotes"/>
        <w:numPr>
          <w:ilvl w:val="0"/>
          <w:numId w:val="207"/>
        </w:numPr>
        <w:ind w:left="284" w:hanging="284"/>
      </w:pPr>
      <w:r w:rsidRPr="00C51E94">
        <w:t>Figures may not sum to totals due to rounding.</w:t>
      </w:r>
    </w:p>
    <w:p w:rsidR="000B5C96" w:rsidRPr="00C51E94" w:rsidRDefault="000B5C96" w:rsidP="003F606A">
      <w:pPr>
        <w:pStyle w:val="Caption"/>
      </w:pPr>
      <w:r w:rsidRPr="00C51E94">
        <w:t>Table A5: Component 4: Primary Health Networks—Financial implications</w:t>
      </w:r>
      <w:r w:rsidRPr="00C51E94">
        <w:rPr>
          <w:vertAlign w:val="superscript"/>
        </w:rPr>
        <w:t>(a)(b)</w:t>
      </w:r>
    </w:p>
    <w:tbl>
      <w:tblPr>
        <w:tblStyle w:val="TableGrid24"/>
        <w:tblW w:w="5000" w:type="pct"/>
        <w:tblLook w:val="0680" w:firstRow="0" w:lastRow="0" w:firstColumn="1" w:lastColumn="0" w:noHBand="1" w:noVBand="1"/>
      </w:tblPr>
      <w:tblGrid>
        <w:gridCol w:w="2376"/>
        <w:gridCol w:w="1190"/>
        <w:gridCol w:w="1190"/>
        <w:gridCol w:w="1190"/>
        <w:gridCol w:w="1190"/>
        <w:gridCol w:w="1187"/>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keepNext/>
              <w:keepLines/>
              <w:ind w:left="57" w:right="57"/>
              <w:rPr>
                <w:rFonts w:eastAsia="Calibri"/>
                <w:szCs w:val="20"/>
              </w:rPr>
            </w:pPr>
            <w:r w:rsidRPr="00C51E94">
              <w:rPr>
                <w:rFonts w:eastAsia="Calibri"/>
                <w:szCs w:val="20"/>
              </w:rPr>
              <w:t>($m)</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2016–17</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2017–18</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2018–19</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2019–20</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Total to 2019–20</w:t>
            </w:r>
          </w:p>
        </w:tc>
      </w:tr>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7DDE9"/>
          </w:tcPr>
          <w:p w:rsidR="000B5C96" w:rsidRPr="00C51E94" w:rsidRDefault="000B5C96" w:rsidP="003F606A">
            <w:pPr>
              <w:keepNext/>
              <w:keepLines/>
              <w:ind w:left="57" w:right="57"/>
              <w:rPr>
                <w:b/>
                <w:szCs w:val="20"/>
              </w:rPr>
            </w:pPr>
            <w:r w:rsidRPr="00C51E94">
              <w:rPr>
                <w:b/>
                <w:szCs w:val="20"/>
              </w:rPr>
              <w:t>Impact on fiscal and underlying cash balances</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keepNext/>
              <w:keepLines/>
              <w:ind w:left="57" w:right="57"/>
              <w:rPr>
                <w:rFonts w:eastAsia="Calibri"/>
                <w:szCs w:val="20"/>
              </w:rPr>
            </w:pPr>
            <w:r w:rsidRPr="00C51E94">
              <w:rPr>
                <w:rFonts w:eastAsia="Calibri"/>
                <w:szCs w:val="20"/>
              </w:rPr>
              <w:t>Administered</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-97.5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-97.5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-97.5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-97.5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-390.0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keepNext/>
              <w:keepLines/>
              <w:ind w:left="57" w:right="57"/>
              <w:rPr>
                <w:rFonts w:eastAsia="Calibri"/>
                <w:szCs w:val="20"/>
              </w:rPr>
            </w:pPr>
            <w:r w:rsidRPr="00C51E94">
              <w:rPr>
                <w:rFonts w:eastAsia="Calibri"/>
                <w:szCs w:val="20"/>
              </w:rPr>
              <w:t>Departmental</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-2.5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-2.5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-2.5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-2.5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-10.0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keepNext/>
              <w:keepLines/>
              <w:ind w:left="57" w:right="57"/>
              <w:rPr>
                <w:rFonts w:eastAsia="Calibri"/>
                <w:b/>
                <w:szCs w:val="20"/>
              </w:rPr>
            </w:pPr>
            <w:r w:rsidRPr="00C51E94">
              <w:rPr>
                <w:rFonts w:eastAsia="Calibri"/>
                <w:b/>
                <w:szCs w:val="20"/>
              </w:rPr>
              <w:t>Total</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-100.0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-100.0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-100.0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-100.0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-400.0 </w:t>
            </w:r>
          </w:p>
        </w:tc>
      </w:tr>
    </w:tbl>
    <w:p w:rsidR="000B5C96" w:rsidRPr="00C51E94" w:rsidRDefault="000B5C96" w:rsidP="006A42F4">
      <w:pPr>
        <w:pStyle w:val="Footnotes"/>
        <w:numPr>
          <w:ilvl w:val="0"/>
          <w:numId w:val="208"/>
        </w:numPr>
        <w:ind w:left="284" w:hanging="284"/>
      </w:pPr>
      <w:r w:rsidRPr="00C51E94">
        <w:t>A negative number indicates a decrease in revenue or an increase in expenses or net capital investment in accrual and cash terms. The impacts on fiscal and underlying cash balances are equal.</w:t>
      </w:r>
    </w:p>
    <w:p w:rsidR="000B5C96" w:rsidRPr="00C51E94" w:rsidRDefault="000B5C96" w:rsidP="006A42F4">
      <w:pPr>
        <w:pStyle w:val="Footnotes"/>
        <w:numPr>
          <w:ilvl w:val="0"/>
          <w:numId w:val="208"/>
        </w:numPr>
        <w:ind w:left="284" w:hanging="284"/>
      </w:pPr>
      <w:r w:rsidRPr="00C51E94">
        <w:t>Figures may not sum to totals due to rounding.</w:t>
      </w:r>
    </w:p>
    <w:p w:rsidR="000B5C96" w:rsidRPr="009C09D3" w:rsidRDefault="000B5C96" w:rsidP="003F606A">
      <w:pPr>
        <w:keepNext/>
        <w:spacing w:before="340" w:after="114"/>
        <w:rPr>
          <w:rStyle w:val="CaptionChar"/>
        </w:rPr>
      </w:pPr>
      <w:r w:rsidRPr="009C09D3">
        <w:rPr>
          <w:rStyle w:val="CaptionChar"/>
        </w:rPr>
        <w:t>Table A6: Component 5: National Mental Health Consumers and Carers—Financial</w:t>
      </w:r>
      <w:r w:rsidRPr="00C51E94">
        <w:rPr>
          <w:rFonts w:ascii="Calibri" w:eastAsia="Calibri" w:hAnsi="Calibri" w:cs="Times New Roman"/>
          <w:b/>
          <w:bCs/>
          <w:color w:val="1F497D"/>
          <w:spacing w:val="-4"/>
        </w:rPr>
        <w:t xml:space="preserve"> </w:t>
      </w:r>
      <w:r w:rsidRPr="009C09D3">
        <w:rPr>
          <w:rStyle w:val="CaptionChar"/>
        </w:rPr>
        <w:t>implications(a)(b)</w:t>
      </w:r>
    </w:p>
    <w:tbl>
      <w:tblPr>
        <w:tblStyle w:val="TableGrid24"/>
        <w:tblW w:w="5000" w:type="pct"/>
        <w:tblLook w:val="0680" w:firstRow="0" w:lastRow="0" w:firstColumn="1" w:lastColumn="0" w:noHBand="1" w:noVBand="1"/>
      </w:tblPr>
      <w:tblGrid>
        <w:gridCol w:w="2376"/>
        <w:gridCol w:w="1190"/>
        <w:gridCol w:w="1190"/>
        <w:gridCol w:w="1190"/>
        <w:gridCol w:w="1190"/>
        <w:gridCol w:w="1187"/>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ind w:left="57" w:right="57"/>
              <w:rPr>
                <w:rFonts w:eastAsia="Calibri"/>
                <w:szCs w:val="20"/>
              </w:rPr>
            </w:pPr>
            <w:r w:rsidRPr="00C51E94">
              <w:rPr>
                <w:rFonts w:eastAsia="Calibri"/>
                <w:szCs w:val="20"/>
              </w:rPr>
              <w:t>($m)</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2016–17</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2017–18</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2018–19</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2019–20</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Total to 2019–20</w:t>
            </w:r>
          </w:p>
        </w:tc>
      </w:tr>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7DDE9"/>
          </w:tcPr>
          <w:p w:rsidR="000B5C96" w:rsidRPr="00C51E94" w:rsidRDefault="000B5C96" w:rsidP="003F606A">
            <w:pPr>
              <w:ind w:left="57" w:right="57"/>
              <w:rPr>
                <w:b/>
                <w:szCs w:val="20"/>
              </w:rPr>
            </w:pPr>
            <w:r w:rsidRPr="00C51E94">
              <w:rPr>
                <w:b/>
                <w:szCs w:val="20"/>
              </w:rPr>
              <w:t>Impact on fiscal and underlying cash balances</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ind w:left="57" w:right="57"/>
              <w:rPr>
                <w:rFonts w:eastAsia="Calibri"/>
                <w:szCs w:val="20"/>
              </w:rPr>
            </w:pPr>
            <w:r w:rsidRPr="00C51E94">
              <w:rPr>
                <w:rFonts w:eastAsia="Calibri"/>
                <w:szCs w:val="20"/>
              </w:rPr>
              <w:t>Administered</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-1.2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-1.2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-1.2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-1.2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-4.9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ind w:left="57" w:right="57"/>
              <w:rPr>
                <w:rFonts w:eastAsia="Calibri"/>
                <w:szCs w:val="20"/>
              </w:rPr>
            </w:pPr>
            <w:r w:rsidRPr="00C51E94">
              <w:rPr>
                <w:rFonts w:eastAsia="Calibri"/>
                <w:szCs w:val="20"/>
              </w:rPr>
              <w:t>Departmental</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-0.3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-0.3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-0.3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-0.3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-1.1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ind w:left="57" w:right="57"/>
              <w:rPr>
                <w:rFonts w:eastAsia="Calibri"/>
                <w:b/>
                <w:szCs w:val="20"/>
              </w:rPr>
            </w:pPr>
            <w:r w:rsidRPr="00C51E94">
              <w:rPr>
                <w:rFonts w:eastAsia="Calibri"/>
                <w:b/>
                <w:szCs w:val="20"/>
              </w:rPr>
              <w:t>Total</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-1.5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-1.5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-1.5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-1.5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-6.0 </w:t>
            </w:r>
          </w:p>
        </w:tc>
      </w:tr>
    </w:tbl>
    <w:p w:rsidR="000B5C96" w:rsidRPr="00C51E94" w:rsidRDefault="000B5C96" w:rsidP="006A42F4">
      <w:pPr>
        <w:pStyle w:val="Footnotes"/>
        <w:numPr>
          <w:ilvl w:val="0"/>
          <w:numId w:val="209"/>
        </w:numPr>
        <w:ind w:left="284" w:hanging="284"/>
      </w:pPr>
      <w:r w:rsidRPr="00C51E94">
        <w:t>A negative number indicates a decrease in revenue or an increase in expenses or net capital investment in accrual and cash terms. The impacts on fiscal and underlying cash balances are equal.</w:t>
      </w:r>
    </w:p>
    <w:p w:rsidR="000B5C96" w:rsidRPr="00C51E94" w:rsidRDefault="000B5C96" w:rsidP="006A42F4">
      <w:pPr>
        <w:pStyle w:val="Footnotes"/>
        <w:numPr>
          <w:ilvl w:val="0"/>
          <w:numId w:val="209"/>
        </w:numPr>
        <w:ind w:left="284" w:hanging="284"/>
      </w:pPr>
      <w:r w:rsidRPr="00C51E94">
        <w:t>Figures may not sum to total due to rounding.</w:t>
      </w:r>
    </w:p>
    <w:p w:rsidR="000B5C96" w:rsidRPr="00C51E94" w:rsidRDefault="000B5C96" w:rsidP="000B5C96">
      <w:pPr>
        <w:pStyle w:val="Footnotes"/>
        <w:numPr>
          <w:ilvl w:val="0"/>
          <w:numId w:val="114"/>
        </w:numPr>
        <w:ind w:left="284" w:hanging="284"/>
      </w:pPr>
      <w:r w:rsidRPr="00C51E94">
        <w:t>Indicates nil.</w:t>
      </w:r>
    </w:p>
    <w:p w:rsidR="000B5C96" w:rsidRPr="00C51E94" w:rsidRDefault="000B5C96" w:rsidP="003F606A">
      <w:pPr>
        <w:pStyle w:val="Caption"/>
      </w:pPr>
      <w:r w:rsidRPr="00C51E94">
        <w:t>Table A7: Component 6: Insurance Discrimination—Financial implications</w:t>
      </w:r>
      <w:r w:rsidRPr="00C51E94">
        <w:rPr>
          <w:vertAlign w:val="superscript"/>
        </w:rPr>
        <w:t>(a)(b)</w:t>
      </w:r>
    </w:p>
    <w:tbl>
      <w:tblPr>
        <w:tblStyle w:val="TableGrid24"/>
        <w:tblW w:w="5000" w:type="pct"/>
        <w:tblLook w:val="0680" w:firstRow="0" w:lastRow="0" w:firstColumn="1" w:lastColumn="0" w:noHBand="1" w:noVBand="1"/>
      </w:tblPr>
      <w:tblGrid>
        <w:gridCol w:w="2376"/>
        <w:gridCol w:w="1190"/>
        <w:gridCol w:w="1190"/>
        <w:gridCol w:w="1190"/>
        <w:gridCol w:w="1190"/>
        <w:gridCol w:w="1187"/>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keepNext/>
              <w:keepLines/>
              <w:ind w:left="57" w:right="57"/>
              <w:rPr>
                <w:rFonts w:eastAsia="Calibri"/>
                <w:szCs w:val="20"/>
              </w:rPr>
            </w:pPr>
            <w:r w:rsidRPr="00C51E94">
              <w:rPr>
                <w:rFonts w:eastAsia="Calibri"/>
                <w:szCs w:val="20"/>
              </w:rPr>
              <w:t>($m)</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2016–17</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2017–18</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2018–19</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2019–20</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Total to 2019–20</w:t>
            </w:r>
          </w:p>
        </w:tc>
      </w:tr>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7DDE9"/>
          </w:tcPr>
          <w:p w:rsidR="000B5C96" w:rsidRPr="00C51E94" w:rsidRDefault="000B5C96" w:rsidP="003F606A">
            <w:pPr>
              <w:keepNext/>
              <w:keepLines/>
              <w:ind w:left="57" w:right="57"/>
              <w:rPr>
                <w:b/>
                <w:szCs w:val="20"/>
              </w:rPr>
            </w:pPr>
            <w:r w:rsidRPr="00C51E94">
              <w:rPr>
                <w:b/>
                <w:szCs w:val="20"/>
              </w:rPr>
              <w:t>Impact on fiscal and underlying cash balances</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keepNext/>
              <w:keepLines/>
              <w:ind w:left="57" w:right="57"/>
              <w:rPr>
                <w:rFonts w:eastAsia="Calibri"/>
                <w:szCs w:val="20"/>
              </w:rPr>
            </w:pPr>
            <w:r w:rsidRPr="00C51E94">
              <w:rPr>
                <w:rFonts w:eastAsia="Calibri"/>
                <w:szCs w:val="20"/>
              </w:rPr>
              <w:t>Administered</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 -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 -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 -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 -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 -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keepNext/>
              <w:keepLines/>
              <w:ind w:left="57" w:right="57"/>
              <w:rPr>
                <w:rFonts w:eastAsia="Calibri"/>
                <w:szCs w:val="20"/>
              </w:rPr>
            </w:pPr>
            <w:r w:rsidRPr="00C51E94">
              <w:rPr>
                <w:rFonts w:eastAsia="Calibri"/>
                <w:szCs w:val="20"/>
              </w:rPr>
              <w:t>Departmental</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-0.3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-0.3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 -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 -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-0.5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keepNext/>
              <w:keepLines/>
              <w:ind w:left="57" w:right="57"/>
              <w:rPr>
                <w:rFonts w:eastAsia="Calibri"/>
                <w:b/>
                <w:szCs w:val="20"/>
              </w:rPr>
            </w:pPr>
            <w:r w:rsidRPr="00C51E94">
              <w:rPr>
                <w:rFonts w:eastAsia="Calibri"/>
                <w:b/>
                <w:szCs w:val="20"/>
              </w:rPr>
              <w:t>Total</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-0.3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-0.3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 -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 -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-0.5 </w:t>
            </w:r>
          </w:p>
        </w:tc>
      </w:tr>
    </w:tbl>
    <w:p w:rsidR="000B5C96" w:rsidRPr="00C51E94" w:rsidRDefault="000B5C96" w:rsidP="006A42F4">
      <w:pPr>
        <w:pStyle w:val="Footnotes"/>
        <w:numPr>
          <w:ilvl w:val="0"/>
          <w:numId w:val="210"/>
        </w:numPr>
        <w:ind w:left="284" w:hanging="284"/>
      </w:pPr>
      <w:r w:rsidRPr="00C51E94">
        <w:t>A negative number indicates a decrease in revenue or an increase in expenses or net capital investment in accrual and cash terms. The impacts on fiscal and underlying cash balances are equal.</w:t>
      </w:r>
    </w:p>
    <w:p w:rsidR="000B5C96" w:rsidRPr="00C51E94" w:rsidRDefault="000B5C96" w:rsidP="006A42F4">
      <w:pPr>
        <w:pStyle w:val="Footnotes"/>
        <w:numPr>
          <w:ilvl w:val="0"/>
          <w:numId w:val="210"/>
        </w:numPr>
        <w:ind w:left="284" w:hanging="284"/>
      </w:pPr>
      <w:r w:rsidRPr="00C51E94">
        <w:t>Figures may not sum to total due to rounding.</w:t>
      </w:r>
    </w:p>
    <w:p w:rsidR="000B5C96" w:rsidRPr="00C51E94" w:rsidRDefault="000B5C96" w:rsidP="000B5C96">
      <w:pPr>
        <w:pStyle w:val="Footnotes"/>
        <w:numPr>
          <w:ilvl w:val="0"/>
          <w:numId w:val="114"/>
        </w:numPr>
        <w:ind w:left="284" w:hanging="284"/>
      </w:pPr>
      <w:r w:rsidRPr="00C51E94">
        <w:t>Indicates nil.</w:t>
      </w:r>
    </w:p>
    <w:p w:rsidR="000B5C96" w:rsidRPr="00C51E94" w:rsidRDefault="000B5C96" w:rsidP="003F606A">
      <w:pPr>
        <w:pStyle w:val="Caption"/>
      </w:pPr>
      <w:r w:rsidRPr="00C51E94">
        <w:t>Table A8: Component 7: Mental Health Nurse Program—Financial implications</w:t>
      </w:r>
      <w:r w:rsidRPr="00C51E94">
        <w:rPr>
          <w:vertAlign w:val="superscript"/>
        </w:rPr>
        <w:t>(a)(b)</w:t>
      </w:r>
    </w:p>
    <w:tbl>
      <w:tblPr>
        <w:tblStyle w:val="TableGrid31"/>
        <w:tblW w:w="5000" w:type="pct"/>
        <w:tblLook w:val="0680" w:firstRow="0" w:lastRow="0" w:firstColumn="1" w:lastColumn="0" w:noHBand="1" w:noVBand="1"/>
      </w:tblPr>
      <w:tblGrid>
        <w:gridCol w:w="2376"/>
        <w:gridCol w:w="1190"/>
        <w:gridCol w:w="1190"/>
        <w:gridCol w:w="1190"/>
        <w:gridCol w:w="1190"/>
        <w:gridCol w:w="1187"/>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ind w:left="57" w:right="57"/>
              <w:rPr>
                <w:rFonts w:eastAsia="Calibri"/>
                <w:szCs w:val="20"/>
              </w:rPr>
            </w:pPr>
            <w:r w:rsidRPr="00C51E94">
              <w:rPr>
                <w:rFonts w:eastAsia="Calibri"/>
                <w:szCs w:val="20"/>
              </w:rPr>
              <w:t>($m)</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2016–17</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2017–18</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2018–19</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2019–20</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Total to 2019–20</w:t>
            </w:r>
          </w:p>
        </w:tc>
      </w:tr>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7DDE9"/>
          </w:tcPr>
          <w:p w:rsidR="000B5C96" w:rsidRPr="00C51E94" w:rsidRDefault="000B5C96" w:rsidP="003F606A">
            <w:pPr>
              <w:ind w:left="57" w:right="57"/>
              <w:rPr>
                <w:b/>
                <w:szCs w:val="20"/>
              </w:rPr>
            </w:pPr>
            <w:r w:rsidRPr="00C51E94">
              <w:rPr>
                <w:b/>
                <w:szCs w:val="20"/>
              </w:rPr>
              <w:t>Impact on fiscal and underlying cash balances</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ind w:left="57" w:right="57"/>
              <w:rPr>
                <w:rFonts w:eastAsia="Calibri"/>
                <w:szCs w:val="20"/>
              </w:rPr>
            </w:pPr>
            <w:r w:rsidRPr="00C51E94">
              <w:rPr>
                <w:rFonts w:eastAsia="Calibri"/>
                <w:szCs w:val="20"/>
              </w:rPr>
              <w:t>Administered</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-68.0</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-68.0</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-68.0</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-68.0</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C51E94">
              <w:rPr>
                <w:rFonts w:ascii="Calibri" w:hAnsi="Calibri"/>
                <w:b/>
                <w:bCs/>
                <w:i/>
                <w:szCs w:val="20"/>
              </w:rPr>
              <w:t>-271.9</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ind w:left="57" w:right="57"/>
              <w:rPr>
                <w:rFonts w:eastAsia="Calibri"/>
                <w:szCs w:val="20"/>
              </w:rPr>
            </w:pPr>
            <w:r w:rsidRPr="00C51E94">
              <w:rPr>
                <w:rFonts w:eastAsia="Calibri"/>
                <w:szCs w:val="20"/>
              </w:rPr>
              <w:t>Departmental</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-2.0</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-2.0</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-2.0</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-2.0</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C51E94">
              <w:rPr>
                <w:rFonts w:ascii="Calibri" w:hAnsi="Calibri"/>
                <w:b/>
                <w:bCs/>
                <w:i/>
                <w:szCs w:val="20"/>
              </w:rPr>
              <w:t>-8.1</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ind w:left="57" w:right="57"/>
              <w:rPr>
                <w:rFonts w:eastAsia="Calibri"/>
                <w:b/>
                <w:szCs w:val="20"/>
              </w:rPr>
            </w:pPr>
            <w:r w:rsidRPr="00C51E94">
              <w:rPr>
                <w:rFonts w:eastAsia="Calibri"/>
                <w:b/>
                <w:szCs w:val="20"/>
              </w:rPr>
              <w:t>Total</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-70.0</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-70.0</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-70.0</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-70.0</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-280.0</w:t>
            </w:r>
          </w:p>
        </w:tc>
      </w:tr>
    </w:tbl>
    <w:p w:rsidR="000B5C96" w:rsidRPr="00C51E94" w:rsidRDefault="000B5C96" w:rsidP="006A42F4">
      <w:pPr>
        <w:pStyle w:val="Footnotes"/>
        <w:numPr>
          <w:ilvl w:val="0"/>
          <w:numId w:val="211"/>
        </w:numPr>
        <w:ind w:left="284" w:hanging="284"/>
      </w:pPr>
      <w:r w:rsidRPr="00C51E94">
        <w:t>A negative number indicates a decrease in revenue or an increase in expenses or net capital investment in accrual and cash terms. The impacts on fiscal and underlying cash balances are equal.</w:t>
      </w:r>
    </w:p>
    <w:p w:rsidR="000B5C96" w:rsidRPr="00C51E94" w:rsidRDefault="000B5C96" w:rsidP="006A42F4">
      <w:pPr>
        <w:pStyle w:val="Footnotes"/>
        <w:numPr>
          <w:ilvl w:val="0"/>
          <w:numId w:val="211"/>
        </w:numPr>
        <w:ind w:left="284" w:hanging="284"/>
      </w:pPr>
      <w:r w:rsidRPr="00C51E94">
        <w:t>Figures may not sum to totals due to rounding.</w:t>
      </w:r>
    </w:p>
    <w:p w:rsidR="000B5C96" w:rsidRPr="00C51E94" w:rsidRDefault="000B5C96" w:rsidP="003F606A">
      <w:pPr>
        <w:pStyle w:val="Caption"/>
      </w:pPr>
      <w:r w:rsidRPr="00C51E94">
        <w:t>Table A9: Component 8: Children of Parents with a Mental Illness—Financial implications</w:t>
      </w:r>
      <w:r w:rsidRPr="00C51E94">
        <w:rPr>
          <w:vertAlign w:val="superscript"/>
        </w:rPr>
        <w:t>(a)(b)</w:t>
      </w:r>
    </w:p>
    <w:tbl>
      <w:tblPr>
        <w:tblStyle w:val="TableGrid31"/>
        <w:tblW w:w="5000" w:type="pct"/>
        <w:tblLook w:val="0680" w:firstRow="0" w:lastRow="0" w:firstColumn="1" w:lastColumn="0" w:noHBand="1" w:noVBand="1"/>
      </w:tblPr>
      <w:tblGrid>
        <w:gridCol w:w="2376"/>
        <w:gridCol w:w="1190"/>
        <w:gridCol w:w="1190"/>
        <w:gridCol w:w="1190"/>
        <w:gridCol w:w="1190"/>
        <w:gridCol w:w="1187"/>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ind w:left="57" w:right="57"/>
              <w:rPr>
                <w:rFonts w:eastAsia="Calibri"/>
                <w:szCs w:val="20"/>
              </w:rPr>
            </w:pPr>
            <w:r w:rsidRPr="00C51E94">
              <w:rPr>
                <w:rFonts w:eastAsia="Calibri"/>
                <w:szCs w:val="20"/>
              </w:rPr>
              <w:t>($m)</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2016–17</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2017–18</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2018–19</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2019–20</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Total to 2019–20</w:t>
            </w:r>
          </w:p>
        </w:tc>
      </w:tr>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7DDE9"/>
          </w:tcPr>
          <w:p w:rsidR="000B5C96" w:rsidRPr="00C51E94" w:rsidRDefault="000B5C96" w:rsidP="003F606A">
            <w:pPr>
              <w:ind w:left="57" w:right="57"/>
              <w:rPr>
                <w:b/>
                <w:szCs w:val="20"/>
              </w:rPr>
            </w:pPr>
            <w:r w:rsidRPr="00C51E94">
              <w:rPr>
                <w:b/>
                <w:szCs w:val="20"/>
              </w:rPr>
              <w:t>Impact on fiscal and underlying cash balances</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ind w:left="57" w:right="57"/>
              <w:rPr>
                <w:rFonts w:eastAsia="Calibri"/>
                <w:szCs w:val="20"/>
              </w:rPr>
            </w:pPr>
            <w:r w:rsidRPr="00C51E94">
              <w:rPr>
                <w:rFonts w:eastAsia="Calibri"/>
                <w:szCs w:val="20"/>
              </w:rPr>
              <w:t>Administered</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-1.4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-1.4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-1.5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-1.5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-5.8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ind w:left="57" w:right="57"/>
              <w:rPr>
                <w:rFonts w:eastAsia="Calibri"/>
                <w:szCs w:val="20"/>
              </w:rPr>
            </w:pPr>
            <w:r w:rsidRPr="00C51E94">
              <w:rPr>
                <w:rFonts w:eastAsia="Calibri"/>
                <w:szCs w:val="20"/>
              </w:rPr>
              <w:t>Departmental</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-0.1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-0.1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-0.1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-0.1 </w:t>
            </w:r>
          </w:p>
        </w:tc>
        <w:tc>
          <w:tcPr>
            <w:tcW w:w="715" w:type="pct"/>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-0.3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ind w:left="57" w:right="57"/>
              <w:rPr>
                <w:rFonts w:eastAsia="Calibri"/>
                <w:b/>
                <w:szCs w:val="20"/>
              </w:rPr>
            </w:pPr>
            <w:r w:rsidRPr="00C51E94">
              <w:rPr>
                <w:rFonts w:eastAsia="Calibri"/>
                <w:b/>
                <w:szCs w:val="20"/>
              </w:rPr>
              <w:t>Total</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-1.5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-1.5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-1.5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-1.6 </w:t>
            </w:r>
          </w:p>
        </w:tc>
        <w:tc>
          <w:tcPr>
            <w:tcW w:w="715" w:type="pct"/>
            <w:shd w:val="clear" w:color="auto" w:fill="D7DDE9"/>
          </w:tcPr>
          <w:p w:rsidR="000B5C96" w:rsidRPr="00C51E9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-6.1 </w:t>
            </w:r>
          </w:p>
        </w:tc>
      </w:tr>
    </w:tbl>
    <w:p w:rsidR="000B5C96" w:rsidRPr="00C51E94" w:rsidRDefault="000B5C96" w:rsidP="006A42F4">
      <w:pPr>
        <w:pStyle w:val="Footnotes"/>
        <w:numPr>
          <w:ilvl w:val="0"/>
          <w:numId w:val="212"/>
        </w:numPr>
        <w:ind w:left="284" w:hanging="284"/>
      </w:pPr>
      <w:r w:rsidRPr="00C51E94">
        <w:t>A negative number indicates a decrease in revenue or an increase in expenses or net capital investment in accrual and cash terms. The impacts on fiscal and underlying cash balances are equal.</w:t>
      </w:r>
    </w:p>
    <w:p w:rsidR="000B5C96" w:rsidRPr="00C51E94" w:rsidRDefault="000B5C96" w:rsidP="006A42F4">
      <w:pPr>
        <w:pStyle w:val="Footnotes"/>
        <w:numPr>
          <w:ilvl w:val="0"/>
          <w:numId w:val="212"/>
        </w:numPr>
        <w:ind w:left="284" w:hanging="284"/>
      </w:pPr>
      <w:r w:rsidRPr="00C51E94">
        <w:t>Figures may not sum to totals due to rounding.</w:t>
      </w:r>
    </w:p>
    <w:p w:rsidR="000B5C96" w:rsidRPr="00C51E94" w:rsidRDefault="000B5C96" w:rsidP="003F606A">
      <w:pPr>
        <w:pStyle w:val="Caption"/>
      </w:pPr>
      <w:r w:rsidRPr="00C51E94">
        <w:t>Table A10: Component 9: Mind Matters and KidsMatter—Financial implications</w:t>
      </w:r>
      <w:r w:rsidRPr="00C51E94">
        <w:rPr>
          <w:vertAlign w:val="superscript"/>
        </w:rPr>
        <w:t>(a)(b)</w:t>
      </w:r>
    </w:p>
    <w:tbl>
      <w:tblPr>
        <w:tblStyle w:val="TableGrid111"/>
        <w:tblW w:w="5000" w:type="pct"/>
        <w:tblLook w:val="0680" w:firstRow="0" w:lastRow="0" w:firstColumn="1" w:lastColumn="0" w:noHBand="1" w:noVBand="1"/>
      </w:tblPr>
      <w:tblGrid>
        <w:gridCol w:w="2386"/>
        <w:gridCol w:w="1187"/>
        <w:gridCol w:w="1187"/>
        <w:gridCol w:w="1187"/>
        <w:gridCol w:w="1187"/>
        <w:gridCol w:w="1189"/>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1434" w:type="pct"/>
            <w:shd w:val="clear" w:color="auto" w:fill="D7DDE9"/>
          </w:tcPr>
          <w:p w:rsidR="000B5C96" w:rsidRPr="00C51E94" w:rsidRDefault="000B5C96" w:rsidP="003F606A">
            <w:pPr>
              <w:keepNext/>
              <w:keepLines/>
              <w:widowControl w:val="0"/>
              <w:ind w:left="57" w:right="57"/>
              <w:rPr>
                <w:rFonts w:eastAsia="Calibri"/>
                <w:szCs w:val="20"/>
              </w:rPr>
            </w:pPr>
            <w:r w:rsidRPr="00C51E94">
              <w:rPr>
                <w:rFonts w:eastAsia="Calibri"/>
                <w:szCs w:val="20"/>
              </w:rPr>
              <w:t>($m)</w:t>
            </w:r>
          </w:p>
        </w:tc>
        <w:tc>
          <w:tcPr>
            <w:tcW w:w="713" w:type="pct"/>
            <w:shd w:val="clear" w:color="auto" w:fill="D7DDE9"/>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Cs w:val="20"/>
              </w:rPr>
            </w:pPr>
            <w:r w:rsidRPr="00C51E94">
              <w:rPr>
                <w:rFonts w:ascii="Calibri" w:eastAsia="Calibri" w:hAnsi="Calibri"/>
                <w:szCs w:val="20"/>
              </w:rPr>
              <w:t>2016–17</w:t>
            </w:r>
          </w:p>
        </w:tc>
        <w:tc>
          <w:tcPr>
            <w:tcW w:w="713" w:type="pct"/>
            <w:shd w:val="clear" w:color="auto" w:fill="D7DDE9"/>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Cs w:val="20"/>
              </w:rPr>
            </w:pPr>
            <w:r w:rsidRPr="00C51E94">
              <w:rPr>
                <w:rFonts w:ascii="Calibri" w:eastAsia="Calibri" w:hAnsi="Calibri"/>
                <w:szCs w:val="20"/>
              </w:rPr>
              <w:t>2017–18</w:t>
            </w:r>
          </w:p>
        </w:tc>
        <w:tc>
          <w:tcPr>
            <w:tcW w:w="713" w:type="pct"/>
            <w:shd w:val="clear" w:color="auto" w:fill="D7DDE9"/>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Cs w:val="20"/>
              </w:rPr>
            </w:pPr>
            <w:r w:rsidRPr="00C51E94">
              <w:rPr>
                <w:rFonts w:ascii="Calibri" w:eastAsia="Calibri" w:hAnsi="Calibri"/>
                <w:szCs w:val="20"/>
              </w:rPr>
              <w:t>2018–19</w:t>
            </w:r>
          </w:p>
        </w:tc>
        <w:tc>
          <w:tcPr>
            <w:tcW w:w="713" w:type="pct"/>
            <w:shd w:val="clear" w:color="auto" w:fill="D7DDE9"/>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Cs w:val="20"/>
              </w:rPr>
            </w:pPr>
            <w:r w:rsidRPr="00C51E94">
              <w:rPr>
                <w:rFonts w:ascii="Calibri" w:eastAsia="Calibri" w:hAnsi="Calibri"/>
                <w:szCs w:val="20"/>
              </w:rPr>
              <w:t>2019–20</w:t>
            </w:r>
          </w:p>
        </w:tc>
        <w:tc>
          <w:tcPr>
            <w:tcW w:w="713" w:type="pct"/>
            <w:shd w:val="clear" w:color="auto" w:fill="D7DDE9"/>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Cs w:val="20"/>
              </w:rPr>
            </w:pPr>
            <w:r w:rsidRPr="00C51E94">
              <w:rPr>
                <w:rFonts w:ascii="Calibri" w:eastAsia="Calibri" w:hAnsi="Calibri"/>
                <w:szCs w:val="20"/>
              </w:rPr>
              <w:t>Total to 2019–20</w:t>
            </w:r>
          </w:p>
        </w:tc>
      </w:tr>
      <w:tr w:rsidR="000B5C96" w:rsidRPr="00334D66" w:rsidTr="003F606A">
        <w:trPr>
          <w:cantSplit/>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7DDE9"/>
          </w:tcPr>
          <w:p w:rsidR="000B5C96" w:rsidRPr="00334D66" w:rsidRDefault="000B5C96" w:rsidP="003F606A">
            <w:pPr>
              <w:keepNext/>
              <w:keepLines/>
              <w:widowControl w:val="0"/>
              <w:ind w:left="57" w:right="57"/>
              <w:rPr>
                <w:rFonts w:eastAsia="Calibri"/>
                <w:b/>
                <w:szCs w:val="20"/>
              </w:rPr>
            </w:pPr>
            <w:r w:rsidRPr="00334D66">
              <w:rPr>
                <w:rFonts w:eastAsia="Calibri"/>
                <w:b/>
                <w:szCs w:val="20"/>
              </w:rPr>
              <w:t>Impact on fiscal and underlying cash balances</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C51E94" w:rsidRDefault="000B5C96" w:rsidP="003F606A">
            <w:pPr>
              <w:keepNext/>
              <w:keepLines/>
              <w:widowControl w:val="0"/>
              <w:ind w:left="57" w:right="57"/>
              <w:rPr>
                <w:rFonts w:eastAsia="Calibri"/>
                <w:szCs w:val="20"/>
              </w:rPr>
            </w:pPr>
            <w:r w:rsidRPr="00C51E94">
              <w:rPr>
                <w:rFonts w:eastAsia="Calibri"/>
                <w:szCs w:val="20"/>
              </w:rPr>
              <w:t>Administered</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34" w:type="pct"/>
          </w:tcPr>
          <w:p w:rsidR="000B5C96" w:rsidRPr="00C51E94" w:rsidRDefault="000B5C96" w:rsidP="003F606A">
            <w:pPr>
              <w:keepNext/>
              <w:keepLines/>
              <w:widowControl w:val="0"/>
              <w:ind w:left="57" w:right="57"/>
              <w:rPr>
                <w:rFonts w:eastAsia="Calibri"/>
                <w:szCs w:val="20"/>
              </w:rPr>
            </w:pPr>
            <w:r w:rsidRPr="00C51E94">
              <w:rPr>
                <w:rFonts w:eastAsia="Calibri"/>
                <w:szCs w:val="20"/>
              </w:rPr>
              <w:t>Mind matters</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-6.1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-6.1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-6.1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-6.1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-24.5</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34" w:type="pct"/>
          </w:tcPr>
          <w:p w:rsidR="000B5C96" w:rsidRPr="00C51E94" w:rsidRDefault="000B5C96" w:rsidP="003F606A">
            <w:pPr>
              <w:keepNext/>
              <w:keepLines/>
              <w:widowControl w:val="0"/>
              <w:ind w:left="57" w:right="57"/>
              <w:rPr>
                <w:rFonts w:eastAsia="Calibri"/>
                <w:szCs w:val="20"/>
              </w:rPr>
            </w:pPr>
            <w:r w:rsidRPr="00C51E94">
              <w:rPr>
                <w:rFonts w:eastAsia="Calibri"/>
                <w:szCs w:val="20"/>
              </w:rPr>
              <w:t>KidsMatter</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-2.2</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-2.2</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-2.2</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-2.2</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-8.6</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34" w:type="pct"/>
          </w:tcPr>
          <w:p w:rsidR="000B5C96" w:rsidRPr="00C51E94" w:rsidRDefault="000B5C96" w:rsidP="003F606A">
            <w:pPr>
              <w:keepNext/>
              <w:keepLines/>
              <w:widowControl w:val="0"/>
              <w:ind w:left="57" w:right="57"/>
              <w:rPr>
                <w:rFonts w:eastAsia="Calibri"/>
                <w:szCs w:val="20"/>
              </w:rPr>
            </w:pPr>
            <w:r w:rsidRPr="00C51E94">
              <w:rPr>
                <w:rFonts w:eastAsia="Calibri"/>
                <w:szCs w:val="20"/>
              </w:rPr>
              <w:t>Total - administered</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-8.3</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-8.3</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-8.3</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-8.3</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-33.1</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C51E94" w:rsidRDefault="000B5C96" w:rsidP="003F606A">
            <w:pPr>
              <w:keepNext/>
              <w:keepLines/>
              <w:widowControl w:val="0"/>
              <w:ind w:left="57" w:right="57"/>
              <w:rPr>
                <w:rFonts w:eastAsia="Calibri"/>
                <w:szCs w:val="20"/>
              </w:rPr>
            </w:pPr>
            <w:r w:rsidRPr="00C51E94">
              <w:rPr>
                <w:rFonts w:eastAsia="Calibri"/>
                <w:szCs w:val="20"/>
              </w:rPr>
              <w:t>Departmental</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34" w:type="pct"/>
          </w:tcPr>
          <w:p w:rsidR="000B5C96" w:rsidRPr="00C51E94" w:rsidRDefault="000B5C96" w:rsidP="003F606A">
            <w:pPr>
              <w:keepNext/>
              <w:keepLines/>
              <w:widowControl w:val="0"/>
              <w:ind w:left="57" w:right="57"/>
              <w:rPr>
                <w:rFonts w:eastAsia="Calibri"/>
                <w:szCs w:val="20"/>
              </w:rPr>
            </w:pPr>
            <w:r w:rsidRPr="00C51E94">
              <w:rPr>
                <w:rFonts w:eastAsia="Calibri"/>
                <w:szCs w:val="20"/>
              </w:rPr>
              <w:t>Mind matters</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-0.3</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34" w:type="pct"/>
          </w:tcPr>
          <w:p w:rsidR="000B5C96" w:rsidRPr="00C51E94" w:rsidRDefault="000B5C96" w:rsidP="003F606A">
            <w:pPr>
              <w:keepNext/>
              <w:keepLines/>
              <w:widowControl w:val="0"/>
              <w:ind w:left="57" w:right="57"/>
              <w:rPr>
                <w:rFonts w:eastAsia="Calibri"/>
                <w:szCs w:val="20"/>
              </w:rPr>
            </w:pPr>
            <w:r w:rsidRPr="00C51E94">
              <w:rPr>
                <w:rFonts w:eastAsia="Calibri"/>
                <w:szCs w:val="20"/>
              </w:rPr>
              <w:t>KidsMatter</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-0.3</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34" w:type="pct"/>
          </w:tcPr>
          <w:p w:rsidR="000B5C96" w:rsidRPr="00C51E94" w:rsidRDefault="000B5C96" w:rsidP="003F606A">
            <w:pPr>
              <w:keepNext/>
              <w:keepLines/>
              <w:widowControl w:val="0"/>
              <w:ind w:left="57" w:right="57"/>
              <w:rPr>
                <w:rFonts w:eastAsia="Calibri"/>
                <w:szCs w:val="20"/>
              </w:rPr>
            </w:pPr>
            <w:r w:rsidRPr="00C51E94">
              <w:rPr>
                <w:rFonts w:eastAsia="Calibri"/>
                <w:szCs w:val="20"/>
              </w:rPr>
              <w:t>Total - departmental</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-0.1</w:t>
            </w:r>
          </w:p>
        </w:tc>
        <w:tc>
          <w:tcPr>
            <w:tcW w:w="713" w:type="pct"/>
          </w:tcPr>
          <w:p w:rsidR="000B5C96" w:rsidRPr="00C51E94"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Cs/>
                <w:i/>
                <w:szCs w:val="20"/>
              </w:rPr>
            </w:pPr>
            <w:r w:rsidRPr="00C51E94">
              <w:rPr>
                <w:rFonts w:ascii="Calibri" w:hAnsi="Calibri"/>
                <w:bCs/>
                <w:i/>
                <w:szCs w:val="20"/>
              </w:rPr>
              <w:t>-0.5</w:t>
            </w:r>
          </w:p>
        </w:tc>
      </w:tr>
      <w:tr w:rsidR="000B5C96" w:rsidRPr="00334D66" w:rsidTr="003F606A">
        <w:trPr>
          <w:cantSplit/>
        </w:trPr>
        <w:tc>
          <w:tcPr>
            <w:cnfStyle w:val="001000000000" w:firstRow="0" w:lastRow="0" w:firstColumn="1" w:lastColumn="0" w:oddVBand="0" w:evenVBand="0" w:oddHBand="0" w:evenHBand="0" w:firstRowFirstColumn="0" w:firstRowLastColumn="0" w:lastRowFirstColumn="0" w:lastRowLastColumn="0"/>
            <w:tcW w:w="1434" w:type="pct"/>
            <w:shd w:val="clear" w:color="auto" w:fill="D7DDE9"/>
          </w:tcPr>
          <w:p w:rsidR="000B5C96" w:rsidRPr="00334D66" w:rsidRDefault="000B5C96" w:rsidP="003F606A">
            <w:pPr>
              <w:keepNext/>
              <w:keepLines/>
              <w:widowControl w:val="0"/>
              <w:ind w:left="57" w:right="57"/>
              <w:rPr>
                <w:rFonts w:eastAsia="Calibri"/>
                <w:b/>
                <w:szCs w:val="20"/>
              </w:rPr>
            </w:pPr>
            <w:r w:rsidRPr="00334D66">
              <w:rPr>
                <w:rFonts w:eastAsia="Calibri"/>
                <w:b/>
                <w:szCs w:val="20"/>
              </w:rPr>
              <w:t>Total</w:t>
            </w:r>
          </w:p>
        </w:tc>
        <w:tc>
          <w:tcPr>
            <w:tcW w:w="713" w:type="pct"/>
            <w:shd w:val="clear" w:color="auto" w:fill="D7DDE9"/>
          </w:tcPr>
          <w:p w:rsidR="000B5C96" w:rsidRPr="00334D66"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334D66">
              <w:rPr>
                <w:rFonts w:ascii="Calibri" w:hAnsi="Calibri"/>
                <w:b/>
                <w:bCs/>
                <w:szCs w:val="20"/>
              </w:rPr>
              <w:t>-8.4</w:t>
            </w:r>
          </w:p>
        </w:tc>
        <w:tc>
          <w:tcPr>
            <w:tcW w:w="713" w:type="pct"/>
            <w:shd w:val="clear" w:color="auto" w:fill="D7DDE9"/>
          </w:tcPr>
          <w:p w:rsidR="000B5C96" w:rsidRPr="00334D66"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334D66">
              <w:rPr>
                <w:rFonts w:ascii="Calibri" w:hAnsi="Calibri"/>
                <w:b/>
                <w:bCs/>
                <w:szCs w:val="20"/>
              </w:rPr>
              <w:t>-8.4</w:t>
            </w:r>
          </w:p>
        </w:tc>
        <w:tc>
          <w:tcPr>
            <w:tcW w:w="713" w:type="pct"/>
            <w:shd w:val="clear" w:color="auto" w:fill="D7DDE9"/>
          </w:tcPr>
          <w:p w:rsidR="000B5C96" w:rsidRPr="00334D66"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334D66">
              <w:rPr>
                <w:rFonts w:ascii="Calibri" w:hAnsi="Calibri"/>
                <w:b/>
                <w:bCs/>
                <w:szCs w:val="20"/>
              </w:rPr>
              <w:t>-8.4</w:t>
            </w:r>
          </w:p>
        </w:tc>
        <w:tc>
          <w:tcPr>
            <w:tcW w:w="713" w:type="pct"/>
            <w:shd w:val="clear" w:color="auto" w:fill="D7DDE9"/>
          </w:tcPr>
          <w:p w:rsidR="000B5C96" w:rsidRPr="00334D66"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334D66">
              <w:rPr>
                <w:rFonts w:ascii="Calibri" w:hAnsi="Calibri"/>
                <w:b/>
                <w:bCs/>
                <w:szCs w:val="20"/>
              </w:rPr>
              <w:t>-8.4</w:t>
            </w:r>
          </w:p>
        </w:tc>
        <w:tc>
          <w:tcPr>
            <w:tcW w:w="713" w:type="pct"/>
            <w:shd w:val="clear" w:color="auto" w:fill="D7DDE9"/>
          </w:tcPr>
          <w:p w:rsidR="000B5C96" w:rsidRPr="00334D66" w:rsidRDefault="000B5C96" w:rsidP="003F606A">
            <w:pPr>
              <w:keepNext/>
              <w:keepLines/>
              <w:widowControl w:val="0"/>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334D66">
              <w:rPr>
                <w:rFonts w:ascii="Calibri" w:hAnsi="Calibri"/>
                <w:b/>
                <w:bCs/>
                <w:szCs w:val="20"/>
              </w:rPr>
              <w:t>-33.6</w:t>
            </w:r>
          </w:p>
        </w:tc>
      </w:tr>
    </w:tbl>
    <w:p w:rsidR="000B5C96" w:rsidRPr="00C51E94" w:rsidRDefault="000B5C96" w:rsidP="006A42F4">
      <w:pPr>
        <w:pStyle w:val="Footnotes"/>
        <w:keepNext/>
        <w:keepLines/>
        <w:numPr>
          <w:ilvl w:val="0"/>
          <w:numId w:val="213"/>
        </w:numPr>
        <w:ind w:left="284" w:hanging="284"/>
      </w:pPr>
      <w:r w:rsidRPr="00C51E94">
        <w:t>A negative number indicates a decrease in revenue or an increase in expenses or net capital investment in accrual and cash terms. The impacts on fiscal and underlying cash balances are equal.</w:t>
      </w:r>
    </w:p>
    <w:p w:rsidR="000B5C96" w:rsidRPr="00C51E94" w:rsidRDefault="000B5C96" w:rsidP="006A42F4">
      <w:pPr>
        <w:pStyle w:val="Footnotes"/>
        <w:numPr>
          <w:ilvl w:val="0"/>
          <w:numId w:val="213"/>
        </w:numPr>
        <w:ind w:left="284" w:hanging="284"/>
      </w:pPr>
      <w:r w:rsidRPr="00C51E94">
        <w:t>Figures may not sum to totals due to rounding.</w:t>
      </w:r>
    </w:p>
    <w:p w:rsidR="000B5C96" w:rsidRPr="00C51E94" w:rsidRDefault="000B5C96" w:rsidP="003F606A">
      <w:pPr>
        <w:pStyle w:val="Caption"/>
      </w:pPr>
      <w:r w:rsidRPr="00C51E94">
        <w:t>Table A11: Component 10: Better Access Initiative—Financial implications</w:t>
      </w:r>
      <w:r w:rsidRPr="00C51E94">
        <w:rPr>
          <w:vertAlign w:val="superscript"/>
        </w:rPr>
        <w:t>(a)(b)</w:t>
      </w:r>
    </w:p>
    <w:tbl>
      <w:tblPr>
        <w:tblStyle w:val="TableGrid41"/>
        <w:tblW w:w="5000" w:type="pct"/>
        <w:tblLook w:val="0680" w:firstRow="0" w:lastRow="0" w:firstColumn="1" w:lastColumn="0" w:noHBand="1" w:noVBand="1"/>
      </w:tblPr>
      <w:tblGrid>
        <w:gridCol w:w="2376"/>
        <w:gridCol w:w="1190"/>
        <w:gridCol w:w="1190"/>
        <w:gridCol w:w="1190"/>
        <w:gridCol w:w="1190"/>
        <w:gridCol w:w="1187"/>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keepNext/>
              <w:keepLines/>
              <w:ind w:left="57" w:right="57"/>
              <w:rPr>
                <w:rFonts w:eastAsia="Calibri"/>
                <w:szCs w:val="20"/>
              </w:rPr>
            </w:pPr>
            <w:r w:rsidRPr="00C51E94">
              <w:rPr>
                <w:rFonts w:eastAsia="Calibri"/>
                <w:szCs w:val="20"/>
              </w:rPr>
              <w:t>($m)</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2016–17</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2017–18</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2018–19</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51E94">
              <w:rPr>
                <w:rFonts w:ascii="Calibri" w:hAnsi="Calibri"/>
                <w:szCs w:val="20"/>
              </w:rPr>
              <w:t>2019–20</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Total to 2019–20</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C51E94" w:rsidRDefault="000B5C96" w:rsidP="003F606A">
            <w:pPr>
              <w:keepNext/>
              <w:keepLines/>
              <w:ind w:left="57" w:right="57"/>
              <w:rPr>
                <w:rFonts w:eastAsia="Calibri"/>
                <w:b/>
                <w:szCs w:val="20"/>
              </w:rPr>
            </w:pPr>
            <w:r w:rsidRPr="00C51E94">
              <w:rPr>
                <w:rFonts w:eastAsia="Calibri"/>
                <w:b/>
                <w:szCs w:val="20"/>
              </w:rPr>
              <w:t>Fiscal balance</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keepNext/>
              <w:keepLines/>
              <w:ind w:left="57" w:right="57"/>
              <w:rPr>
                <w:rFonts w:eastAsia="Calibri"/>
                <w:szCs w:val="20"/>
              </w:rPr>
            </w:pPr>
            <w:r w:rsidRPr="00C51E94">
              <w:rPr>
                <w:rFonts w:eastAsia="Calibri"/>
                <w:szCs w:val="20"/>
              </w:rPr>
              <w:t>Administered</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-52.2</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-53.5</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-54.9</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-56.2</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C51E94">
              <w:rPr>
                <w:rFonts w:ascii="Calibri" w:hAnsi="Calibri"/>
                <w:b/>
                <w:bCs/>
                <w:i/>
                <w:szCs w:val="20"/>
              </w:rPr>
              <w:t>-216.8</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keepNext/>
              <w:keepLines/>
              <w:ind w:left="57" w:right="57"/>
              <w:rPr>
                <w:rFonts w:eastAsia="Calibri"/>
                <w:szCs w:val="20"/>
              </w:rPr>
            </w:pPr>
            <w:r w:rsidRPr="00C51E94">
              <w:rPr>
                <w:rFonts w:eastAsia="Calibri"/>
                <w:szCs w:val="20"/>
              </w:rPr>
              <w:t>Departmental</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-0.4</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-0.4</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-0.4</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-0.4</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C51E94">
              <w:rPr>
                <w:rFonts w:ascii="Calibri" w:hAnsi="Calibri"/>
                <w:b/>
                <w:bCs/>
                <w:i/>
                <w:szCs w:val="20"/>
              </w:rPr>
              <w:t>-1.4</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keepNext/>
              <w:keepLines/>
              <w:ind w:left="57" w:right="57"/>
              <w:rPr>
                <w:rFonts w:eastAsia="Calibri"/>
                <w:b/>
                <w:szCs w:val="20"/>
              </w:rPr>
            </w:pPr>
            <w:r w:rsidRPr="00C51E94">
              <w:rPr>
                <w:rFonts w:eastAsia="Calibri"/>
                <w:b/>
                <w:szCs w:val="20"/>
              </w:rPr>
              <w:t>Total</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-52.6</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-53.9</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-55.2</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-56.6</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-218.3</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C51E94" w:rsidRDefault="000B5C96" w:rsidP="003F606A">
            <w:pPr>
              <w:keepNext/>
              <w:keepLines/>
              <w:ind w:left="57" w:right="57"/>
              <w:rPr>
                <w:rFonts w:eastAsia="Calibri"/>
                <w:b/>
                <w:szCs w:val="20"/>
              </w:rPr>
            </w:pPr>
            <w:r w:rsidRPr="00C51E94">
              <w:rPr>
                <w:rFonts w:eastAsia="Calibri"/>
                <w:b/>
                <w:szCs w:val="20"/>
              </w:rPr>
              <w:t>Underlying cash balance</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keepNext/>
              <w:keepLines/>
              <w:ind w:left="57" w:right="57"/>
              <w:rPr>
                <w:rFonts w:eastAsia="Calibri"/>
                <w:szCs w:val="20"/>
              </w:rPr>
            </w:pPr>
            <w:r w:rsidRPr="00C51E94">
              <w:rPr>
                <w:rFonts w:eastAsia="Calibri"/>
                <w:szCs w:val="20"/>
              </w:rPr>
              <w:t>Administered</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-51.5</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-52.8</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-54.1</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-55.5</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C51E94">
              <w:rPr>
                <w:rFonts w:ascii="Calibri" w:hAnsi="Calibri"/>
                <w:b/>
                <w:bCs/>
                <w:i/>
                <w:szCs w:val="20"/>
              </w:rPr>
              <w:t>-213.9</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keepNext/>
              <w:keepLines/>
              <w:ind w:left="57" w:right="57"/>
              <w:rPr>
                <w:rFonts w:eastAsia="Calibri"/>
                <w:szCs w:val="20"/>
              </w:rPr>
            </w:pPr>
            <w:r w:rsidRPr="00C51E94">
              <w:rPr>
                <w:rFonts w:eastAsia="Calibri"/>
                <w:szCs w:val="20"/>
              </w:rPr>
              <w:t>Departmental</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-0.4</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-0.4</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-0.4</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-0.4</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C51E94">
              <w:rPr>
                <w:rFonts w:ascii="Calibri" w:hAnsi="Calibri"/>
                <w:b/>
                <w:bCs/>
                <w:i/>
                <w:szCs w:val="20"/>
              </w:rPr>
              <w:t>-1.4</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keepNext/>
              <w:keepLines/>
              <w:ind w:left="57" w:right="57"/>
              <w:rPr>
                <w:rFonts w:eastAsia="Calibri"/>
                <w:b/>
                <w:szCs w:val="20"/>
              </w:rPr>
            </w:pPr>
            <w:r w:rsidRPr="00C51E94">
              <w:rPr>
                <w:rFonts w:eastAsia="Calibri"/>
                <w:b/>
                <w:szCs w:val="20"/>
              </w:rPr>
              <w:t>Total</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-51.9</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-53.2</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-54.5</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-55.8</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C51E94">
              <w:rPr>
                <w:rFonts w:ascii="Calibri" w:hAnsi="Calibri"/>
                <w:b/>
                <w:bCs/>
                <w:szCs w:val="20"/>
              </w:rPr>
              <w:t>-215.4</w:t>
            </w:r>
          </w:p>
        </w:tc>
      </w:tr>
    </w:tbl>
    <w:p w:rsidR="000B5C96" w:rsidRDefault="000B5C96" w:rsidP="006A42F4">
      <w:pPr>
        <w:pStyle w:val="Footnotes"/>
        <w:keepNext/>
        <w:keepLines/>
        <w:numPr>
          <w:ilvl w:val="0"/>
          <w:numId w:val="214"/>
        </w:numPr>
        <w:ind w:left="284" w:hanging="284"/>
      </w:pPr>
      <w:r w:rsidRPr="000E63AE">
        <w:t>A negative number indicates a decrease in revenue or an increase in expenses or net capital investment in accrual and cash terms.</w:t>
      </w:r>
    </w:p>
    <w:p w:rsidR="000B5C96" w:rsidRPr="000E63AE" w:rsidRDefault="000B5C96" w:rsidP="006A42F4">
      <w:pPr>
        <w:pStyle w:val="Footnotes"/>
        <w:numPr>
          <w:ilvl w:val="0"/>
          <w:numId w:val="214"/>
        </w:numPr>
        <w:ind w:left="284" w:hanging="284"/>
      </w:pPr>
      <w:r w:rsidRPr="000E63AE">
        <w:t>Figures may not sum to totals due to rounding.</w:t>
      </w:r>
    </w:p>
    <w:p w:rsidR="000B5C96" w:rsidRPr="00C51E94" w:rsidRDefault="000B5C96" w:rsidP="003F606A">
      <w:pPr>
        <w:pStyle w:val="Caption"/>
      </w:pPr>
      <w:r w:rsidRPr="00C51E94">
        <w:t>Table A12: Component 11: Targeted anti-stigma campaigns—Financial implications</w:t>
      </w:r>
      <w:r w:rsidRPr="00C51E94">
        <w:rPr>
          <w:vertAlign w:val="superscript"/>
        </w:rPr>
        <w:t>(a)(b)</w:t>
      </w:r>
    </w:p>
    <w:tbl>
      <w:tblPr>
        <w:tblStyle w:val="TableGrid31"/>
        <w:tblW w:w="5000" w:type="pct"/>
        <w:tblLook w:val="0680" w:firstRow="0" w:lastRow="0" w:firstColumn="1" w:lastColumn="0" w:noHBand="1" w:noVBand="1"/>
      </w:tblPr>
      <w:tblGrid>
        <w:gridCol w:w="2376"/>
        <w:gridCol w:w="1190"/>
        <w:gridCol w:w="1190"/>
        <w:gridCol w:w="1190"/>
        <w:gridCol w:w="1190"/>
        <w:gridCol w:w="1187"/>
      </w:tblGrid>
      <w:tr w:rsidR="000B5C96" w:rsidRPr="00C51E94" w:rsidTr="003F606A">
        <w:trPr>
          <w:cantSplit/>
          <w:tblHeader/>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keepNext/>
              <w:keepLines/>
              <w:ind w:left="57" w:right="57"/>
              <w:rPr>
                <w:rFonts w:eastAsia="Calibri"/>
                <w:szCs w:val="20"/>
              </w:rPr>
            </w:pPr>
            <w:r w:rsidRPr="00C51E94">
              <w:rPr>
                <w:rFonts w:eastAsia="Calibri"/>
                <w:szCs w:val="20"/>
              </w:rPr>
              <w:t>($m)</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Cs w:val="20"/>
              </w:rPr>
            </w:pPr>
            <w:r w:rsidRPr="00C51E94">
              <w:rPr>
                <w:rFonts w:ascii="Calibri" w:eastAsia="Calibri" w:hAnsi="Calibri"/>
                <w:szCs w:val="20"/>
              </w:rPr>
              <w:t>2016–17</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Cs w:val="20"/>
              </w:rPr>
            </w:pPr>
            <w:r w:rsidRPr="00C51E94">
              <w:rPr>
                <w:rFonts w:ascii="Calibri" w:eastAsia="Calibri" w:hAnsi="Calibri"/>
                <w:szCs w:val="20"/>
              </w:rPr>
              <w:t>2017–18</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Cs w:val="20"/>
              </w:rPr>
            </w:pPr>
            <w:r w:rsidRPr="00C51E94">
              <w:rPr>
                <w:rFonts w:ascii="Calibri" w:eastAsia="Calibri" w:hAnsi="Calibri"/>
                <w:szCs w:val="20"/>
              </w:rPr>
              <w:t>2018–19</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Cs w:val="20"/>
              </w:rPr>
            </w:pPr>
            <w:r w:rsidRPr="00C51E94">
              <w:rPr>
                <w:rFonts w:ascii="Calibri" w:eastAsia="Calibri" w:hAnsi="Calibri"/>
                <w:szCs w:val="20"/>
              </w:rPr>
              <w:t>2019–20</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szCs w:val="20"/>
              </w:rPr>
            </w:pPr>
            <w:r w:rsidRPr="00C51E94">
              <w:rPr>
                <w:rFonts w:ascii="Calibri" w:eastAsia="Calibri" w:hAnsi="Calibri"/>
                <w:b/>
                <w:szCs w:val="20"/>
              </w:rPr>
              <w:t>Total to 2019–20</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C51E94" w:rsidRDefault="000B5C96" w:rsidP="003F606A">
            <w:pPr>
              <w:keepNext/>
              <w:keepLines/>
              <w:ind w:left="57" w:right="57"/>
              <w:rPr>
                <w:rFonts w:eastAsia="Calibri"/>
                <w:szCs w:val="20"/>
              </w:rPr>
            </w:pPr>
            <w:r w:rsidRPr="00C51E94">
              <w:rPr>
                <w:rFonts w:eastAsia="Calibri"/>
                <w:szCs w:val="20"/>
              </w:rPr>
              <w:t>Departmental</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-10.0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 -10.0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 -10.0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C51E94">
              <w:rPr>
                <w:rFonts w:ascii="Calibri" w:hAnsi="Calibri"/>
                <w:i/>
                <w:szCs w:val="20"/>
              </w:rPr>
              <w:t xml:space="preserve"> -10.0 </w:t>
            </w:r>
          </w:p>
        </w:tc>
        <w:tc>
          <w:tcPr>
            <w:tcW w:w="715" w:type="pct"/>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C51E94">
              <w:rPr>
                <w:rFonts w:ascii="Calibri" w:hAnsi="Calibri"/>
                <w:b/>
                <w:i/>
                <w:szCs w:val="20"/>
              </w:rPr>
              <w:t xml:space="preserve"> -40.0 </w:t>
            </w:r>
          </w:p>
        </w:tc>
      </w:tr>
      <w:tr w:rsidR="000B5C96" w:rsidRPr="00C51E94"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C51E94" w:rsidRDefault="000B5C96" w:rsidP="003F606A">
            <w:pPr>
              <w:keepNext/>
              <w:keepLines/>
              <w:ind w:left="57" w:right="57"/>
              <w:rPr>
                <w:rFonts w:eastAsia="Calibri"/>
                <w:b/>
                <w:szCs w:val="20"/>
              </w:rPr>
            </w:pPr>
            <w:r w:rsidRPr="00C51E94">
              <w:rPr>
                <w:rFonts w:eastAsia="Calibri"/>
                <w:b/>
                <w:szCs w:val="20"/>
              </w:rPr>
              <w:t>Total</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-10.0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 -10.0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 -10.0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 -10.0 </w:t>
            </w:r>
          </w:p>
        </w:tc>
        <w:tc>
          <w:tcPr>
            <w:tcW w:w="715" w:type="pct"/>
            <w:shd w:val="clear" w:color="auto" w:fill="D7DDE9"/>
          </w:tcPr>
          <w:p w:rsidR="000B5C96" w:rsidRPr="00C51E9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C51E94">
              <w:rPr>
                <w:rFonts w:ascii="Calibri" w:hAnsi="Calibri"/>
                <w:b/>
                <w:szCs w:val="20"/>
              </w:rPr>
              <w:t xml:space="preserve"> -40.0 </w:t>
            </w:r>
          </w:p>
        </w:tc>
      </w:tr>
    </w:tbl>
    <w:p w:rsidR="000B5C96" w:rsidRPr="00C51E94" w:rsidRDefault="000B5C96" w:rsidP="006A42F4">
      <w:pPr>
        <w:pStyle w:val="Footnotes"/>
        <w:keepNext/>
        <w:keepLines/>
        <w:numPr>
          <w:ilvl w:val="0"/>
          <w:numId w:val="215"/>
        </w:numPr>
        <w:ind w:left="284" w:hanging="284"/>
      </w:pPr>
      <w:r w:rsidRPr="00C51E94">
        <w:t>A negative number indicates a decrease in revenue or an increase in expenses or net capital investment in accrual and cash terms. The impacts on fiscal and underlying cash balances are equal.</w:t>
      </w:r>
    </w:p>
    <w:p w:rsidR="000B5C96" w:rsidRPr="00C51E94" w:rsidRDefault="000B5C96" w:rsidP="006A42F4">
      <w:pPr>
        <w:pStyle w:val="Footnotes"/>
        <w:numPr>
          <w:ilvl w:val="0"/>
          <w:numId w:val="215"/>
        </w:numPr>
        <w:ind w:left="284" w:hanging="284"/>
      </w:pPr>
      <w:r w:rsidRPr="00C51E94">
        <w:t>Figures may not sum to total due to rounding.</w:t>
      </w:r>
    </w:p>
    <w:p w:rsidR="000B5C96" w:rsidRDefault="000B5C96" w:rsidP="003F606A">
      <w:pPr>
        <w:pStyle w:val="BodyText"/>
      </w:pP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57" w:name="_Toc457979366"/>
      <w:bookmarkStart w:id="158" w:name="_Toc458069224"/>
      <w:r>
        <w:t>GRN049: Forests for Our Future</w:t>
      </w:r>
      <w:bookmarkEnd w:id="157"/>
      <w:bookmarkEnd w:id="158"/>
    </w:p>
    <w:p w:rsidR="000B5C96" w:rsidRPr="009C09D3" w:rsidRDefault="000B5C96" w:rsidP="003F606A">
      <w:pPr>
        <w:pStyle w:val="BodyText"/>
      </w:pPr>
      <w:r w:rsidRPr="009C09D3">
        <w:rPr>
          <w:noProof/>
          <w:lang w:eastAsia="en-AU"/>
        </w:rPr>
        <w:drawing>
          <wp:inline distT="0" distB="0" distL="0" distR="0" wp14:anchorId="06DB9091" wp14:editId="3045B2B0">
            <wp:extent cx="2696845" cy="572135"/>
            <wp:effectExtent l="0" t="0" r="8255" b="0"/>
            <wp:docPr id="39" name="Picture 3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24852" w:rsidRDefault="000B5C96" w:rsidP="000B5C96">
      <w:pPr>
        <w:pStyle w:val="Heading6"/>
        <w:numPr>
          <w:ilvl w:val="0"/>
          <w:numId w:val="5"/>
        </w:numPr>
        <w:tabs>
          <w:tab w:val="clear" w:pos="0"/>
          <w:tab w:val="num" w:pos="360"/>
          <w:tab w:val="right" w:pos="1418"/>
          <w:tab w:val="right" w:pos="1701"/>
          <w:tab w:val="right" w:pos="1985"/>
        </w:tabs>
      </w:pPr>
      <w:r w:rsidRPr="00224852">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862AB8" w:rsidRDefault="000B5C96" w:rsidP="003F606A">
            <w:pPr>
              <w:pStyle w:val="PullOutBoxHeading"/>
              <w:rPr>
                <w:b/>
                <w:sz w:val="22"/>
              </w:rPr>
            </w:pPr>
            <w:r w:rsidRPr="00862AB8">
              <w:rPr>
                <w:b/>
                <w:sz w:val="22"/>
              </w:rPr>
              <w:t>Name of proposal:</w:t>
            </w:r>
          </w:p>
        </w:tc>
        <w:tc>
          <w:tcPr>
            <w:tcW w:w="5335" w:type="dxa"/>
          </w:tcPr>
          <w:p w:rsidR="000B5C96" w:rsidRPr="00862AB8" w:rsidRDefault="000B5C96" w:rsidP="003F606A">
            <w:pPr>
              <w:pStyle w:val="PullOutBoxHeading"/>
              <w:rPr>
                <w:b/>
                <w:sz w:val="22"/>
              </w:rPr>
            </w:pPr>
            <w:r w:rsidRPr="00862AB8">
              <w:rPr>
                <w:b/>
                <w:sz w:val="22"/>
              </w:rPr>
              <w:t>Forests for our Future</w:t>
            </w:r>
          </w:p>
        </w:tc>
      </w:tr>
      <w:tr w:rsidR="000B5C96" w:rsidRPr="00224852" w:rsidTr="003F606A">
        <w:tc>
          <w:tcPr>
            <w:tcW w:w="3005" w:type="dxa"/>
          </w:tcPr>
          <w:p w:rsidR="000B5C96" w:rsidRPr="00224852" w:rsidRDefault="000B5C96" w:rsidP="003F606A">
            <w:pPr>
              <w:pStyle w:val="PullOutBoxBodyText"/>
            </w:pPr>
            <w:r w:rsidRPr="00224852">
              <w:t>Summary of proposal:</w:t>
            </w:r>
          </w:p>
        </w:tc>
        <w:tc>
          <w:tcPr>
            <w:tcW w:w="5335" w:type="dxa"/>
          </w:tcPr>
          <w:p w:rsidR="000B5C96" w:rsidRPr="00224852" w:rsidRDefault="000B5C96" w:rsidP="003F606A">
            <w:pPr>
              <w:pStyle w:val="PullOutBoxBodyText"/>
            </w:pPr>
            <w:r w:rsidRPr="00224852">
              <w:t xml:space="preserve">The proposal would </w:t>
            </w:r>
          </w:p>
          <w:p w:rsidR="000B5C96" w:rsidRPr="00224852" w:rsidRDefault="000B5C96" w:rsidP="000B5C96">
            <w:pPr>
              <w:pStyle w:val="PullOutBoxBullet"/>
              <w:numPr>
                <w:ilvl w:val="0"/>
                <w:numId w:val="2"/>
              </w:numPr>
              <w:ind w:left="397"/>
              <w:rPr>
                <w:lang w:eastAsia="en-AU"/>
              </w:rPr>
            </w:pPr>
            <w:r w:rsidRPr="00224852">
              <w:rPr>
                <w:lang w:eastAsia="en-AU"/>
              </w:rPr>
              <w:t>Provide $25 million of capped funding for a comprehensive review of Regional Forest Agreements and native forest management, and to develop a transitional plan beyond the expiry of the current Regional Forest Agreements.</w:t>
            </w:r>
          </w:p>
          <w:p w:rsidR="000B5C96" w:rsidRPr="00224852" w:rsidRDefault="000B5C96" w:rsidP="000B5C96">
            <w:pPr>
              <w:pStyle w:val="PullOutBoxBullet2"/>
              <w:numPr>
                <w:ilvl w:val="1"/>
                <w:numId w:val="2"/>
              </w:numPr>
              <w:ind w:left="737"/>
              <w:rPr>
                <w:lang w:eastAsia="en-AU"/>
              </w:rPr>
            </w:pPr>
            <w:r w:rsidRPr="00224852">
              <w:rPr>
                <w:lang w:eastAsia="en-AU"/>
              </w:rPr>
              <w:t>This review is to report by 2018, including the transitional plan and associated recommendations.</w:t>
            </w:r>
          </w:p>
          <w:p w:rsidR="000B5C96" w:rsidRPr="00224852" w:rsidRDefault="000B5C96" w:rsidP="000B5C96">
            <w:pPr>
              <w:pStyle w:val="PullOutBoxBullet"/>
              <w:numPr>
                <w:ilvl w:val="0"/>
                <w:numId w:val="2"/>
              </w:numPr>
              <w:ind w:left="397"/>
              <w:rPr>
                <w:lang w:eastAsia="en-AU"/>
              </w:rPr>
            </w:pPr>
            <w:r w:rsidRPr="00224852">
              <w:rPr>
                <w:lang w:eastAsia="en-AU"/>
              </w:rPr>
              <w:t>Commit $20 million of capped funding over the 2016-17 Budget forward estimates period for research and development in the plantation forestry sector.</w:t>
            </w:r>
          </w:p>
          <w:p w:rsidR="000B5C96" w:rsidRPr="00224852" w:rsidRDefault="000B5C96" w:rsidP="000B5C96">
            <w:pPr>
              <w:pStyle w:val="PullOutBoxBullet"/>
              <w:numPr>
                <w:ilvl w:val="0"/>
                <w:numId w:val="2"/>
              </w:numPr>
              <w:ind w:left="397"/>
              <w:rPr>
                <w:lang w:eastAsia="en-AU"/>
              </w:rPr>
            </w:pPr>
            <w:r w:rsidRPr="00224852">
              <w:rPr>
                <w:lang w:eastAsia="en-AU"/>
              </w:rPr>
              <w:t>Commit $3 million of capped funding to contribute to the establishment of a national farm forestry cooperative for farmers.</w:t>
            </w:r>
          </w:p>
          <w:p w:rsidR="000B5C96" w:rsidRPr="00224852" w:rsidRDefault="000B5C96" w:rsidP="003F606A">
            <w:pPr>
              <w:pStyle w:val="PullOutBoxBodyText"/>
            </w:pPr>
            <w:r w:rsidRPr="00224852">
              <w:t>Departmental costs would be met from outside the capped funding.</w:t>
            </w:r>
          </w:p>
          <w:p w:rsidR="000B5C96" w:rsidRPr="00224852" w:rsidRDefault="000B5C96" w:rsidP="003F606A">
            <w:pPr>
              <w:pStyle w:val="PullOutBoxBodyText"/>
            </w:pPr>
            <w:r w:rsidRPr="00224852">
              <w:t>The proposal would have effect from 1 September 2016.</w:t>
            </w:r>
          </w:p>
        </w:tc>
      </w:tr>
      <w:tr w:rsidR="000B5C96" w:rsidRPr="00224852" w:rsidTr="003F606A">
        <w:tc>
          <w:tcPr>
            <w:tcW w:w="3005" w:type="dxa"/>
          </w:tcPr>
          <w:p w:rsidR="000B5C96" w:rsidRPr="00224852" w:rsidRDefault="000B5C96" w:rsidP="003F606A">
            <w:pPr>
              <w:pStyle w:val="PullOutBoxBodyText"/>
            </w:pPr>
            <w:r w:rsidRPr="00224852">
              <w:t>Person/party requesting costing:</w:t>
            </w:r>
          </w:p>
        </w:tc>
        <w:tc>
          <w:tcPr>
            <w:tcW w:w="5335" w:type="dxa"/>
          </w:tcPr>
          <w:p w:rsidR="000B5C96" w:rsidRPr="00224852" w:rsidRDefault="000B5C96" w:rsidP="003F606A">
            <w:pPr>
              <w:pStyle w:val="PullOutBoxBodyText"/>
            </w:pPr>
            <w:r w:rsidRPr="00224852">
              <w:t>Senator Richard Di Natale, Australian Greens</w:t>
            </w:r>
          </w:p>
        </w:tc>
      </w:tr>
      <w:tr w:rsidR="000B5C96" w:rsidRPr="00224852" w:rsidTr="003F606A">
        <w:tc>
          <w:tcPr>
            <w:tcW w:w="3005" w:type="dxa"/>
          </w:tcPr>
          <w:p w:rsidR="000B5C96" w:rsidRPr="00224852" w:rsidRDefault="000B5C96" w:rsidP="003F606A">
            <w:pPr>
              <w:pStyle w:val="PullOutBoxBodyText"/>
            </w:pPr>
            <w:r w:rsidRPr="00224852">
              <w:t>Date of public release of policy:</w:t>
            </w:r>
          </w:p>
        </w:tc>
        <w:tc>
          <w:tcPr>
            <w:tcW w:w="5335" w:type="dxa"/>
          </w:tcPr>
          <w:p w:rsidR="000B5C96" w:rsidRPr="00224852" w:rsidRDefault="000B5C96" w:rsidP="003F606A">
            <w:pPr>
              <w:pStyle w:val="PullOutBoxBodyText"/>
            </w:pPr>
            <w:r w:rsidRPr="00224852">
              <w:t>19 June 2016</w:t>
            </w:r>
          </w:p>
          <w:p w:rsidR="000B5C96" w:rsidRPr="00224852" w:rsidRDefault="00E46526" w:rsidP="003F606A">
            <w:pPr>
              <w:pStyle w:val="PullOutBoxBodyText"/>
              <w:rPr>
                <w:color w:val="1F497D"/>
              </w:rPr>
            </w:pPr>
            <w:hyperlink r:id="rId466" w:history="1">
              <w:r w:rsidR="000B5C96" w:rsidRPr="00224852">
                <w:rPr>
                  <w:color w:val="0000FF"/>
                  <w:u w:val="single"/>
                </w:rPr>
                <w:t>http://greens.org.au/forests</w:t>
              </w:r>
            </w:hyperlink>
          </w:p>
          <w:p w:rsidR="000B5C96" w:rsidRPr="00224852" w:rsidRDefault="00E46526" w:rsidP="003F606A">
            <w:pPr>
              <w:pStyle w:val="PullOutBoxBodyText"/>
              <w:rPr>
                <w:color w:val="1F497D"/>
              </w:rPr>
            </w:pPr>
            <w:hyperlink r:id="rId467" w:history="1">
              <w:r w:rsidR="000B5C96" w:rsidRPr="00224852">
                <w:rPr>
                  <w:color w:val="0000FF"/>
                  <w:u w:val="single"/>
                </w:rPr>
                <w:t>http://greens.org.au/sustainable-wood-products</w:t>
              </w:r>
            </w:hyperlink>
          </w:p>
        </w:tc>
      </w:tr>
      <w:tr w:rsidR="000B5C96" w:rsidRPr="00224852" w:rsidTr="003F606A">
        <w:tc>
          <w:tcPr>
            <w:tcW w:w="3005" w:type="dxa"/>
          </w:tcPr>
          <w:p w:rsidR="000B5C96" w:rsidRPr="00224852" w:rsidRDefault="000B5C96" w:rsidP="003F606A">
            <w:pPr>
              <w:pStyle w:val="PullOutBoxBodyText"/>
            </w:pPr>
            <w:r w:rsidRPr="00224852">
              <w:t>Date costing request received:</w:t>
            </w:r>
          </w:p>
        </w:tc>
        <w:tc>
          <w:tcPr>
            <w:tcW w:w="5335" w:type="dxa"/>
          </w:tcPr>
          <w:p w:rsidR="000B5C96" w:rsidRPr="00224852" w:rsidRDefault="000B5C96" w:rsidP="003F606A">
            <w:pPr>
              <w:pStyle w:val="PullOutBoxBodyText"/>
            </w:pPr>
            <w:r w:rsidRPr="00224852">
              <w:t>29 June 2016</w:t>
            </w:r>
          </w:p>
        </w:tc>
      </w:tr>
      <w:tr w:rsidR="000B5C96" w:rsidRPr="00224852" w:rsidTr="003F606A">
        <w:tc>
          <w:tcPr>
            <w:tcW w:w="3005" w:type="dxa"/>
          </w:tcPr>
          <w:p w:rsidR="000B5C96" w:rsidRPr="00224852" w:rsidRDefault="000B5C96" w:rsidP="003F606A">
            <w:pPr>
              <w:pStyle w:val="PullOutBoxBodyText"/>
            </w:pPr>
            <w:r w:rsidRPr="00224852">
              <w:t>Date costing completed:</w:t>
            </w:r>
          </w:p>
        </w:tc>
        <w:tc>
          <w:tcPr>
            <w:tcW w:w="5335" w:type="dxa"/>
          </w:tcPr>
          <w:p w:rsidR="000B5C96" w:rsidRPr="00224852" w:rsidRDefault="000B5C96" w:rsidP="003F606A">
            <w:pPr>
              <w:pStyle w:val="PullOutBoxBodyText"/>
            </w:pPr>
            <w:r w:rsidRPr="00224852">
              <w:t>29 June 2016</w:t>
            </w:r>
          </w:p>
        </w:tc>
      </w:tr>
      <w:tr w:rsidR="000B5C96" w:rsidRPr="00224852" w:rsidTr="003F606A">
        <w:tc>
          <w:tcPr>
            <w:tcW w:w="3005" w:type="dxa"/>
          </w:tcPr>
          <w:p w:rsidR="000B5C96" w:rsidRPr="00224852" w:rsidRDefault="000B5C96" w:rsidP="003F606A">
            <w:pPr>
              <w:pStyle w:val="PullOutBoxBodyText"/>
            </w:pPr>
            <w:r w:rsidRPr="00224852">
              <w:t>Expiry date for the costing:</w:t>
            </w:r>
          </w:p>
        </w:tc>
        <w:tc>
          <w:tcPr>
            <w:tcW w:w="5335" w:type="dxa"/>
          </w:tcPr>
          <w:p w:rsidR="000B5C96" w:rsidRPr="00224852" w:rsidRDefault="000B5C96" w:rsidP="003F606A">
            <w:pPr>
              <w:pStyle w:val="PullOutBoxBodyText"/>
            </w:pPr>
            <w:r w:rsidRPr="00224852">
              <w:t>Release of the next economic and fiscal outlook report</w:t>
            </w:r>
          </w:p>
        </w:tc>
      </w:tr>
    </w:tbl>
    <w:p w:rsidR="000B5C96" w:rsidRPr="00224852" w:rsidRDefault="000B5C96" w:rsidP="003F606A">
      <w:pPr>
        <w:pStyle w:val="CostingsH7"/>
        <w:rPr>
          <w:rFonts w:eastAsia="Calibri"/>
        </w:rPr>
      </w:pPr>
      <w:r w:rsidRPr="00224852">
        <w:rPr>
          <w:rFonts w:eastAsia="Calibri"/>
        </w:rPr>
        <w:t>Costing overview</w:t>
      </w:r>
    </w:p>
    <w:p w:rsidR="000B5C96" w:rsidRPr="00224852" w:rsidRDefault="000B5C96" w:rsidP="003F606A">
      <w:pPr>
        <w:pStyle w:val="BodyText"/>
        <w:rPr>
          <w:b/>
          <w:bCs/>
        </w:rPr>
      </w:pPr>
      <w:r w:rsidRPr="00224852">
        <w:t>This proposal would be expected to decrease both the fiscal and underlying cash balances by $</w:t>
      </w:r>
      <w:r w:rsidRPr="00224852">
        <w:rPr>
          <w:bCs/>
        </w:rPr>
        <w:t>49 </w:t>
      </w:r>
      <w:r w:rsidRPr="00224852">
        <w:t xml:space="preserve">million over the 2016-17 Budget forward estimates period.  This impact is due </w:t>
      </w:r>
      <w:r w:rsidRPr="00224852">
        <w:rPr>
          <w:bCs/>
        </w:rPr>
        <w:t xml:space="preserve">an increase in administered expenses of $20 million and </w:t>
      </w:r>
      <w:r w:rsidRPr="00224852">
        <w:t xml:space="preserve">an increase </w:t>
      </w:r>
      <w:r w:rsidRPr="00224852">
        <w:rPr>
          <w:bCs/>
        </w:rPr>
        <w:t>in departmental expenses of</w:t>
      </w:r>
      <w:r w:rsidRPr="00224852">
        <w:t xml:space="preserve"> $2</w:t>
      </w:r>
      <w:r w:rsidRPr="00224852">
        <w:rPr>
          <w:bCs/>
        </w:rPr>
        <w:t>9</w:t>
      </w:r>
      <w:r w:rsidRPr="00224852">
        <w:t xml:space="preserve"> million over the 2016-17 Budget forward estimates period. </w:t>
      </w:r>
    </w:p>
    <w:p w:rsidR="000B5C96" w:rsidRPr="00224852" w:rsidRDefault="000B5C96" w:rsidP="003F606A">
      <w:pPr>
        <w:pStyle w:val="BodyText"/>
      </w:pPr>
      <w:r w:rsidRPr="00224852">
        <w:t xml:space="preserve">A breakdown of the financial implications is provided at </w:t>
      </w:r>
      <w:r w:rsidRPr="00224852">
        <w:rPr>
          <w:u w:val="single"/>
        </w:rPr>
        <w:t>Attachment A</w:t>
      </w:r>
      <w:r w:rsidRPr="00224852">
        <w:t>.</w:t>
      </w:r>
    </w:p>
    <w:p w:rsidR="000B5C96" w:rsidRPr="00224852" w:rsidRDefault="000B5C96" w:rsidP="003F606A">
      <w:pPr>
        <w:pStyle w:val="BodyText"/>
        <w:rPr>
          <w:b/>
          <w:bCs/>
        </w:rPr>
      </w:pPr>
      <w:r w:rsidRPr="00224852">
        <w:t>This costing is considered to be of high reliability as it is based on specified capped amounts.</w:t>
      </w:r>
      <w:r w:rsidRPr="00224852">
        <w:rPr>
          <w:b/>
          <w:bCs/>
        </w:rPr>
        <w:t xml:space="preserve"> </w:t>
      </w:r>
      <w:r w:rsidRPr="00224852">
        <w:t>However, no analysis has been undertaken on whether the funding provided would be sufficient to achieve the policy objectives of the proposal.</w:t>
      </w:r>
    </w:p>
    <w:p w:rsidR="000B5C96" w:rsidRPr="00224852" w:rsidRDefault="000B5C96" w:rsidP="003F606A">
      <w:pPr>
        <w:pStyle w:val="Caption"/>
      </w:pPr>
      <w:r w:rsidRPr="00224852">
        <w:t>Table 1: Financial implications (outturn prices)</w:t>
      </w:r>
      <w:r w:rsidRPr="00224852">
        <w:rPr>
          <w:vertAlign w:val="superscript"/>
        </w:rPr>
        <w:t>(a)(b)</w:t>
      </w:r>
    </w:p>
    <w:tbl>
      <w:tblPr>
        <w:tblStyle w:val="TableGrid25"/>
        <w:tblW w:w="4993" w:type="pct"/>
        <w:tblLook w:val="04A0" w:firstRow="1" w:lastRow="0" w:firstColumn="1" w:lastColumn="0" w:noHBand="0" w:noVBand="1"/>
      </w:tblPr>
      <w:tblGrid>
        <w:gridCol w:w="2645"/>
        <w:gridCol w:w="1134"/>
        <w:gridCol w:w="1133"/>
        <w:gridCol w:w="1133"/>
        <w:gridCol w:w="1133"/>
        <w:gridCol w:w="1132"/>
      </w:tblGrid>
      <w:tr w:rsidR="000B5C96" w:rsidRPr="00224852"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224852" w:rsidRDefault="000B5C96" w:rsidP="003F606A">
            <w:pPr>
              <w:keepNext/>
              <w:keepLines/>
              <w:spacing w:line="240" w:lineRule="auto"/>
              <w:ind w:left="57" w:right="57"/>
              <w:rPr>
                <w:szCs w:val="20"/>
              </w:rPr>
            </w:pPr>
            <w:r w:rsidRPr="00224852">
              <w:rPr>
                <w:szCs w:val="20"/>
              </w:rPr>
              <w:t>Impact on ($m)</w:t>
            </w:r>
          </w:p>
        </w:tc>
        <w:tc>
          <w:tcPr>
            <w:tcW w:w="682" w:type="pct"/>
          </w:tcPr>
          <w:p w:rsidR="000B5C96" w:rsidRPr="0022485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24852">
              <w:rPr>
                <w:szCs w:val="20"/>
              </w:rPr>
              <w:t>2016–17</w:t>
            </w:r>
          </w:p>
        </w:tc>
        <w:tc>
          <w:tcPr>
            <w:tcW w:w="682" w:type="pct"/>
          </w:tcPr>
          <w:p w:rsidR="000B5C96" w:rsidRPr="0022485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24852">
              <w:rPr>
                <w:szCs w:val="20"/>
              </w:rPr>
              <w:t>2017–18</w:t>
            </w:r>
          </w:p>
        </w:tc>
        <w:tc>
          <w:tcPr>
            <w:tcW w:w="682" w:type="pct"/>
          </w:tcPr>
          <w:p w:rsidR="000B5C96" w:rsidRPr="0022485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24852">
              <w:rPr>
                <w:szCs w:val="20"/>
              </w:rPr>
              <w:t>2018–19</w:t>
            </w:r>
          </w:p>
        </w:tc>
        <w:tc>
          <w:tcPr>
            <w:tcW w:w="682" w:type="pct"/>
          </w:tcPr>
          <w:p w:rsidR="000B5C96" w:rsidRPr="0022485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24852">
              <w:rPr>
                <w:szCs w:val="20"/>
              </w:rPr>
              <w:t>2019–20</w:t>
            </w:r>
          </w:p>
        </w:tc>
        <w:tc>
          <w:tcPr>
            <w:tcW w:w="681" w:type="pct"/>
          </w:tcPr>
          <w:p w:rsidR="000B5C96" w:rsidRPr="0022485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24852">
              <w:rPr>
                <w:b/>
                <w:szCs w:val="20"/>
              </w:rPr>
              <w:t>Total</w:t>
            </w:r>
          </w:p>
        </w:tc>
      </w:tr>
      <w:tr w:rsidR="000B5C96" w:rsidRPr="0022485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224852" w:rsidRDefault="000B5C96" w:rsidP="003F606A">
            <w:pPr>
              <w:keepNext/>
              <w:keepLines/>
              <w:ind w:left="57" w:right="57"/>
              <w:rPr>
                <w:szCs w:val="20"/>
              </w:rPr>
            </w:pPr>
            <w:r w:rsidRPr="00224852">
              <w:rPr>
                <w:szCs w:val="20"/>
              </w:rPr>
              <w:t>Fiscal balance</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224852">
              <w:rPr>
                <w:rFonts w:ascii="Calibri" w:hAnsi="Calibri"/>
              </w:rPr>
              <w:t xml:space="preserve">-26.0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224852">
              <w:rPr>
                <w:rFonts w:ascii="Calibri" w:hAnsi="Calibri"/>
              </w:rPr>
              <w:t xml:space="preserve">-23.0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224852">
              <w:rPr>
                <w:rFonts w:ascii="Calibri" w:hAnsi="Calibri"/>
              </w:rPr>
              <w:t xml:space="preserve"> -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224852">
              <w:rPr>
                <w:rFonts w:ascii="Calibri" w:hAnsi="Calibri"/>
              </w:rPr>
              <w:t xml:space="preserve"> -   </w:t>
            </w:r>
          </w:p>
        </w:tc>
        <w:tc>
          <w:tcPr>
            <w:tcW w:w="681"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224852">
              <w:rPr>
                <w:rFonts w:ascii="Calibri" w:hAnsi="Calibri"/>
                <w:b/>
              </w:rPr>
              <w:t xml:space="preserve">-49.0 </w:t>
            </w:r>
          </w:p>
        </w:tc>
      </w:tr>
      <w:tr w:rsidR="000B5C96" w:rsidRPr="00224852"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224852" w:rsidRDefault="000B5C96" w:rsidP="003F606A">
            <w:pPr>
              <w:keepNext/>
              <w:keepLines/>
              <w:ind w:left="57" w:right="57"/>
              <w:rPr>
                <w:szCs w:val="20"/>
              </w:rPr>
            </w:pPr>
            <w:r w:rsidRPr="00224852">
              <w:rPr>
                <w:szCs w:val="20"/>
              </w:rPr>
              <w:t>Underlying cash balance</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224852">
              <w:rPr>
                <w:rFonts w:ascii="Calibri" w:hAnsi="Calibri"/>
              </w:rPr>
              <w:t xml:space="preserve">-26.0 </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224852">
              <w:rPr>
                <w:rFonts w:ascii="Calibri" w:hAnsi="Calibri"/>
              </w:rPr>
              <w:t xml:space="preserve">-23.0 </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224852">
              <w:rPr>
                <w:rFonts w:ascii="Calibri" w:hAnsi="Calibri"/>
              </w:rPr>
              <w:t xml:space="preserve"> -   </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224852">
              <w:rPr>
                <w:rFonts w:ascii="Calibri" w:hAnsi="Calibri"/>
              </w:rPr>
              <w:t xml:space="preserve"> -   </w:t>
            </w:r>
          </w:p>
        </w:tc>
        <w:tc>
          <w:tcPr>
            <w:tcW w:w="681"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24852">
              <w:rPr>
                <w:rFonts w:ascii="Calibri" w:hAnsi="Calibri"/>
                <w:b/>
              </w:rPr>
              <w:t xml:space="preserve">-49.0 </w:t>
            </w:r>
          </w:p>
        </w:tc>
      </w:tr>
    </w:tbl>
    <w:p w:rsidR="000B5C96" w:rsidRPr="00224852" w:rsidRDefault="000B5C96" w:rsidP="00907E2F">
      <w:pPr>
        <w:pStyle w:val="Footnotes"/>
        <w:numPr>
          <w:ilvl w:val="0"/>
          <w:numId w:val="216"/>
        </w:numPr>
        <w:ind w:left="284" w:hanging="284"/>
      </w:pPr>
      <w:r w:rsidRPr="00224852">
        <w:t>A positive number indicates an increase in the relevant budget balance, a negative number a decrease.</w:t>
      </w:r>
    </w:p>
    <w:p w:rsidR="000B5C96" w:rsidRPr="00224852" w:rsidRDefault="000B5C96" w:rsidP="00907E2F">
      <w:pPr>
        <w:pStyle w:val="Footnotes"/>
        <w:numPr>
          <w:ilvl w:val="0"/>
          <w:numId w:val="216"/>
        </w:numPr>
        <w:ind w:left="284" w:hanging="284"/>
      </w:pPr>
      <w:r w:rsidRPr="00224852">
        <w:t>Figures may not sum to totals due to rounding</w:t>
      </w:r>
      <w:r w:rsidRPr="00224852" w:rsidDel="0066665A">
        <w:t>.</w:t>
      </w:r>
    </w:p>
    <w:p w:rsidR="000B5C96" w:rsidRPr="00224852" w:rsidRDefault="000B5C96" w:rsidP="000B5C96">
      <w:pPr>
        <w:pStyle w:val="Footnotes"/>
        <w:numPr>
          <w:ilvl w:val="0"/>
          <w:numId w:val="114"/>
        </w:numPr>
        <w:ind w:left="284" w:hanging="284"/>
      </w:pPr>
      <w:r w:rsidRPr="00224852">
        <w:t>Indicates nil.</w:t>
      </w:r>
    </w:p>
    <w:p w:rsidR="000B5C96" w:rsidRPr="00224852" w:rsidRDefault="000B5C96" w:rsidP="003F606A">
      <w:pPr>
        <w:pStyle w:val="CostingsH7"/>
        <w:rPr>
          <w:rFonts w:eastAsia="Calibri"/>
        </w:rPr>
      </w:pPr>
      <w:r w:rsidRPr="00224852">
        <w:rPr>
          <w:rFonts w:eastAsia="Calibri"/>
        </w:rPr>
        <w:t>Key assumptions</w:t>
      </w:r>
    </w:p>
    <w:p w:rsidR="000B5C96" w:rsidRPr="00224852" w:rsidRDefault="000B5C96" w:rsidP="003F606A">
      <w:pPr>
        <w:pStyle w:val="BodyText"/>
      </w:pPr>
      <w:r w:rsidRPr="00224852">
        <w:t>The review of Regional Forest Agreements would take one year to complete.</w:t>
      </w:r>
    </w:p>
    <w:p w:rsidR="000B5C96" w:rsidRPr="00224852" w:rsidRDefault="000B5C96" w:rsidP="003F606A">
      <w:pPr>
        <w:pStyle w:val="BodyText"/>
      </w:pPr>
      <w:r w:rsidRPr="00224852">
        <w:t>Despite the implementation date of 1 September 2016, $10 million in funding for research and development in the plantation forestry sector would be delivered in 2016-17.</w:t>
      </w:r>
    </w:p>
    <w:p w:rsidR="000B5C96" w:rsidRPr="00224852" w:rsidRDefault="000B5C96" w:rsidP="003F606A">
      <w:pPr>
        <w:pStyle w:val="BodyText"/>
      </w:pPr>
      <w:r w:rsidRPr="00224852">
        <w:t>The expenditure profile for the capped funding amounts in this costing is as set out in the estimated financial implications of the proposal in the costing request.</w:t>
      </w:r>
    </w:p>
    <w:p w:rsidR="000B5C96" w:rsidRPr="00224852" w:rsidRDefault="000B5C96" w:rsidP="003F606A">
      <w:pPr>
        <w:pStyle w:val="CostingsH7"/>
        <w:rPr>
          <w:rFonts w:eastAsia="Calibri"/>
        </w:rPr>
      </w:pPr>
      <w:r w:rsidRPr="00224852">
        <w:rPr>
          <w:rFonts w:eastAsia="Calibri"/>
        </w:rPr>
        <w:t>Methodology</w:t>
      </w:r>
    </w:p>
    <w:p w:rsidR="000B5C96" w:rsidRPr="00224852" w:rsidRDefault="000B5C96" w:rsidP="003F606A">
      <w:pPr>
        <w:pStyle w:val="BodyText"/>
      </w:pPr>
      <w:r w:rsidRPr="00224852">
        <w:t xml:space="preserve">Administered expenditure estimates are as specified in the request. </w:t>
      </w:r>
    </w:p>
    <w:p w:rsidR="000B5C96" w:rsidRPr="00224852" w:rsidRDefault="000B5C96" w:rsidP="003F606A">
      <w:pPr>
        <w:pStyle w:val="BodyText"/>
      </w:pPr>
      <w:r w:rsidRPr="00224852">
        <w:t>Departmental expenses for the Research and Development in the plantation forestry sector are in addition to capped amounts as specified, and are based on other comparable initiatives.  These estimates account for the net effect of indexation parameters and the efficiency dividend, in accordance with the Department of Finance’s costing practices.</w:t>
      </w:r>
    </w:p>
    <w:p w:rsidR="000B5C96" w:rsidRPr="00224852" w:rsidRDefault="000B5C96" w:rsidP="003F606A">
      <w:pPr>
        <w:pStyle w:val="BodyText"/>
      </w:pPr>
      <w:r w:rsidRPr="00224852">
        <w:t>Departmental expenses for the review of Regional Forest Agreements and the establishment of a national farm forestry cooperative reflect the capped funding amounts specified in the request.</w:t>
      </w:r>
    </w:p>
    <w:p w:rsidR="000B5C96" w:rsidRPr="00224852" w:rsidRDefault="000B5C96" w:rsidP="003F606A">
      <w:pPr>
        <w:pStyle w:val="CostingsH7"/>
        <w:rPr>
          <w:rFonts w:eastAsia="Calibri"/>
        </w:rPr>
      </w:pPr>
      <w:r w:rsidRPr="00224852">
        <w:rPr>
          <w:rFonts w:eastAsia="Calibri"/>
        </w:rPr>
        <w:t>Data source</w:t>
      </w:r>
    </w:p>
    <w:p w:rsidR="000B5C96" w:rsidRPr="00224852" w:rsidRDefault="000B5C96" w:rsidP="003F606A">
      <w:pPr>
        <w:pStyle w:val="BodyText"/>
        <w:rPr>
          <w:rFonts w:ascii="Calibri" w:eastAsia="Calibri" w:hAnsi="Calibri"/>
        </w:rPr>
      </w:pPr>
      <w:r w:rsidRPr="00224852">
        <w:t>The Department of Finance provided indexation and efficiency dividend parameters.</w:t>
      </w:r>
    </w:p>
    <w:p w:rsidR="000B5C96" w:rsidRPr="00224852" w:rsidRDefault="000B5C96" w:rsidP="003F606A">
      <w:pPr>
        <w:spacing w:before="114" w:after="114"/>
        <w:rPr>
          <w:rFonts w:ascii="Calibri" w:eastAsia="Calibri" w:hAnsi="Calibri" w:cs="Times New Roman"/>
          <w:highlight w:val="yellow"/>
        </w:rPr>
        <w:sectPr w:rsidR="000B5C96" w:rsidRPr="00224852" w:rsidSect="003F606A">
          <w:headerReference w:type="even" r:id="rId468"/>
          <w:headerReference w:type="default" r:id="rId469"/>
          <w:footerReference w:type="even" r:id="rId470"/>
          <w:footerReference w:type="default" r:id="rId471"/>
          <w:headerReference w:type="first" r:id="rId472"/>
          <w:footerReference w:type="first" r:id="rId473"/>
          <w:pgSz w:w="11906" w:h="16838"/>
          <w:pgMar w:top="1361" w:right="1797" w:bottom="1474" w:left="1797" w:header="283" w:footer="454" w:gutter="0"/>
          <w:cols w:space="708"/>
          <w:docGrid w:linePitch="360"/>
        </w:sectPr>
      </w:pPr>
    </w:p>
    <w:p w:rsidR="000B5C96" w:rsidRPr="00224852" w:rsidRDefault="000B5C96" w:rsidP="000B5C96">
      <w:pPr>
        <w:pStyle w:val="Heading6"/>
        <w:numPr>
          <w:ilvl w:val="0"/>
          <w:numId w:val="5"/>
        </w:numPr>
        <w:tabs>
          <w:tab w:val="clear" w:pos="0"/>
          <w:tab w:val="num" w:pos="360"/>
          <w:tab w:val="right" w:pos="1418"/>
          <w:tab w:val="right" w:pos="1701"/>
          <w:tab w:val="right" w:pos="1985"/>
        </w:tabs>
      </w:pPr>
      <w:r w:rsidRPr="00224852">
        <w:t>Attachment A: Forests for our Future—financial implications</w:t>
      </w:r>
    </w:p>
    <w:p w:rsidR="000B5C96" w:rsidRPr="00224852" w:rsidRDefault="000B5C96" w:rsidP="003F606A">
      <w:pPr>
        <w:pStyle w:val="Caption"/>
        <w:rPr>
          <w:vertAlign w:val="superscript"/>
        </w:rPr>
      </w:pPr>
      <w:r w:rsidRPr="00224852">
        <w:t>Table A1: Forests for our Future—Financial implications</w:t>
      </w:r>
      <w:r w:rsidRPr="00224852">
        <w:rPr>
          <w:vertAlign w:val="superscript"/>
        </w:rPr>
        <w:t>(a)(b)</w:t>
      </w:r>
    </w:p>
    <w:tbl>
      <w:tblPr>
        <w:tblStyle w:val="TableGrid25"/>
        <w:tblW w:w="4995" w:type="pct"/>
        <w:tblLook w:val="04A0" w:firstRow="1" w:lastRow="0" w:firstColumn="1" w:lastColumn="0" w:noHBand="0" w:noVBand="1"/>
      </w:tblPr>
      <w:tblGrid>
        <w:gridCol w:w="2645"/>
        <w:gridCol w:w="1134"/>
        <w:gridCol w:w="1134"/>
        <w:gridCol w:w="1134"/>
        <w:gridCol w:w="1134"/>
        <w:gridCol w:w="1134"/>
      </w:tblGrid>
      <w:tr w:rsidR="000B5C96" w:rsidRPr="00224852"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0" w:type="pct"/>
            <w:vAlign w:val="center"/>
          </w:tcPr>
          <w:p w:rsidR="000B5C96" w:rsidRPr="00224852" w:rsidRDefault="000B5C96" w:rsidP="003F606A">
            <w:pPr>
              <w:keepNext/>
              <w:keepLines/>
              <w:spacing w:line="240" w:lineRule="auto"/>
              <w:ind w:left="57" w:right="57"/>
              <w:rPr>
                <w:b/>
                <w:szCs w:val="20"/>
              </w:rPr>
            </w:pPr>
            <w:r w:rsidRPr="00224852">
              <w:rPr>
                <w:szCs w:val="20"/>
              </w:rPr>
              <w:t>($m)</w:t>
            </w:r>
          </w:p>
        </w:tc>
        <w:tc>
          <w:tcPr>
            <w:tcW w:w="682" w:type="pct"/>
            <w:vAlign w:val="center"/>
          </w:tcPr>
          <w:p w:rsidR="000B5C96" w:rsidRPr="0022485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24852">
              <w:t>2016–17</w:t>
            </w:r>
          </w:p>
        </w:tc>
        <w:tc>
          <w:tcPr>
            <w:tcW w:w="682" w:type="pct"/>
            <w:vAlign w:val="center"/>
          </w:tcPr>
          <w:p w:rsidR="000B5C96" w:rsidRPr="0022485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24852">
              <w:t>2017–18</w:t>
            </w:r>
          </w:p>
        </w:tc>
        <w:tc>
          <w:tcPr>
            <w:tcW w:w="682" w:type="pct"/>
            <w:vAlign w:val="center"/>
          </w:tcPr>
          <w:p w:rsidR="000B5C96" w:rsidRPr="0022485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24852">
              <w:t>2018–19</w:t>
            </w:r>
          </w:p>
        </w:tc>
        <w:tc>
          <w:tcPr>
            <w:tcW w:w="682" w:type="pct"/>
            <w:vAlign w:val="center"/>
          </w:tcPr>
          <w:p w:rsidR="000B5C96" w:rsidRPr="0022485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224852">
              <w:t>2019–20</w:t>
            </w:r>
          </w:p>
        </w:tc>
        <w:tc>
          <w:tcPr>
            <w:tcW w:w="682" w:type="pct"/>
            <w:vAlign w:val="center"/>
          </w:tcPr>
          <w:p w:rsidR="000B5C96" w:rsidRPr="0022485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224852">
              <w:rPr>
                <w:b/>
              </w:rPr>
              <w:t>Total to 2019–20</w:t>
            </w:r>
          </w:p>
        </w:tc>
      </w:tr>
      <w:tr w:rsidR="000B5C96" w:rsidRPr="00224852"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224852" w:rsidRDefault="000B5C96" w:rsidP="003F606A">
            <w:pPr>
              <w:keepNext/>
              <w:keepLines/>
              <w:ind w:left="57" w:right="57"/>
              <w:rPr>
                <w:b/>
              </w:rPr>
            </w:pPr>
            <w:r w:rsidRPr="00224852">
              <w:rPr>
                <w:b/>
              </w:rPr>
              <w:t>Impact on fiscal and underlying cash balances</w:t>
            </w:r>
          </w:p>
        </w:tc>
      </w:tr>
      <w:tr w:rsidR="000B5C96" w:rsidRPr="00224852"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224852" w:rsidRDefault="000B5C96" w:rsidP="003F606A">
            <w:pPr>
              <w:keepNext/>
              <w:keepLines/>
              <w:ind w:left="57" w:right="57"/>
              <w:rPr>
                <w:b/>
              </w:rPr>
            </w:pPr>
            <w:r w:rsidRPr="00224852">
              <w:rPr>
                <w:b/>
              </w:rPr>
              <w:t>Administered</w:t>
            </w:r>
          </w:p>
        </w:tc>
      </w:tr>
      <w:tr w:rsidR="000B5C96" w:rsidRPr="0022485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0B5C96" w:rsidRPr="00224852" w:rsidRDefault="000B5C96" w:rsidP="003F606A">
            <w:pPr>
              <w:ind w:left="57" w:right="57"/>
            </w:pPr>
            <w:r w:rsidRPr="00224852">
              <w:t>Research and development in the plantation forestry sector</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-10.0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-10.0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 -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 -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224852">
              <w:rPr>
                <w:rFonts w:ascii="Calibri" w:hAnsi="Calibri"/>
                <w:b/>
                <w:i/>
              </w:rPr>
              <w:t xml:space="preserve">-20.0 </w:t>
            </w:r>
          </w:p>
        </w:tc>
      </w:tr>
      <w:tr w:rsidR="000B5C96" w:rsidRPr="00224852"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224852" w:rsidRDefault="000B5C96" w:rsidP="003F606A">
            <w:pPr>
              <w:keepNext/>
              <w:keepLines/>
              <w:ind w:left="57" w:right="57"/>
              <w:rPr>
                <w:b/>
              </w:rPr>
            </w:pPr>
            <w:r w:rsidRPr="00224852">
              <w:rPr>
                <w:b/>
              </w:rPr>
              <w:t>Departmental</w:t>
            </w:r>
          </w:p>
        </w:tc>
      </w:tr>
      <w:tr w:rsidR="000B5C96" w:rsidRPr="0022485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0B5C96" w:rsidRPr="00224852" w:rsidRDefault="000B5C96" w:rsidP="003F606A">
            <w:pPr>
              <w:ind w:left="57" w:right="57"/>
            </w:pPr>
            <w:r w:rsidRPr="00224852">
              <w:t>Research and development in the plantation forestry sector</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-0.5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-0.5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 -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 -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224852">
              <w:rPr>
                <w:rFonts w:ascii="Calibri" w:hAnsi="Calibri"/>
                <w:b/>
                <w:i/>
              </w:rPr>
              <w:t xml:space="preserve">-1.0 </w:t>
            </w:r>
          </w:p>
        </w:tc>
      </w:tr>
      <w:tr w:rsidR="000B5C96" w:rsidRPr="00224852" w:rsidTr="003F606A">
        <w:tc>
          <w:tcPr>
            <w:cnfStyle w:val="001000000000" w:firstRow="0" w:lastRow="0" w:firstColumn="1" w:lastColumn="0" w:oddVBand="0" w:evenVBand="0" w:oddHBand="0" w:evenHBand="0" w:firstRowFirstColumn="0" w:firstRowLastColumn="0" w:lastRowFirstColumn="0" w:lastRowLastColumn="0"/>
            <w:tcW w:w="1590" w:type="pct"/>
          </w:tcPr>
          <w:p w:rsidR="000B5C96" w:rsidRPr="00224852" w:rsidRDefault="000B5C96" w:rsidP="003F606A">
            <w:pPr>
              <w:ind w:left="57" w:right="57"/>
            </w:pPr>
            <w:r w:rsidRPr="00224852">
              <w:t>Review of Regional Forest Agreements</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24852">
              <w:rPr>
                <w:rFonts w:ascii="Calibri" w:hAnsi="Calibri"/>
                <w:i/>
              </w:rPr>
              <w:t xml:space="preserve">-12.5 </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24852">
              <w:rPr>
                <w:rFonts w:ascii="Calibri" w:hAnsi="Calibri"/>
                <w:i/>
              </w:rPr>
              <w:t xml:space="preserve">-12.5 </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24852">
              <w:rPr>
                <w:rFonts w:ascii="Calibri" w:hAnsi="Calibri"/>
                <w:i/>
              </w:rPr>
              <w:t xml:space="preserve"> -   </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24852">
              <w:rPr>
                <w:rFonts w:ascii="Calibri" w:hAnsi="Calibri"/>
                <w:i/>
              </w:rPr>
              <w:t xml:space="preserve"> -   </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24852">
              <w:rPr>
                <w:rFonts w:ascii="Calibri" w:hAnsi="Calibri"/>
                <w:b/>
                <w:i/>
              </w:rPr>
              <w:t xml:space="preserve">-25.0 </w:t>
            </w:r>
          </w:p>
        </w:tc>
      </w:tr>
      <w:tr w:rsidR="000B5C96" w:rsidRPr="0022485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0B5C96" w:rsidRPr="00224852" w:rsidRDefault="000B5C96" w:rsidP="003F606A">
            <w:pPr>
              <w:ind w:left="57" w:right="57"/>
            </w:pPr>
            <w:r w:rsidRPr="00224852">
              <w:t>Establishment of a national farm forestry cooperative</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-3.0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 -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 -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24852">
              <w:rPr>
                <w:rFonts w:ascii="Calibri" w:hAnsi="Calibri"/>
                <w:i/>
              </w:rPr>
              <w:t xml:space="preserve"> -   </w:t>
            </w:r>
          </w:p>
        </w:tc>
        <w:tc>
          <w:tcPr>
            <w:tcW w:w="682" w:type="pct"/>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224852">
              <w:rPr>
                <w:rFonts w:ascii="Calibri" w:hAnsi="Calibri"/>
                <w:b/>
                <w:i/>
              </w:rPr>
              <w:t xml:space="preserve">-3.0 </w:t>
            </w:r>
          </w:p>
        </w:tc>
      </w:tr>
      <w:tr w:rsidR="000B5C96" w:rsidRPr="00224852" w:rsidTr="003F606A">
        <w:tc>
          <w:tcPr>
            <w:cnfStyle w:val="001000000000" w:firstRow="0" w:lastRow="0" w:firstColumn="1" w:lastColumn="0" w:oddVBand="0" w:evenVBand="0" w:oddHBand="0" w:evenHBand="0" w:firstRowFirstColumn="0" w:firstRowLastColumn="0" w:lastRowFirstColumn="0" w:lastRowLastColumn="0"/>
            <w:tcW w:w="1590" w:type="pct"/>
          </w:tcPr>
          <w:p w:rsidR="000B5C96" w:rsidRPr="00224852" w:rsidRDefault="000B5C96" w:rsidP="003F606A">
            <w:pPr>
              <w:ind w:left="57" w:right="57"/>
              <w:rPr>
                <w:b/>
              </w:rPr>
            </w:pPr>
            <w:r w:rsidRPr="00224852">
              <w:rPr>
                <w:b/>
              </w:rPr>
              <w:t>Total - departmental</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24852">
              <w:rPr>
                <w:rFonts w:ascii="Calibri" w:hAnsi="Calibri"/>
                <w:b/>
              </w:rPr>
              <w:t xml:space="preserve">-16.0 </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24852">
              <w:rPr>
                <w:rFonts w:ascii="Calibri" w:hAnsi="Calibri"/>
                <w:b/>
              </w:rPr>
              <w:t xml:space="preserve">-13.0 </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24852">
              <w:rPr>
                <w:rFonts w:ascii="Calibri" w:hAnsi="Calibri"/>
                <w:b/>
              </w:rPr>
              <w:t xml:space="preserve"> -   </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24852">
              <w:rPr>
                <w:rFonts w:ascii="Calibri" w:hAnsi="Calibri"/>
                <w:b/>
              </w:rPr>
              <w:t xml:space="preserve"> -   </w:t>
            </w:r>
          </w:p>
        </w:tc>
        <w:tc>
          <w:tcPr>
            <w:tcW w:w="682" w:type="pct"/>
          </w:tcPr>
          <w:p w:rsidR="000B5C96" w:rsidRPr="0022485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24852">
              <w:rPr>
                <w:rFonts w:ascii="Calibri" w:hAnsi="Calibri"/>
                <w:b/>
              </w:rPr>
              <w:t>-29.0</w:t>
            </w:r>
          </w:p>
        </w:tc>
      </w:tr>
      <w:tr w:rsidR="000B5C96" w:rsidRPr="0022485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0B5C96" w:rsidRPr="00224852" w:rsidRDefault="000B5C96" w:rsidP="003F606A">
            <w:pPr>
              <w:ind w:left="57" w:right="57"/>
              <w:rPr>
                <w:b/>
              </w:rPr>
            </w:pPr>
            <w:r w:rsidRPr="00224852">
              <w:rPr>
                <w:b/>
              </w:rPr>
              <w:t>Total</w:t>
            </w:r>
          </w:p>
        </w:tc>
        <w:tc>
          <w:tcPr>
            <w:tcW w:w="682" w:type="pct"/>
            <w:shd w:val="clear" w:color="auto" w:fill="D7DDE9"/>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224852">
              <w:rPr>
                <w:rFonts w:ascii="Calibri" w:hAnsi="Calibri"/>
                <w:b/>
              </w:rPr>
              <w:t xml:space="preserve">-26.0 </w:t>
            </w:r>
          </w:p>
        </w:tc>
        <w:tc>
          <w:tcPr>
            <w:tcW w:w="682" w:type="pct"/>
            <w:shd w:val="clear" w:color="auto" w:fill="D7DDE9"/>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224852">
              <w:rPr>
                <w:rFonts w:ascii="Calibri" w:hAnsi="Calibri"/>
                <w:b/>
              </w:rPr>
              <w:t xml:space="preserve">-23.0 </w:t>
            </w:r>
          </w:p>
        </w:tc>
        <w:tc>
          <w:tcPr>
            <w:tcW w:w="682" w:type="pct"/>
            <w:shd w:val="clear" w:color="auto" w:fill="D7DDE9"/>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224852">
              <w:rPr>
                <w:rFonts w:ascii="Calibri" w:hAnsi="Calibri"/>
                <w:b/>
              </w:rPr>
              <w:t xml:space="preserve"> -   </w:t>
            </w:r>
          </w:p>
        </w:tc>
        <w:tc>
          <w:tcPr>
            <w:tcW w:w="682" w:type="pct"/>
            <w:shd w:val="clear" w:color="auto" w:fill="D7DDE9"/>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224852">
              <w:rPr>
                <w:rFonts w:ascii="Calibri" w:hAnsi="Calibri"/>
                <w:b/>
              </w:rPr>
              <w:t xml:space="preserve"> -   </w:t>
            </w:r>
          </w:p>
        </w:tc>
        <w:tc>
          <w:tcPr>
            <w:tcW w:w="682" w:type="pct"/>
            <w:shd w:val="clear" w:color="auto" w:fill="D7DDE9"/>
          </w:tcPr>
          <w:p w:rsidR="000B5C96" w:rsidRPr="0022485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224852">
              <w:rPr>
                <w:rFonts w:ascii="Calibri" w:hAnsi="Calibri"/>
                <w:b/>
              </w:rPr>
              <w:t xml:space="preserve">-49.0 </w:t>
            </w:r>
          </w:p>
        </w:tc>
      </w:tr>
    </w:tbl>
    <w:p w:rsidR="000B5C96" w:rsidRPr="00224852" w:rsidRDefault="000B5C96" w:rsidP="00907E2F">
      <w:pPr>
        <w:pStyle w:val="Footnotes"/>
        <w:numPr>
          <w:ilvl w:val="0"/>
          <w:numId w:val="217"/>
        </w:numPr>
        <w:ind w:left="284" w:hanging="284"/>
      </w:pPr>
      <w:r w:rsidRPr="00224852">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224852" w:rsidRDefault="000B5C96" w:rsidP="00907E2F">
      <w:pPr>
        <w:pStyle w:val="Footnotes"/>
        <w:numPr>
          <w:ilvl w:val="0"/>
          <w:numId w:val="217"/>
        </w:numPr>
        <w:ind w:left="284" w:hanging="284"/>
      </w:pPr>
      <w:r w:rsidRPr="00224852">
        <w:t>Figures may not sum to totals due to rounding.</w:t>
      </w:r>
    </w:p>
    <w:p w:rsidR="000B5C96" w:rsidRPr="00224852" w:rsidRDefault="000B5C96" w:rsidP="000B5C96">
      <w:pPr>
        <w:pStyle w:val="Footnotes"/>
        <w:numPr>
          <w:ilvl w:val="0"/>
          <w:numId w:val="114"/>
        </w:numPr>
        <w:ind w:left="284" w:hanging="284"/>
      </w:pPr>
      <w:r w:rsidRPr="00224852">
        <w:t>Indicates nil.</w:t>
      </w:r>
    </w:p>
    <w:p w:rsidR="000B5C96" w:rsidRDefault="000B5C96" w:rsidP="003F606A">
      <w:pPr>
        <w:pStyle w:val="BodyText"/>
      </w:pPr>
    </w:p>
    <w:p w:rsidR="000B5C96" w:rsidRDefault="000B5C96" w:rsidP="003F606A">
      <w:pPr>
        <w:pStyle w:val="BodyText"/>
        <w:sectPr w:rsidR="000B5C96" w:rsidSect="008430E8">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spacing w:before="0"/>
      </w:pPr>
      <w:bookmarkStart w:id="159" w:name="_Toc457979367"/>
      <w:bookmarkStart w:id="160" w:name="_Toc458069225"/>
      <w:r w:rsidRPr="00E53810">
        <w:t>GRN050: Seizing the Tourism Boom</w:t>
      </w:r>
      <w:bookmarkEnd w:id="159"/>
      <w:bookmarkEnd w:id="160"/>
    </w:p>
    <w:p w:rsidR="000B5C96" w:rsidRPr="009C09D3" w:rsidRDefault="000B5C96" w:rsidP="003F606A">
      <w:pPr>
        <w:pStyle w:val="BodyText"/>
      </w:pPr>
      <w:r w:rsidRPr="009C09D3">
        <w:rPr>
          <w:noProof/>
          <w:lang w:eastAsia="en-AU"/>
        </w:rPr>
        <w:drawing>
          <wp:inline distT="0" distB="0" distL="0" distR="0" wp14:anchorId="7CE4E3A0" wp14:editId="73FD5B38">
            <wp:extent cx="2696845" cy="572135"/>
            <wp:effectExtent l="0" t="0" r="8255" b="0"/>
            <wp:docPr id="40" name="Picture 4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DC3C7A" w:rsidRDefault="000B5C96" w:rsidP="000B5C96">
      <w:pPr>
        <w:pStyle w:val="Heading6"/>
        <w:numPr>
          <w:ilvl w:val="0"/>
          <w:numId w:val="5"/>
        </w:numPr>
        <w:tabs>
          <w:tab w:val="clear" w:pos="0"/>
          <w:tab w:val="num" w:pos="360"/>
          <w:tab w:val="right" w:pos="1418"/>
          <w:tab w:val="right" w:pos="1701"/>
          <w:tab w:val="right" w:pos="1985"/>
        </w:tabs>
      </w:pPr>
      <w:r w:rsidRPr="00DC3C7A">
        <w:t>Policy costing—during the caretaker period for the 2016 general election</w:t>
      </w:r>
    </w:p>
    <w:tbl>
      <w:tblPr>
        <w:tblStyle w:val="TableGrid26"/>
        <w:tblW w:w="8340" w:type="dxa"/>
        <w:tblLook w:val="04A0" w:firstRow="1" w:lastRow="0" w:firstColumn="1" w:lastColumn="0" w:noHBand="0" w:noVBand="1"/>
      </w:tblPr>
      <w:tblGrid>
        <w:gridCol w:w="3005"/>
        <w:gridCol w:w="5335"/>
      </w:tblGrid>
      <w:tr w:rsidR="000B5C96" w:rsidRPr="00862AB8"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862AB8" w:rsidRDefault="000B5C96" w:rsidP="003F606A">
            <w:pPr>
              <w:pStyle w:val="PullOutBoxHeading"/>
              <w:rPr>
                <w:b w:val="0"/>
              </w:rPr>
            </w:pPr>
            <w:r w:rsidRPr="00862AB8">
              <w:t>Name of proposal:</w:t>
            </w:r>
          </w:p>
        </w:tc>
        <w:tc>
          <w:tcPr>
            <w:tcW w:w="5335" w:type="dxa"/>
          </w:tcPr>
          <w:p w:rsidR="000B5C96" w:rsidRPr="00862AB8" w:rsidRDefault="000B5C96" w:rsidP="003F606A">
            <w:pPr>
              <w:pStyle w:val="PullOutBoxHeading"/>
              <w:cnfStyle w:val="100000000000" w:firstRow="1" w:lastRow="0" w:firstColumn="0" w:lastColumn="0" w:oddVBand="0" w:evenVBand="0" w:oddHBand="0" w:evenHBand="0" w:firstRowFirstColumn="0" w:firstRowLastColumn="0" w:lastRowFirstColumn="0" w:lastRowLastColumn="0"/>
              <w:rPr>
                <w:b w:val="0"/>
              </w:rPr>
            </w:pPr>
            <w:r w:rsidRPr="00862AB8">
              <w:t>Seizing the Tourism Boom</w:t>
            </w:r>
          </w:p>
        </w:tc>
      </w:tr>
      <w:tr w:rsidR="000B5C96" w:rsidRPr="00DC3C7A"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DC3C7A" w:rsidRDefault="000B5C96" w:rsidP="003F606A">
            <w:pPr>
              <w:pStyle w:val="PullOutBoxBodyText"/>
            </w:pPr>
            <w:r w:rsidRPr="00DC3C7A">
              <w:t>Summary of proposal:</w:t>
            </w:r>
          </w:p>
        </w:tc>
        <w:tc>
          <w:tcPr>
            <w:tcW w:w="5335" w:type="dxa"/>
          </w:tcPr>
          <w:p w:rsidR="000B5C96" w:rsidRPr="00DC3C7A"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DC3C7A">
              <w:t>The proposal has two components:</w:t>
            </w:r>
          </w:p>
          <w:p w:rsidR="000B5C96" w:rsidRPr="00DC3C7A"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rPr>
                <w:u w:val="single"/>
              </w:rPr>
            </w:pPr>
            <w:r w:rsidRPr="00DC3C7A">
              <w:rPr>
                <w:u w:val="single"/>
              </w:rPr>
              <w:t>Component 1</w:t>
            </w:r>
            <w:r w:rsidRPr="00DC3C7A">
              <w:t>: establish a $60 million grant fund over four years for regional tourism infrastructure funding.</w:t>
            </w:r>
          </w:p>
          <w:p w:rsidR="000B5C96" w:rsidRPr="00DC3C7A"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DC3C7A">
              <w:rPr>
                <w:u w:val="single"/>
              </w:rPr>
              <w:t>Component 2</w:t>
            </w:r>
            <w:r w:rsidRPr="00DC3C7A">
              <w:t>: increase funding to Tourism Australia by $40 million over four years for overseas marketing.</w:t>
            </w:r>
          </w:p>
          <w:p w:rsidR="000B5C96" w:rsidRPr="00DC3C7A"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DC3C7A">
              <w:t>Departmental costs would be met from within the funding cap for the proposal.</w:t>
            </w:r>
          </w:p>
          <w:p w:rsidR="000B5C96" w:rsidRPr="00DC3C7A"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DC3C7A">
              <w:t>The proposal would have effect on 1 July 2017.</w:t>
            </w:r>
          </w:p>
        </w:tc>
      </w:tr>
      <w:tr w:rsidR="000B5C96" w:rsidRPr="00DC3C7A"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DC3C7A" w:rsidRDefault="000B5C96" w:rsidP="003F606A">
            <w:pPr>
              <w:pStyle w:val="PullOutBoxBodyText"/>
            </w:pPr>
            <w:r w:rsidRPr="00DC3C7A">
              <w:t>Person/party requesting costing:</w:t>
            </w:r>
          </w:p>
        </w:tc>
        <w:tc>
          <w:tcPr>
            <w:tcW w:w="5335" w:type="dxa"/>
          </w:tcPr>
          <w:p w:rsidR="000B5C96" w:rsidRPr="00DC3C7A"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DC3C7A">
              <w:t>Senator Richard Di Natale, Australian Greens</w:t>
            </w:r>
          </w:p>
        </w:tc>
      </w:tr>
      <w:tr w:rsidR="000B5C96" w:rsidRPr="00DC3C7A"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DC3C7A" w:rsidRDefault="000B5C96" w:rsidP="003F606A">
            <w:pPr>
              <w:pStyle w:val="PullOutBoxBodyText"/>
            </w:pPr>
            <w:r w:rsidRPr="00DC3C7A">
              <w:t>Date of public release of policy:</w:t>
            </w:r>
          </w:p>
        </w:tc>
        <w:tc>
          <w:tcPr>
            <w:tcW w:w="5335" w:type="dxa"/>
          </w:tcPr>
          <w:p w:rsidR="000B5C96" w:rsidRPr="00DC3C7A"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DC3C7A">
              <w:t>9 June 2016</w:t>
            </w:r>
          </w:p>
        </w:tc>
      </w:tr>
      <w:tr w:rsidR="000B5C96" w:rsidRPr="00DC3C7A"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DC3C7A" w:rsidRDefault="000B5C96" w:rsidP="003F606A">
            <w:pPr>
              <w:pStyle w:val="PullOutBoxBodyText"/>
            </w:pPr>
            <w:r w:rsidRPr="00DC3C7A">
              <w:t>Date costing request received:</w:t>
            </w:r>
          </w:p>
        </w:tc>
        <w:tc>
          <w:tcPr>
            <w:tcW w:w="5335" w:type="dxa"/>
          </w:tcPr>
          <w:p w:rsidR="000B5C96" w:rsidRPr="00DC3C7A"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DC3C7A">
              <w:t>29 June 2016</w:t>
            </w:r>
          </w:p>
        </w:tc>
      </w:tr>
      <w:tr w:rsidR="000B5C96" w:rsidRPr="00DC3C7A"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DC3C7A" w:rsidRDefault="000B5C96" w:rsidP="003F606A">
            <w:pPr>
              <w:pStyle w:val="PullOutBoxBodyText"/>
            </w:pPr>
            <w:r w:rsidRPr="00DC3C7A">
              <w:t>Date costing completed</w:t>
            </w:r>
          </w:p>
        </w:tc>
        <w:tc>
          <w:tcPr>
            <w:tcW w:w="5335" w:type="dxa"/>
          </w:tcPr>
          <w:p w:rsidR="000B5C96" w:rsidRPr="00DC3C7A"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DC3C7A">
              <w:t>29 June 2016</w:t>
            </w:r>
          </w:p>
        </w:tc>
      </w:tr>
      <w:tr w:rsidR="000B5C96" w:rsidRPr="00DC3C7A"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DC3C7A" w:rsidRDefault="000B5C96" w:rsidP="003F606A">
            <w:pPr>
              <w:pStyle w:val="PullOutBoxBodyText"/>
            </w:pPr>
            <w:r w:rsidRPr="00DC3C7A">
              <w:t>Expiry date for the costing:</w:t>
            </w:r>
          </w:p>
        </w:tc>
        <w:tc>
          <w:tcPr>
            <w:tcW w:w="5335" w:type="dxa"/>
          </w:tcPr>
          <w:p w:rsidR="000B5C96" w:rsidRPr="00DC3C7A"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DC3C7A">
              <w:t>Release of the next economic and fiscal outlook report</w:t>
            </w:r>
          </w:p>
        </w:tc>
      </w:tr>
    </w:tbl>
    <w:p w:rsidR="000B5C96" w:rsidRPr="00DC3C7A" w:rsidRDefault="000B5C96" w:rsidP="003F606A">
      <w:pPr>
        <w:pStyle w:val="CostingsH7"/>
        <w:rPr>
          <w:rFonts w:eastAsia="Calibri"/>
        </w:rPr>
      </w:pPr>
      <w:r w:rsidRPr="00DC3C7A">
        <w:rPr>
          <w:rFonts w:eastAsia="Calibri"/>
        </w:rPr>
        <w:t>Costing overview</w:t>
      </w:r>
    </w:p>
    <w:p w:rsidR="000B5C96" w:rsidRPr="00DC3C7A" w:rsidRDefault="000B5C96" w:rsidP="003F606A">
      <w:pPr>
        <w:pStyle w:val="BodyText"/>
      </w:pPr>
      <w:r w:rsidRPr="00DC3C7A">
        <w:t>This proposal would be expected to decrease the fiscal and underlying cash balances by $75.0 million over the 2016-17 Budget forward estimates period.  This impact reflects an increase in administered expenses of $73.2 million and in departmental expenses of $1.8 million.</w:t>
      </w:r>
    </w:p>
    <w:p w:rsidR="000B5C96" w:rsidRPr="00DC3C7A" w:rsidRDefault="000B5C96" w:rsidP="003F606A">
      <w:pPr>
        <w:pStyle w:val="BodyText"/>
      </w:pPr>
      <w:r w:rsidRPr="00DC3C7A">
        <w:t>The proposal would continue to have an impact in 2020-21 when the policy would terminate.  A breakdown of the financial implications over the period 2016</w:t>
      </w:r>
      <w:r w:rsidRPr="00DC3C7A">
        <w:noBreakHyphen/>
        <w:t xml:space="preserve">17 to 2020-21 is provided at </w:t>
      </w:r>
      <w:r w:rsidRPr="00DC3C7A">
        <w:rPr>
          <w:u w:val="single"/>
        </w:rPr>
        <w:t>Attachment A</w:t>
      </w:r>
      <w:r w:rsidRPr="00DC3C7A">
        <w:t>.</w:t>
      </w:r>
    </w:p>
    <w:p w:rsidR="000B5C96" w:rsidRPr="00DC3C7A" w:rsidRDefault="000B5C96" w:rsidP="003F606A">
      <w:pPr>
        <w:pStyle w:val="BodyText"/>
      </w:pPr>
      <w:r w:rsidRPr="00DC3C7A">
        <w:t>The costing is considered to be of high reliability as it is based on specified capped amounts and the application of administrative expenses based on similar programs.</w:t>
      </w:r>
    </w:p>
    <w:p w:rsidR="000B5C96" w:rsidRPr="00DC3C7A" w:rsidRDefault="000B5C96" w:rsidP="003F606A">
      <w:pPr>
        <w:pStyle w:val="Caption"/>
      </w:pPr>
      <w:r w:rsidRPr="00DC3C7A">
        <w:t>Table 1: Financial implications (outturn prices)</w:t>
      </w:r>
      <w:r w:rsidRPr="00DC3C7A">
        <w:rPr>
          <w:vertAlign w:val="superscript"/>
        </w:rPr>
        <w:t>(a)</w:t>
      </w:r>
    </w:p>
    <w:tbl>
      <w:tblPr>
        <w:tblStyle w:val="TableGrid26"/>
        <w:tblW w:w="4993" w:type="pct"/>
        <w:tblLook w:val="04A0" w:firstRow="1" w:lastRow="0" w:firstColumn="1" w:lastColumn="0" w:noHBand="0" w:noVBand="1"/>
      </w:tblPr>
      <w:tblGrid>
        <w:gridCol w:w="2645"/>
        <w:gridCol w:w="1134"/>
        <w:gridCol w:w="1133"/>
        <w:gridCol w:w="1133"/>
        <w:gridCol w:w="1133"/>
        <w:gridCol w:w="1132"/>
      </w:tblGrid>
      <w:tr w:rsidR="000B5C96" w:rsidRPr="00DC3C7A"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DC3C7A" w:rsidRDefault="000B5C96" w:rsidP="003F606A">
            <w:pPr>
              <w:keepNext/>
              <w:keepLines/>
              <w:spacing w:line="240" w:lineRule="auto"/>
              <w:ind w:left="57" w:right="57"/>
              <w:rPr>
                <w:szCs w:val="20"/>
              </w:rPr>
            </w:pPr>
            <w:r w:rsidRPr="00DC3C7A">
              <w:rPr>
                <w:szCs w:val="20"/>
              </w:rPr>
              <w:t>Impact on ($m)</w:t>
            </w:r>
          </w:p>
        </w:tc>
        <w:tc>
          <w:tcPr>
            <w:tcW w:w="682" w:type="pct"/>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C3C7A">
              <w:rPr>
                <w:szCs w:val="20"/>
              </w:rPr>
              <w:t>2016–17</w:t>
            </w:r>
          </w:p>
        </w:tc>
        <w:tc>
          <w:tcPr>
            <w:tcW w:w="682" w:type="pct"/>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C3C7A">
              <w:rPr>
                <w:szCs w:val="20"/>
              </w:rPr>
              <w:t>2017–18</w:t>
            </w:r>
          </w:p>
        </w:tc>
        <w:tc>
          <w:tcPr>
            <w:tcW w:w="682" w:type="pct"/>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C3C7A">
              <w:rPr>
                <w:szCs w:val="20"/>
              </w:rPr>
              <w:t>2018–19</w:t>
            </w:r>
          </w:p>
        </w:tc>
        <w:tc>
          <w:tcPr>
            <w:tcW w:w="682" w:type="pct"/>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C3C7A">
              <w:rPr>
                <w:szCs w:val="20"/>
              </w:rPr>
              <w:t>2019–20</w:t>
            </w:r>
          </w:p>
        </w:tc>
        <w:tc>
          <w:tcPr>
            <w:tcW w:w="681" w:type="pct"/>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C3C7A">
              <w:rPr>
                <w:szCs w:val="20"/>
              </w:rPr>
              <w:t>Total</w:t>
            </w:r>
          </w:p>
        </w:tc>
      </w:tr>
      <w:tr w:rsidR="000B5C96" w:rsidRPr="00DC3C7A"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DC3C7A" w:rsidRDefault="000B5C96" w:rsidP="003F606A">
            <w:pPr>
              <w:keepNext/>
              <w:keepLines/>
              <w:ind w:left="57" w:right="57"/>
              <w:rPr>
                <w:szCs w:val="20"/>
              </w:rPr>
            </w:pPr>
            <w:r w:rsidRPr="00DC3C7A">
              <w:rPr>
                <w:szCs w:val="20"/>
              </w:rPr>
              <w:t>Fiscal balance</w:t>
            </w:r>
          </w:p>
        </w:tc>
        <w:tc>
          <w:tcPr>
            <w:tcW w:w="682" w:type="pct"/>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DC3C7A">
              <w:rPr>
                <w:rFonts w:ascii="Calibri" w:hAnsi="Calibri"/>
                <w:color w:val="000000"/>
                <w:szCs w:val="20"/>
              </w:rPr>
              <w:t>-</w:t>
            </w:r>
          </w:p>
        </w:tc>
        <w:tc>
          <w:tcPr>
            <w:tcW w:w="682" w:type="pct"/>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DC3C7A">
              <w:rPr>
                <w:rFonts w:ascii="Calibri" w:hAnsi="Calibri"/>
                <w:color w:val="000000"/>
                <w:szCs w:val="20"/>
              </w:rPr>
              <w:t>-25.0</w:t>
            </w:r>
          </w:p>
        </w:tc>
        <w:tc>
          <w:tcPr>
            <w:tcW w:w="682" w:type="pct"/>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DC3C7A">
              <w:rPr>
                <w:rFonts w:ascii="Calibri" w:hAnsi="Calibri"/>
                <w:color w:val="000000"/>
                <w:szCs w:val="20"/>
              </w:rPr>
              <w:t>-25.0</w:t>
            </w:r>
          </w:p>
        </w:tc>
        <w:tc>
          <w:tcPr>
            <w:tcW w:w="682" w:type="pct"/>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DC3C7A">
              <w:rPr>
                <w:rFonts w:ascii="Calibri" w:hAnsi="Calibri"/>
                <w:color w:val="000000"/>
                <w:szCs w:val="20"/>
              </w:rPr>
              <w:t>-25.0</w:t>
            </w:r>
          </w:p>
        </w:tc>
        <w:tc>
          <w:tcPr>
            <w:tcW w:w="681" w:type="pct"/>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Cs w:val="20"/>
              </w:rPr>
            </w:pPr>
            <w:r w:rsidRPr="00DC3C7A">
              <w:rPr>
                <w:rFonts w:ascii="Calibri" w:hAnsi="Calibri"/>
                <w:b/>
                <w:color w:val="000000"/>
                <w:szCs w:val="20"/>
              </w:rPr>
              <w:t>-75.0</w:t>
            </w:r>
          </w:p>
        </w:tc>
      </w:tr>
      <w:tr w:rsidR="000B5C96" w:rsidRPr="00DC3C7A"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DC3C7A" w:rsidRDefault="000B5C96" w:rsidP="003F606A">
            <w:pPr>
              <w:keepNext/>
              <w:keepLines/>
              <w:ind w:left="57" w:right="57"/>
              <w:rPr>
                <w:szCs w:val="20"/>
              </w:rPr>
            </w:pPr>
            <w:r w:rsidRPr="00DC3C7A">
              <w:rPr>
                <w:szCs w:val="20"/>
              </w:rPr>
              <w:t>Underlying cash balance</w:t>
            </w:r>
          </w:p>
        </w:tc>
        <w:tc>
          <w:tcPr>
            <w:tcW w:w="682" w:type="pct"/>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DC3C7A">
              <w:rPr>
                <w:rFonts w:ascii="Calibri" w:hAnsi="Calibri"/>
                <w:color w:val="000000"/>
                <w:szCs w:val="20"/>
              </w:rPr>
              <w:t>-</w:t>
            </w:r>
          </w:p>
        </w:tc>
        <w:tc>
          <w:tcPr>
            <w:tcW w:w="682" w:type="pct"/>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DC3C7A">
              <w:rPr>
                <w:rFonts w:ascii="Calibri" w:hAnsi="Calibri"/>
                <w:color w:val="000000"/>
                <w:szCs w:val="20"/>
              </w:rPr>
              <w:t>-25.0</w:t>
            </w:r>
          </w:p>
        </w:tc>
        <w:tc>
          <w:tcPr>
            <w:tcW w:w="682" w:type="pct"/>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DC3C7A">
              <w:rPr>
                <w:rFonts w:ascii="Calibri" w:hAnsi="Calibri"/>
                <w:color w:val="000000"/>
                <w:szCs w:val="20"/>
              </w:rPr>
              <w:t>-25.0</w:t>
            </w:r>
          </w:p>
        </w:tc>
        <w:tc>
          <w:tcPr>
            <w:tcW w:w="682" w:type="pct"/>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DC3C7A">
              <w:rPr>
                <w:rFonts w:ascii="Calibri" w:hAnsi="Calibri"/>
                <w:color w:val="000000"/>
                <w:szCs w:val="20"/>
              </w:rPr>
              <w:t>-25.0</w:t>
            </w:r>
          </w:p>
        </w:tc>
        <w:tc>
          <w:tcPr>
            <w:tcW w:w="681" w:type="pct"/>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DC3C7A">
              <w:rPr>
                <w:rFonts w:ascii="Calibri" w:hAnsi="Calibri"/>
                <w:b/>
                <w:color w:val="000000"/>
                <w:szCs w:val="20"/>
              </w:rPr>
              <w:t>-75.0</w:t>
            </w:r>
          </w:p>
        </w:tc>
      </w:tr>
    </w:tbl>
    <w:p w:rsidR="000B5C96" w:rsidRPr="00DC3C7A" w:rsidRDefault="000B5C96" w:rsidP="00FB5DF8">
      <w:pPr>
        <w:pStyle w:val="Footnotes"/>
        <w:numPr>
          <w:ilvl w:val="0"/>
          <w:numId w:val="218"/>
        </w:numPr>
        <w:ind w:left="284" w:hanging="284"/>
      </w:pPr>
      <w:r w:rsidRPr="00DC3C7A">
        <w:t>A positive number indicates an increase in the relevant budget balance, a negative number a decrease.</w:t>
      </w:r>
    </w:p>
    <w:p w:rsidR="000B5C96" w:rsidRPr="00DC3C7A" w:rsidRDefault="000B5C96" w:rsidP="000B5C96">
      <w:pPr>
        <w:pStyle w:val="Footnotes"/>
        <w:numPr>
          <w:ilvl w:val="0"/>
          <w:numId w:val="114"/>
        </w:numPr>
        <w:ind w:left="284" w:hanging="284"/>
      </w:pPr>
      <w:r w:rsidRPr="00DC3C7A">
        <w:t>Indicates nil.</w:t>
      </w:r>
    </w:p>
    <w:p w:rsidR="000B5C96" w:rsidRPr="00DC3C7A" w:rsidRDefault="000B5C96" w:rsidP="003F606A">
      <w:pPr>
        <w:pStyle w:val="CostingsH7"/>
        <w:rPr>
          <w:rFonts w:eastAsia="Calibri"/>
        </w:rPr>
      </w:pPr>
      <w:r w:rsidRPr="00DC3C7A">
        <w:rPr>
          <w:rFonts w:eastAsia="Calibri"/>
        </w:rPr>
        <w:t>Methodology</w:t>
      </w:r>
    </w:p>
    <w:p w:rsidR="000B5C96" w:rsidRPr="00DC3C7A" w:rsidRDefault="000B5C96" w:rsidP="003F606A">
      <w:pPr>
        <w:pStyle w:val="BodyText"/>
      </w:pPr>
      <w:r w:rsidRPr="00DC3C7A">
        <w:t>Departmental expenditure estimates are accommodated within the capped funding amounts as specified in the request.  These estimates are based on like programs and the estimates account for the net effect of indexation parameters and the efficiency dividend, in accordance with the Department of Finance’s costing practices.</w:t>
      </w:r>
    </w:p>
    <w:p w:rsidR="000B5C96" w:rsidRPr="00DC3C7A" w:rsidRDefault="000B5C96" w:rsidP="003F606A">
      <w:pPr>
        <w:pStyle w:val="BodyText"/>
      </w:pPr>
      <w:r w:rsidRPr="00DC3C7A">
        <w:t>Administered expenditure estimates are the remainder of the capped funding amounts after allowing for estimated departmental expenditure.</w:t>
      </w:r>
    </w:p>
    <w:p w:rsidR="000B5C96" w:rsidRPr="00DC3C7A" w:rsidRDefault="000B5C96" w:rsidP="003F606A">
      <w:pPr>
        <w:pStyle w:val="CostingsH7"/>
        <w:rPr>
          <w:rFonts w:eastAsia="Calibri"/>
        </w:rPr>
      </w:pPr>
      <w:r w:rsidRPr="00DC3C7A">
        <w:rPr>
          <w:rFonts w:eastAsia="Calibri"/>
        </w:rPr>
        <w:t>Data source</w:t>
      </w:r>
    </w:p>
    <w:p w:rsidR="000B5C96" w:rsidRPr="00DC3C7A" w:rsidRDefault="000B5C96" w:rsidP="003F606A">
      <w:pPr>
        <w:pStyle w:val="BodyText"/>
        <w:rPr>
          <w:highlight w:val="yellow"/>
        </w:rPr>
        <w:sectPr w:rsidR="000B5C96" w:rsidRPr="00DC3C7A" w:rsidSect="003F606A">
          <w:headerReference w:type="even" r:id="rId474"/>
          <w:headerReference w:type="default" r:id="rId475"/>
          <w:footerReference w:type="even" r:id="rId476"/>
          <w:footerReference w:type="default" r:id="rId477"/>
          <w:headerReference w:type="first" r:id="rId478"/>
          <w:footerReference w:type="first" r:id="rId479"/>
          <w:pgSz w:w="11906" w:h="16838"/>
          <w:pgMar w:top="1361" w:right="1797" w:bottom="1474" w:left="1797" w:header="283" w:footer="454" w:gutter="0"/>
          <w:cols w:space="708"/>
          <w:docGrid w:linePitch="360"/>
        </w:sectPr>
      </w:pPr>
      <w:r w:rsidRPr="00DC3C7A">
        <w:t>The Department of Finance provided indexation and efficiency dividend parameters.</w:t>
      </w:r>
    </w:p>
    <w:p w:rsidR="000B5C96" w:rsidRPr="00DC3C7A" w:rsidRDefault="000B5C96" w:rsidP="000B5C96">
      <w:pPr>
        <w:pStyle w:val="Heading6"/>
        <w:numPr>
          <w:ilvl w:val="0"/>
          <w:numId w:val="5"/>
        </w:numPr>
        <w:tabs>
          <w:tab w:val="clear" w:pos="0"/>
          <w:tab w:val="num" w:pos="360"/>
          <w:tab w:val="right" w:pos="1418"/>
          <w:tab w:val="right" w:pos="1701"/>
          <w:tab w:val="right" w:pos="1985"/>
        </w:tabs>
      </w:pPr>
      <w:r w:rsidRPr="00DC3C7A">
        <w:t>Attachment A: Seizing the Tourism Boom —financial implications</w:t>
      </w:r>
    </w:p>
    <w:p w:rsidR="000B5C96" w:rsidRPr="00DC3C7A" w:rsidRDefault="000B5C96" w:rsidP="003F606A">
      <w:pPr>
        <w:pStyle w:val="Caption"/>
      </w:pPr>
      <w:r w:rsidRPr="00DC3C7A">
        <w:t>Table A1: Financial implications (outturn prices)</w:t>
      </w:r>
      <w:r w:rsidRPr="00DC3C7A">
        <w:rPr>
          <w:vertAlign w:val="superscript"/>
        </w:rPr>
        <w:t>(a)(b)</w:t>
      </w:r>
    </w:p>
    <w:tbl>
      <w:tblPr>
        <w:tblStyle w:val="TableGrid26"/>
        <w:tblW w:w="5113"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032"/>
        <w:gridCol w:w="925"/>
        <w:gridCol w:w="926"/>
        <w:gridCol w:w="925"/>
        <w:gridCol w:w="926"/>
        <w:gridCol w:w="925"/>
        <w:gridCol w:w="926"/>
        <w:gridCol w:w="926"/>
      </w:tblGrid>
      <w:tr w:rsidR="000B5C96" w:rsidRPr="00DC3C7A"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031" w:type="dxa"/>
            <w:tcBorders>
              <w:top w:val="single" w:sz="4" w:space="0" w:color="788184"/>
              <w:left w:val="single" w:sz="4" w:space="0" w:color="788184"/>
              <w:bottom w:val="single" w:sz="4" w:space="0" w:color="788184"/>
              <w:right w:val="single" w:sz="4" w:space="0" w:color="788184"/>
            </w:tcBorders>
            <w:vAlign w:val="center"/>
          </w:tcPr>
          <w:p w:rsidR="000B5C96" w:rsidRPr="00DC3C7A" w:rsidRDefault="000B5C96" w:rsidP="003F606A">
            <w:pPr>
              <w:keepNext/>
              <w:keepLines/>
              <w:spacing w:line="240" w:lineRule="auto"/>
              <w:ind w:left="57" w:right="57"/>
              <w:rPr>
                <w:szCs w:val="20"/>
              </w:rPr>
            </w:pPr>
            <w:r w:rsidRPr="00DC3C7A">
              <w:rPr>
                <w:szCs w:val="20"/>
              </w:rPr>
              <w:t>($m)</w:t>
            </w:r>
          </w:p>
        </w:tc>
        <w:tc>
          <w:tcPr>
            <w:tcW w:w="925" w:type="dxa"/>
            <w:tcBorders>
              <w:top w:val="single" w:sz="4" w:space="0" w:color="788184"/>
              <w:left w:val="single" w:sz="4" w:space="0" w:color="788184"/>
              <w:bottom w:val="single" w:sz="4" w:space="0" w:color="788184"/>
              <w:right w:val="single" w:sz="4" w:space="0" w:color="788184"/>
            </w:tcBorders>
            <w:vAlign w:val="center"/>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C3C7A">
              <w:t>2016–17</w:t>
            </w:r>
          </w:p>
        </w:tc>
        <w:tc>
          <w:tcPr>
            <w:tcW w:w="926" w:type="dxa"/>
            <w:tcBorders>
              <w:top w:val="single" w:sz="4" w:space="0" w:color="788184"/>
              <w:left w:val="single" w:sz="4" w:space="0" w:color="788184"/>
              <w:bottom w:val="single" w:sz="4" w:space="0" w:color="788184"/>
              <w:right w:val="single" w:sz="4" w:space="0" w:color="788184"/>
            </w:tcBorders>
            <w:vAlign w:val="center"/>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C3C7A">
              <w:t>2017–18</w:t>
            </w:r>
          </w:p>
        </w:tc>
        <w:tc>
          <w:tcPr>
            <w:tcW w:w="925" w:type="dxa"/>
            <w:tcBorders>
              <w:top w:val="single" w:sz="4" w:space="0" w:color="788184"/>
              <w:left w:val="single" w:sz="4" w:space="0" w:color="788184"/>
              <w:bottom w:val="single" w:sz="4" w:space="0" w:color="788184"/>
              <w:right w:val="single" w:sz="4" w:space="0" w:color="788184"/>
            </w:tcBorders>
            <w:vAlign w:val="center"/>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C3C7A">
              <w:t>2018–19</w:t>
            </w:r>
          </w:p>
        </w:tc>
        <w:tc>
          <w:tcPr>
            <w:tcW w:w="926" w:type="dxa"/>
            <w:tcBorders>
              <w:top w:val="single" w:sz="4" w:space="0" w:color="788184"/>
              <w:left w:val="single" w:sz="4" w:space="0" w:color="788184"/>
              <w:bottom w:val="single" w:sz="4" w:space="0" w:color="788184"/>
              <w:right w:val="single" w:sz="4" w:space="0" w:color="788184"/>
            </w:tcBorders>
            <w:vAlign w:val="center"/>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C3C7A">
              <w:t>2019–20</w:t>
            </w:r>
          </w:p>
        </w:tc>
        <w:tc>
          <w:tcPr>
            <w:tcW w:w="925" w:type="dxa"/>
            <w:tcBorders>
              <w:top w:val="single" w:sz="4" w:space="0" w:color="788184"/>
              <w:left w:val="single" w:sz="4" w:space="0" w:color="788184"/>
              <w:bottom w:val="single" w:sz="4" w:space="0" w:color="788184"/>
              <w:right w:val="single" w:sz="4" w:space="0" w:color="788184"/>
            </w:tcBorders>
            <w:vAlign w:val="center"/>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vertAlign w:val="superscript"/>
              </w:rPr>
            </w:pPr>
            <w:r w:rsidRPr="00DC3C7A">
              <w:t>Total to 2019–20</w:t>
            </w:r>
          </w:p>
        </w:tc>
        <w:tc>
          <w:tcPr>
            <w:tcW w:w="926" w:type="dxa"/>
            <w:tcBorders>
              <w:top w:val="single" w:sz="4" w:space="0" w:color="788184"/>
              <w:left w:val="single" w:sz="4" w:space="0" w:color="788184"/>
              <w:bottom w:val="single" w:sz="4" w:space="0" w:color="788184"/>
              <w:right w:val="single" w:sz="4" w:space="0" w:color="788184"/>
            </w:tcBorders>
            <w:vAlign w:val="center"/>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DC3C7A">
              <w:t>2020–21</w:t>
            </w:r>
          </w:p>
        </w:tc>
        <w:tc>
          <w:tcPr>
            <w:tcW w:w="926" w:type="dxa"/>
            <w:tcBorders>
              <w:top w:val="single" w:sz="4" w:space="0" w:color="788184"/>
              <w:left w:val="single" w:sz="4" w:space="0" w:color="788184"/>
              <w:bottom w:val="single" w:sz="4" w:space="0" w:color="788184"/>
              <w:right w:val="single" w:sz="4" w:space="0" w:color="788184"/>
            </w:tcBorders>
            <w:vAlign w:val="center"/>
          </w:tcPr>
          <w:p w:rsidR="000B5C96" w:rsidRPr="00DC3C7A"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vertAlign w:val="superscript"/>
              </w:rPr>
            </w:pPr>
            <w:r w:rsidRPr="00DC3C7A">
              <w:t>Total to 2020–21</w:t>
            </w:r>
          </w:p>
        </w:tc>
      </w:tr>
      <w:tr w:rsidR="000B5C96" w:rsidRPr="00DC3C7A" w:rsidTr="003F606A">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8510" w:type="dxa"/>
            <w:gridSpan w:val="8"/>
            <w:tcBorders>
              <w:top w:val="single" w:sz="4" w:space="0" w:color="788184"/>
              <w:left w:val="single" w:sz="4" w:space="0" w:color="788184"/>
              <w:bottom w:val="single" w:sz="4" w:space="0" w:color="788184"/>
              <w:right w:val="single" w:sz="4" w:space="0" w:color="788184"/>
            </w:tcBorders>
            <w:shd w:val="clear" w:color="auto" w:fill="D7DDE9"/>
          </w:tcPr>
          <w:p w:rsidR="000B5C96" w:rsidRPr="00DC3C7A" w:rsidRDefault="000B5C96" w:rsidP="003F606A">
            <w:pPr>
              <w:keepNext/>
              <w:keepLines/>
              <w:ind w:left="57" w:right="57"/>
              <w:rPr>
                <w:b/>
                <w:szCs w:val="20"/>
              </w:rPr>
            </w:pPr>
            <w:r w:rsidRPr="00DC3C7A">
              <w:rPr>
                <w:b/>
                <w:szCs w:val="20"/>
              </w:rPr>
              <w:t>Impact on fiscal and underlying cash balances</w:t>
            </w:r>
          </w:p>
        </w:tc>
      </w:tr>
      <w:tr w:rsidR="000B5C96" w:rsidRPr="00DC3C7A" w:rsidTr="003F606A">
        <w:trPr>
          <w:cantSplit/>
          <w:trHeight w:val="170"/>
        </w:trPr>
        <w:tc>
          <w:tcPr>
            <w:cnfStyle w:val="001000000000" w:firstRow="0" w:lastRow="0" w:firstColumn="1" w:lastColumn="0" w:oddVBand="0" w:evenVBand="0" w:oddHBand="0" w:evenHBand="0" w:firstRowFirstColumn="0" w:firstRowLastColumn="0" w:lastRowFirstColumn="0" w:lastRowLastColumn="0"/>
            <w:tcW w:w="8510" w:type="dxa"/>
            <w:gridSpan w:val="8"/>
            <w:tcBorders>
              <w:top w:val="single" w:sz="4" w:space="0" w:color="788184"/>
              <w:left w:val="single" w:sz="4" w:space="0" w:color="788184"/>
              <w:bottom w:val="single" w:sz="4" w:space="0" w:color="788184"/>
              <w:right w:val="single" w:sz="4" w:space="0" w:color="788184"/>
            </w:tcBorders>
            <w:shd w:val="clear" w:color="auto" w:fill="E9ECF3"/>
          </w:tcPr>
          <w:p w:rsidR="000B5C96" w:rsidRPr="00DC3C7A" w:rsidRDefault="000B5C96" w:rsidP="003F606A">
            <w:pPr>
              <w:ind w:left="57" w:right="57"/>
              <w:rPr>
                <w:b/>
                <w:i/>
                <w:iCs/>
                <w:color w:val="000000"/>
                <w:szCs w:val="20"/>
              </w:rPr>
            </w:pPr>
            <w:r w:rsidRPr="00DC3C7A">
              <w:rPr>
                <w:szCs w:val="20"/>
              </w:rPr>
              <w:t>Component 1 - grant fund for regional tourism infrastructure funding</w:t>
            </w:r>
          </w:p>
        </w:tc>
      </w:tr>
      <w:tr w:rsidR="000B5C96" w:rsidRPr="00DC3C7A" w:rsidTr="003F606A">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788184"/>
              <w:left w:val="single" w:sz="4" w:space="0" w:color="788184"/>
              <w:bottom w:val="single" w:sz="4" w:space="0" w:color="788184"/>
              <w:right w:val="single" w:sz="4" w:space="0" w:color="788184"/>
            </w:tcBorders>
          </w:tcPr>
          <w:p w:rsidR="000B5C96" w:rsidRPr="00DC3C7A" w:rsidRDefault="000B5C96" w:rsidP="003F606A">
            <w:pPr>
              <w:ind w:left="57" w:right="57"/>
              <w:rPr>
                <w:szCs w:val="20"/>
              </w:rPr>
            </w:pPr>
            <w:r w:rsidRPr="00DC3C7A">
              <w:rPr>
                <w:szCs w:val="20"/>
              </w:rPr>
              <w:t>Administered</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 xml:space="preserve"> -</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 xml:space="preserve">-14.4 </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-14.4</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-14.4</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iCs/>
                <w:color w:val="000000"/>
                <w:szCs w:val="20"/>
              </w:rPr>
            </w:pPr>
            <w:r w:rsidRPr="00DC3C7A">
              <w:rPr>
                <w:rFonts w:ascii="Calibri" w:hAnsi="Calibri"/>
                <w:b/>
                <w:i/>
                <w:iCs/>
                <w:color w:val="000000"/>
                <w:szCs w:val="20"/>
              </w:rPr>
              <w:t xml:space="preserve">-43.2 </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-14.4</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iCs/>
                <w:color w:val="000000"/>
                <w:szCs w:val="20"/>
              </w:rPr>
            </w:pPr>
            <w:r w:rsidRPr="00DC3C7A">
              <w:rPr>
                <w:rFonts w:ascii="Calibri" w:hAnsi="Calibri"/>
                <w:b/>
                <w:i/>
                <w:iCs/>
                <w:color w:val="000000"/>
                <w:szCs w:val="20"/>
              </w:rPr>
              <w:t xml:space="preserve">-57.6 </w:t>
            </w:r>
          </w:p>
        </w:tc>
      </w:tr>
      <w:tr w:rsidR="000B5C96" w:rsidRPr="00DC3C7A" w:rsidTr="003F606A">
        <w:trPr>
          <w:cantSplit/>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788184"/>
              <w:left w:val="single" w:sz="4" w:space="0" w:color="788184"/>
              <w:bottom w:val="single" w:sz="4" w:space="0" w:color="788184"/>
              <w:right w:val="single" w:sz="4" w:space="0" w:color="788184"/>
            </w:tcBorders>
          </w:tcPr>
          <w:p w:rsidR="000B5C96" w:rsidRPr="00DC3C7A" w:rsidRDefault="000B5C96" w:rsidP="003F606A">
            <w:pPr>
              <w:ind w:left="57" w:right="57"/>
              <w:rPr>
                <w:szCs w:val="20"/>
              </w:rPr>
            </w:pPr>
            <w:r w:rsidRPr="00DC3C7A">
              <w:rPr>
                <w:szCs w:val="20"/>
              </w:rPr>
              <w:t>Departmental</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 xml:space="preserve"> -</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 xml:space="preserve">-0.6 </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-0.6</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-0.6</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DC3C7A">
              <w:rPr>
                <w:rFonts w:ascii="Calibri" w:hAnsi="Calibri"/>
                <w:b/>
                <w:i/>
                <w:iCs/>
                <w:color w:val="000000"/>
                <w:szCs w:val="20"/>
              </w:rPr>
              <w:t xml:space="preserve">-1.8 </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-0.6</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DC3C7A">
              <w:rPr>
                <w:rFonts w:ascii="Calibri" w:hAnsi="Calibri"/>
                <w:b/>
                <w:i/>
                <w:iCs/>
                <w:color w:val="000000"/>
                <w:szCs w:val="20"/>
              </w:rPr>
              <w:t xml:space="preserve">-2.4 </w:t>
            </w:r>
          </w:p>
        </w:tc>
      </w:tr>
      <w:tr w:rsidR="000B5C96" w:rsidRPr="00DC3C7A"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788184"/>
              <w:left w:val="single" w:sz="4" w:space="0" w:color="788184"/>
              <w:bottom w:val="single" w:sz="4" w:space="0" w:color="788184"/>
              <w:right w:val="single" w:sz="4" w:space="0" w:color="788184"/>
            </w:tcBorders>
            <w:shd w:val="clear" w:color="auto" w:fill="E9ECF3"/>
          </w:tcPr>
          <w:p w:rsidR="000B5C96" w:rsidRPr="00DC3C7A" w:rsidRDefault="000B5C96" w:rsidP="003F606A">
            <w:pPr>
              <w:ind w:left="57" w:right="57"/>
              <w:rPr>
                <w:b/>
                <w:szCs w:val="20"/>
              </w:rPr>
            </w:pPr>
            <w:r w:rsidRPr="00DC3C7A">
              <w:rPr>
                <w:b/>
                <w:szCs w:val="20"/>
              </w:rPr>
              <w:t>Total Component 1</w:t>
            </w:r>
          </w:p>
        </w:tc>
        <w:tc>
          <w:tcPr>
            <w:tcW w:w="925"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Cs/>
                <w:color w:val="000000"/>
                <w:szCs w:val="20"/>
              </w:rPr>
            </w:pPr>
          </w:p>
        </w:tc>
        <w:tc>
          <w:tcPr>
            <w:tcW w:w="926"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Cs/>
                <w:color w:val="000000"/>
                <w:szCs w:val="20"/>
              </w:rPr>
            </w:pPr>
            <w:r w:rsidRPr="00DC3C7A">
              <w:rPr>
                <w:rFonts w:ascii="Calibri" w:hAnsi="Calibri"/>
                <w:iCs/>
                <w:color w:val="000000"/>
                <w:szCs w:val="20"/>
              </w:rPr>
              <w:t>-15.0</w:t>
            </w:r>
          </w:p>
        </w:tc>
        <w:tc>
          <w:tcPr>
            <w:tcW w:w="925"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Cs/>
                <w:color w:val="000000"/>
                <w:szCs w:val="20"/>
              </w:rPr>
            </w:pPr>
            <w:r w:rsidRPr="00DC3C7A">
              <w:rPr>
                <w:rFonts w:ascii="Calibri" w:hAnsi="Calibri"/>
                <w:iCs/>
                <w:color w:val="000000"/>
                <w:szCs w:val="20"/>
              </w:rPr>
              <w:t>-15.0</w:t>
            </w:r>
          </w:p>
        </w:tc>
        <w:tc>
          <w:tcPr>
            <w:tcW w:w="926"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Cs/>
                <w:color w:val="000000"/>
                <w:szCs w:val="20"/>
              </w:rPr>
            </w:pPr>
            <w:r w:rsidRPr="00DC3C7A">
              <w:rPr>
                <w:rFonts w:ascii="Calibri" w:hAnsi="Calibri"/>
                <w:iCs/>
                <w:color w:val="000000"/>
                <w:szCs w:val="20"/>
              </w:rPr>
              <w:t>-15.0</w:t>
            </w:r>
          </w:p>
        </w:tc>
        <w:tc>
          <w:tcPr>
            <w:tcW w:w="925"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Cs/>
                <w:color w:val="000000"/>
                <w:szCs w:val="20"/>
              </w:rPr>
            </w:pPr>
            <w:r w:rsidRPr="00DC3C7A">
              <w:rPr>
                <w:rFonts w:ascii="Calibri" w:hAnsi="Calibri"/>
                <w:b/>
                <w:iCs/>
                <w:color w:val="000000"/>
                <w:szCs w:val="20"/>
              </w:rPr>
              <w:t>-45.0</w:t>
            </w:r>
          </w:p>
        </w:tc>
        <w:tc>
          <w:tcPr>
            <w:tcW w:w="926"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Cs/>
                <w:color w:val="000000"/>
                <w:szCs w:val="20"/>
              </w:rPr>
            </w:pPr>
            <w:r w:rsidRPr="00DC3C7A">
              <w:rPr>
                <w:rFonts w:ascii="Calibri" w:hAnsi="Calibri"/>
                <w:iCs/>
                <w:color w:val="000000"/>
                <w:szCs w:val="20"/>
              </w:rPr>
              <w:t>-15.0</w:t>
            </w:r>
          </w:p>
        </w:tc>
        <w:tc>
          <w:tcPr>
            <w:tcW w:w="926"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Cs/>
                <w:color w:val="000000"/>
                <w:szCs w:val="20"/>
              </w:rPr>
            </w:pPr>
            <w:r w:rsidRPr="00DC3C7A">
              <w:rPr>
                <w:rFonts w:ascii="Calibri" w:hAnsi="Calibri"/>
                <w:b/>
                <w:iCs/>
                <w:color w:val="000000"/>
                <w:szCs w:val="20"/>
              </w:rPr>
              <w:t>-60.0</w:t>
            </w:r>
          </w:p>
        </w:tc>
      </w:tr>
      <w:tr w:rsidR="000B5C96" w:rsidRPr="00DC3C7A" w:rsidTr="003F606A">
        <w:trPr>
          <w:cantSplit/>
          <w:trHeight w:val="170"/>
        </w:trPr>
        <w:tc>
          <w:tcPr>
            <w:cnfStyle w:val="001000000000" w:firstRow="0" w:lastRow="0" w:firstColumn="1" w:lastColumn="0" w:oddVBand="0" w:evenVBand="0" w:oddHBand="0" w:evenHBand="0" w:firstRowFirstColumn="0" w:firstRowLastColumn="0" w:lastRowFirstColumn="0" w:lastRowLastColumn="0"/>
            <w:tcW w:w="8510" w:type="dxa"/>
            <w:gridSpan w:val="8"/>
            <w:tcBorders>
              <w:top w:val="single" w:sz="4" w:space="0" w:color="788184"/>
              <w:left w:val="single" w:sz="4" w:space="0" w:color="788184"/>
              <w:bottom w:val="single" w:sz="4" w:space="0" w:color="788184"/>
              <w:right w:val="single" w:sz="4" w:space="0" w:color="788184"/>
            </w:tcBorders>
            <w:shd w:val="clear" w:color="auto" w:fill="E9ECF3"/>
          </w:tcPr>
          <w:p w:rsidR="000B5C96" w:rsidRPr="00DC3C7A" w:rsidRDefault="000B5C96" w:rsidP="003F606A">
            <w:pPr>
              <w:ind w:left="57" w:right="57"/>
              <w:rPr>
                <w:b/>
                <w:iCs/>
                <w:color w:val="000000"/>
                <w:szCs w:val="20"/>
              </w:rPr>
            </w:pPr>
            <w:r w:rsidRPr="00DC3C7A">
              <w:rPr>
                <w:szCs w:val="20"/>
              </w:rPr>
              <w:t>Component 2 - increase funding to Tourism Australia</w:t>
            </w:r>
          </w:p>
        </w:tc>
      </w:tr>
      <w:tr w:rsidR="000B5C96" w:rsidRPr="00DC3C7A" w:rsidTr="003F606A">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788184"/>
              <w:left w:val="single" w:sz="4" w:space="0" w:color="788184"/>
              <w:bottom w:val="single" w:sz="4" w:space="0" w:color="788184"/>
              <w:right w:val="single" w:sz="4" w:space="0" w:color="788184"/>
            </w:tcBorders>
          </w:tcPr>
          <w:p w:rsidR="000B5C96" w:rsidRPr="00DC3C7A" w:rsidRDefault="000B5C96" w:rsidP="003F606A">
            <w:pPr>
              <w:ind w:left="57" w:right="57"/>
              <w:rPr>
                <w:szCs w:val="20"/>
              </w:rPr>
            </w:pPr>
            <w:r w:rsidRPr="00DC3C7A">
              <w:rPr>
                <w:szCs w:val="20"/>
              </w:rPr>
              <w:t>Administered</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-10.0</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-10.0</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-10.0</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iCs/>
                <w:color w:val="000000"/>
                <w:szCs w:val="20"/>
              </w:rPr>
            </w:pPr>
            <w:r w:rsidRPr="00DC3C7A">
              <w:rPr>
                <w:rFonts w:ascii="Calibri" w:hAnsi="Calibri"/>
                <w:b/>
                <w:i/>
                <w:iCs/>
                <w:color w:val="000000"/>
                <w:szCs w:val="20"/>
              </w:rPr>
              <w:t>-30.0</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-10.0</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iCs/>
                <w:color w:val="000000"/>
                <w:szCs w:val="20"/>
              </w:rPr>
            </w:pPr>
            <w:r w:rsidRPr="00DC3C7A">
              <w:rPr>
                <w:rFonts w:ascii="Calibri" w:hAnsi="Calibri"/>
                <w:b/>
                <w:i/>
                <w:iCs/>
                <w:color w:val="000000"/>
                <w:szCs w:val="20"/>
              </w:rPr>
              <w:t>-40.0</w:t>
            </w:r>
          </w:p>
        </w:tc>
      </w:tr>
      <w:tr w:rsidR="000B5C96" w:rsidRPr="00DC3C7A" w:rsidTr="003F606A">
        <w:trPr>
          <w:cantSplit/>
          <w:trHeight w:val="283"/>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788184"/>
              <w:left w:val="single" w:sz="4" w:space="0" w:color="788184"/>
              <w:bottom w:val="single" w:sz="4" w:space="0" w:color="788184"/>
              <w:right w:val="single" w:sz="4" w:space="0" w:color="788184"/>
            </w:tcBorders>
          </w:tcPr>
          <w:p w:rsidR="000B5C96" w:rsidRPr="00DC3C7A" w:rsidRDefault="000B5C96" w:rsidP="003F606A">
            <w:pPr>
              <w:ind w:left="57" w:right="57"/>
              <w:rPr>
                <w:szCs w:val="20"/>
              </w:rPr>
            </w:pPr>
            <w:r w:rsidRPr="00DC3C7A">
              <w:rPr>
                <w:szCs w:val="20"/>
              </w:rPr>
              <w:t>Departmental</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w:t>
            </w:r>
          </w:p>
        </w:tc>
        <w:tc>
          <w:tcPr>
            <w:tcW w:w="925"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DC3C7A">
              <w:rPr>
                <w:rFonts w:ascii="Calibri" w:hAnsi="Calibri"/>
                <w:b/>
                <w:i/>
                <w:iCs/>
                <w:color w:val="000000"/>
                <w:szCs w:val="20"/>
              </w:rPr>
              <w:t>-</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Cs w:val="20"/>
              </w:rPr>
            </w:pPr>
            <w:r w:rsidRPr="00DC3C7A">
              <w:rPr>
                <w:rFonts w:ascii="Calibri" w:hAnsi="Calibri"/>
                <w:i/>
                <w:iCs/>
                <w:color w:val="000000"/>
                <w:szCs w:val="20"/>
              </w:rPr>
              <w:t>-</w:t>
            </w:r>
          </w:p>
        </w:tc>
        <w:tc>
          <w:tcPr>
            <w:tcW w:w="926" w:type="dxa"/>
            <w:tcBorders>
              <w:top w:val="single" w:sz="4" w:space="0" w:color="788184"/>
              <w:left w:val="single" w:sz="4" w:space="0" w:color="788184"/>
              <w:bottom w:val="single" w:sz="4" w:space="0" w:color="788184"/>
              <w:right w:val="single" w:sz="4" w:space="0" w:color="788184"/>
            </w:tcBorders>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Cs w:val="20"/>
              </w:rPr>
            </w:pPr>
            <w:r w:rsidRPr="00DC3C7A">
              <w:rPr>
                <w:rFonts w:ascii="Calibri" w:hAnsi="Calibri"/>
                <w:b/>
                <w:i/>
                <w:iCs/>
                <w:color w:val="000000"/>
                <w:szCs w:val="20"/>
              </w:rPr>
              <w:t>-</w:t>
            </w:r>
          </w:p>
        </w:tc>
      </w:tr>
      <w:tr w:rsidR="000B5C96" w:rsidRPr="00DC3C7A" w:rsidTr="003F606A">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788184"/>
              <w:left w:val="single" w:sz="4" w:space="0" w:color="788184"/>
              <w:bottom w:val="single" w:sz="4" w:space="0" w:color="788184"/>
              <w:right w:val="single" w:sz="4" w:space="0" w:color="788184"/>
            </w:tcBorders>
            <w:shd w:val="clear" w:color="auto" w:fill="E9ECF3"/>
          </w:tcPr>
          <w:p w:rsidR="000B5C96" w:rsidRPr="00DC3C7A" w:rsidRDefault="000B5C96" w:rsidP="003F606A">
            <w:pPr>
              <w:ind w:left="57" w:right="57"/>
              <w:rPr>
                <w:b/>
                <w:szCs w:val="20"/>
              </w:rPr>
            </w:pPr>
            <w:r w:rsidRPr="00DC3C7A">
              <w:rPr>
                <w:b/>
                <w:szCs w:val="20"/>
              </w:rPr>
              <w:t>Total Component 2</w:t>
            </w:r>
          </w:p>
        </w:tc>
        <w:tc>
          <w:tcPr>
            <w:tcW w:w="925"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Cs/>
                <w:color w:val="000000"/>
                <w:szCs w:val="20"/>
              </w:rPr>
            </w:pPr>
          </w:p>
        </w:tc>
        <w:tc>
          <w:tcPr>
            <w:tcW w:w="926"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Cs/>
                <w:color w:val="000000"/>
                <w:szCs w:val="20"/>
              </w:rPr>
            </w:pPr>
            <w:r w:rsidRPr="00DC3C7A">
              <w:rPr>
                <w:rFonts w:ascii="Calibri" w:hAnsi="Calibri"/>
                <w:iCs/>
                <w:color w:val="000000"/>
                <w:szCs w:val="20"/>
              </w:rPr>
              <w:t>-10.0</w:t>
            </w:r>
          </w:p>
        </w:tc>
        <w:tc>
          <w:tcPr>
            <w:tcW w:w="925"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Cs/>
                <w:color w:val="000000"/>
                <w:szCs w:val="20"/>
              </w:rPr>
            </w:pPr>
            <w:r w:rsidRPr="00DC3C7A">
              <w:rPr>
                <w:rFonts w:ascii="Calibri" w:hAnsi="Calibri"/>
                <w:iCs/>
                <w:color w:val="000000"/>
                <w:szCs w:val="20"/>
              </w:rPr>
              <w:t>-10.0</w:t>
            </w:r>
          </w:p>
        </w:tc>
        <w:tc>
          <w:tcPr>
            <w:tcW w:w="926"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Cs/>
                <w:color w:val="000000"/>
                <w:szCs w:val="20"/>
              </w:rPr>
            </w:pPr>
            <w:r w:rsidRPr="00DC3C7A">
              <w:rPr>
                <w:rFonts w:ascii="Calibri" w:hAnsi="Calibri"/>
                <w:iCs/>
                <w:color w:val="000000"/>
                <w:szCs w:val="20"/>
              </w:rPr>
              <w:t>-10.0</w:t>
            </w:r>
          </w:p>
        </w:tc>
        <w:tc>
          <w:tcPr>
            <w:tcW w:w="925"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Cs/>
                <w:color w:val="000000"/>
                <w:szCs w:val="20"/>
              </w:rPr>
            </w:pPr>
            <w:r w:rsidRPr="00DC3C7A">
              <w:rPr>
                <w:rFonts w:ascii="Calibri" w:hAnsi="Calibri"/>
                <w:b/>
                <w:iCs/>
                <w:color w:val="000000"/>
                <w:szCs w:val="20"/>
              </w:rPr>
              <w:t>-30.0</w:t>
            </w:r>
          </w:p>
        </w:tc>
        <w:tc>
          <w:tcPr>
            <w:tcW w:w="926"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Cs/>
                <w:color w:val="000000"/>
                <w:szCs w:val="20"/>
              </w:rPr>
            </w:pPr>
            <w:r w:rsidRPr="00DC3C7A">
              <w:rPr>
                <w:rFonts w:ascii="Calibri" w:hAnsi="Calibri"/>
                <w:iCs/>
                <w:color w:val="000000"/>
                <w:szCs w:val="20"/>
              </w:rPr>
              <w:t>-10.0</w:t>
            </w:r>
          </w:p>
        </w:tc>
        <w:tc>
          <w:tcPr>
            <w:tcW w:w="926" w:type="dxa"/>
            <w:tcBorders>
              <w:top w:val="single" w:sz="4" w:space="0" w:color="788184"/>
              <w:left w:val="single" w:sz="4" w:space="0" w:color="788184"/>
              <w:bottom w:val="single" w:sz="4" w:space="0" w:color="788184"/>
              <w:right w:val="single" w:sz="4" w:space="0" w:color="788184"/>
            </w:tcBorders>
            <w:shd w:val="clear" w:color="auto" w:fill="E9ECF3"/>
            <w:vAlign w:val="bottom"/>
          </w:tcPr>
          <w:p w:rsidR="000B5C96" w:rsidRPr="00DC3C7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Cs/>
                <w:color w:val="000000"/>
                <w:szCs w:val="20"/>
              </w:rPr>
            </w:pPr>
            <w:r w:rsidRPr="00DC3C7A">
              <w:rPr>
                <w:rFonts w:ascii="Calibri" w:hAnsi="Calibri"/>
                <w:b/>
                <w:iCs/>
                <w:color w:val="000000"/>
                <w:szCs w:val="20"/>
              </w:rPr>
              <w:t>-40.0</w:t>
            </w:r>
          </w:p>
        </w:tc>
      </w:tr>
      <w:tr w:rsidR="000B5C96" w:rsidRPr="00DC3C7A" w:rsidTr="003F606A">
        <w:trPr>
          <w:cantSplit/>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788184"/>
              <w:left w:val="single" w:sz="4" w:space="0" w:color="788184"/>
              <w:bottom w:val="single" w:sz="4" w:space="0" w:color="788184"/>
              <w:right w:val="single" w:sz="4" w:space="0" w:color="788184"/>
            </w:tcBorders>
            <w:shd w:val="clear" w:color="auto" w:fill="D7DDE9"/>
          </w:tcPr>
          <w:p w:rsidR="000B5C96" w:rsidRPr="00DC3C7A" w:rsidRDefault="000B5C96" w:rsidP="003F606A">
            <w:pPr>
              <w:keepNext/>
              <w:keepLines/>
              <w:ind w:left="57" w:right="57"/>
              <w:rPr>
                <w:b/>
                <w:szCs w:val="20"/>
              </w:rPr>
            </w:pPr>
            <w:r w:rsidRPr="00DC3C7A">
              <w:rPr>
                <w:b/>
                <w:szCs w:val="20"/>
              </w:rPr>
              <w:t>Total</w:t>
            </w:r>
          </w:p>
        </w:tc>
        <w:tc>
          <w:tcPr>
            <w:tcW w:w="925" w:type="dxa"/>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C3C7A">
              <w:rPr>
                <w:rFonts w:ascii="Calibri" w:hAnsi="Calibri"/>
                <w:b/>
                <w:bCs/>
                <w:color w:val="000000"/>
                <w:szCs w:val="20"/>
              </w:rPr>
              <w:t xml:space="preserve"> -</w:t>
            </w:r>
          </w:p>
        </w:tc>
        <w:tc>
          <w:tcPr>
            <w:tcW w:w="926" w:type="dxa"/>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C3C7A">
              <w:rPr>
                <w:rFonts w:ascii="Calibri" w:hAnsi="Calibri"/>
                <w:b/>
                <w:bCs/>
                <w:color w:val="000000"/>
                <w:szCs w:val="20"/>
              </w:rPr>
              <w:t xml:space="preserve">-25.0 </w:t>
            </w:r>
          </w:p>
        </w:tc>
        <w:tc>
          <w:tcPr>
            <w:tcW w:w="925" w:type="dxa"/>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C3C7A">
              <w:rPr>
                <w:rFonts w:ascii="Calibri" w:hAnsi="Calibri"/>
                <w:b/>
                <w:bCs/>
                <w:color w:val="000000"/>
                <w:szCs w:val="20"/>
              </w:rPr>
              <w:t xml:space="preserve">-25.0 </w:t>
            </w:r>
          </w:p>
        </w:tc>
        <w:tc>
          <w:tcPr>
            <w:tcW w:w="926" w:type="dxa"/>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C3C7A">
              <w:rPr>
                <w:rFonts w:ascii="Calibri" w:hAnsi="Calibri"/>
                <w:b/>
                <w:bCs/>
                <w:color w:val="000000"/>
                <w:szCs w:val="20"/>
              </w:rPr>
              <w:t xml:space="preserve">-25.0 </w:t>
            </w:r>
          </w:p>
        </w:tc>
        <w:tc>
          <w:tcPr>
            <w:tcW w:w="925" w:type="dxa"/>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C3C7A">
              <w:rPr>
                <w:rFonts w:ascii="Calibri" w:hAnsi="Calibri"/>
                <w:b/>
                <w:bCs/>
                <w:color w:val="000000"/>
                <w:szCs w:val="20"/>
              </w:rPr>
              <w:t xml:space="preserve">-75.0 </w:t>
            </w:r>
          </w:p>
        </w:tc>
        <w:tc>
          <w:tcPr>
            <w:tcW w:w="926" w:type="dxa"/>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C3C7A">
              <w:rPr>
                <w:rFonts w:ascii="Calibri" w:hAnsi="Calibri"/>
                <w:b/>
                <w:bCs/>
                <w:color w:val="000000"/>
                <w:szCs w:val="20"/>
              </w:rPr>
              <w:t xml:space="preserve">-25.0 </w:t>
            </w:r>
          </w:p>
        </w:tc>
        <w:tc>
          <w:tcPr>
            <w:tcW w:w="926" w:type="dxa"/>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DC3C7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DC3C7A">
              <w:rPr>
                <w:rFonts w:ascii="Calibri" w:hAnsi="Calibri"/>
                <w:b/>
                <w:bCs/>
                <w:color w:val="000000"/>
                <w:szCs w:val="20"/>
              </w:rPr>
              <w:t xml:space="preserve">-100.0 </w:t>
            </w:r>
          </w:p>
        </w:tc>
      </w:tr>
    </w:tbl>
    <w:p w:rsidR="000B5C96" w:rsidRDefault="000B5C96" w:rsidP="00E53810">
      <w:pPr>
        <w:pStyle w:val="Footnotes"/>
        <w:numPr>
          <w:ilvl w:val="0"/>
          <w:numId w:val="369"/>
        </w:numPr>
        <w:ind w:left="284" w:hanging="284"/>
      </w:pPr>
      <w:r w:rsidRPr="00DC3C7A">
        <w:t xml:space="preserve">A negative number indicates a decrease in revenue or an increase in expenses or net capital investment in accrual and cash terms.  </w:t>
      </w:r>
    </w:p>
    <w:p w:rsidR="000B5C96" w:rsidRPr="00DC3C7A" w:rsidRDefault="000B5C96" w:rsidP="00E53810">
      <w:pPr>
        <w:pStyle w:val="Footnotes"/>
        <w:numPr>
          <w:ilvl w:val="0"/>
          <w:numId w:val="369"/>
        </w:numPr>
        <w:ind w:left="284" w:hanging="284"/>
      </w:pPr>
      <w:r w:rsidRPr="00DC3C7A">
        <w:t>Figures may not sum to totals due to rounding.</w:t>
      </w:r>
    </w:p>
    <w:p w:rsidR="00E8225A" w:rsidRDefault="000B5C96" w:rsidP="000B5C96">
      <w:pPr>
        <w:pStyle w:val="Footnotes"/>
        <w:numPr>
          <w:ilvl w:val="0"/>
          <w:numId w:val="113"/>
        </w:numPr>
        <w:ind w:left="284" w:hanging="284"/>
        <w:sectPr w:rsidR="00E8225A" w:rsidSect="003F606A">
          <w:headerReference w:type="even" r:id="rId480"/>
          <w:headerReference w:type="default" r:id="rId481"/>
          <w:footerReference w:type="even" r:id="rId482"/>
          <w:footerReference w:type="default" r:id="rId483"/>
          <w:headerReference w:type="first" r:id="rId484"/>
          <w:footerReference w:type="first" r:id="rId485"/>
          <w:footnotePr>
            <w:numRestart w:val="eachSect"/>
          </w:footnotePr>
          <w:pgSz w:w="11907" w:h="16839" w:code="9"/>
          <w:pgMar w:top="1361" w:right="1797" w:bottom="1474" w:left="1797" w:header="283" w:footer="454" w:gutter="0"/>
          <w:cols w:space="708"/>
          <w:docGrid w:linePitch="360"/>
        </w:sectPr>
      </w:pPr>
      <w:r w:rsidRPr="00000708">
        <w:t>Indicates nil.</w:t>
      </w:r>
    </w:p>
    <w:p w:rsidR="000B5C96" w:rsidRDefault="000B5C96" w:rsidP="003F606A">
      <w:pPr>
        <w:pStyle w:val="Heading5"/>
      </w:pPr>
      <w:bookmarkStart w:id="161" w:name="_Toc458001960"/>
      <w:bookmarkStart w:id="162" w:name="_Toc458069445"/>
      <w:r>
        <w:t>GRN051: Reverse Cuts to Legal Aid Services</w:t>
      </w:r>
      <w:bookmarkEnd w:id="161"/>
      <w:bookmarkEnd w:id="162"/>
    </w:p>
    <w:p w:rsidR="000B5C96" w:rsidRDefault="000B5C96" w:rsidP="003F606A">
      <w:pPr>
        <w:pStyle w:val="BodyText"/>
      </w:pPr>
      <w:r>
        <w:rPr>
          <w:noProof/>
          <w:lang w:eastAsia="en-AU"/>
        </w:rPr>
        <w:drawing>
          <wp:inline distT="0" distB="0" distL="0" distR="0" wp14:anchorId="59A17B56" wp14:editId="23058629">
            <wp:extent cx="2696845" cy="572135"/>
            <wp:effectExtent l="0" t="0" r="8255" b="0"/>
            <wp:docPr id="457" name="Picture 45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D53A4F" w:rsidRDefault="000B5C96" w:rsidP="000B5C96">
      <w:pPr>
        <w:pStyle w:val="Heading6"/>
        <w:numPr>
          <w:ilvl w:val="0"/>
          <w:numId w:val="5"/>
        </w:numPr>
        <w:tabs>
          <w:tab w:val="right" w:pos="1418"/>
          <w:tab w:val="right" w:pos="1701"/>
          <w:tab w:val="right" w:pos="1985"/>
        </w:tabs>
      </w:pPr>
      <w:r w:rsidRPr="00D53A4F">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EE331F" w:rsidTr="003F606A">
        <w:trPr>
          <w:cnfStyle w:val="100000000000" w:firstRow="1" w:lastRow="0" w:firstColumn="0" w:lastColumn="0" w:oddVBand="0" w:evenVBand="0" w:oddHBand="0" w:evenHBand="0" w:firstRowFirstColumn="0" w:firstRowLastColumn="0" w:lastRowFirstColumn="0" w:lastRowLastColumn="0"/>
        </w:trPr>
        <w:tc>
          <w:tcPr>
            <w:tcW w:w="3005" w:type="dxa"/>
            <w:tcBorders>
              <w:top w:val="single" w:sz="4" w:space="0" w:color="788182"/>
              <w:left w:val="single" w:sz="4" w:space="0" w:color="788182"/>
              <w:bottom w:val="single" w:sz="4" w:space="0" w:color="788182"/>
              <w:right w:val="single" w:sz="4" w:space="0" w:color="788182"/>
            </w:tcBorders>
            <w:hideMark/>
          </w:tcPr>
          <w:p w:rsidR="000B5C96" w:rsidRPr="00EE331F" w:rsidRDefault="000B5C96" w:rsidP="003F606A">
            <w:pPr>
              <w:pStyle w:val="PullOutBoxHeading"/>
              <w:rPr>
                <w:b/>
                <w:sz w:val="22"/>
              </w:rPr>
            </w:pPr>
            <w:r w:rsidRPr="00EE331F">
              <w:rPr>
                <w:b/>
                <w:sz w:val="22"/>
              </w:rPr>
              <w:t>Name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E331F" w:rsidRDefault="000B5C96" w:rsidP="003F606A">
            <w:pPr>
              <w:pStyle w:val="PullOutBoxHeading"/>
              <w:rPr>
                <w:b/>
                <w:sz w:val="22"/>
              </w:rPr>
            </w:pPr>
            <w:r w:rsidRPr="00EE331F">
              <w:rPr>
                <w:b/>
                <w:sz w:val="22"/>
              </w:rPr>
              <w:t>Reverse Cuts to Legal Aid Services</w:t>
            </w:r>
          </w:p>
        </w:tc>
      </w:tr>
      <w:tr w:rsidR="000B5C96" w:rsidRPr="00EC7C68"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Summary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The proposal would provide additional funding of $883 million over the 2016-17 Budget forward estimates period to State and Territory governments for Legal Aid Commissions, Community Legal Centres and Environmental Defender’s Offices.</w:t>
            </w:r>
          </w:p>
          <w:p w:rsidR="000B5C96" w:rsidRPr="00EC7C68" w:rsidRDefault="000B5C96" w:rsidP="003F606A">
            <w:pPr>
              <w:pStyle w:val="PullOutBoxBodyText"/>
            </w:pPr>
            <w:r w:rsidRPr="00EC7C68">
              <w:t>The proposal would have effect from 1 September 2016.</w:t>
            </w:r>
          </w:p>
        </w:tc>
      </w:tr>
      <w:tr w:rsidR="000B5C96" w:rsidRPr="00EC7C68"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Person/party requesting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Senator Richard Di Natale, Australian Greens</w:t>
            </w:r>
          </w:p>
        </w:tc>
      </w:tr>
      <w:tr w:rsidR="000B5C96" w:rsidRPr="00EC7C68"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Date of public release of policy:</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14 June 2016</w:t>
            </w:r>
          </w:p>
        </w:tc>
      </w:tr>
      <w:tr w:rsidR="000B5C96" w:rsidRPr="00EC7C68"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Date costing request received: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29 June 2016</w:t>
            </w:r>
          </w:p>
        </w:tc>
      </w:tr>
      <w:tr w:rsidR="000B5C96" w:rsidRPr="00EC7C68"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Date costing completed: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30 June 2016</w:t>
            </w:r>
          </w:p>
        </w:tc>
      </w:tr>
      <w:tr w:rsidR="000B5C96" w:rsidRPr="00EC7C68"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Additional information requested (including date):</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On 29 June 2016, the office of Senator Di Natale (the office) was contacted to clarify the amount of capped funding which would be provided and the period over which funding would be provided.</w:t>
            </w:r>
          </w:p>
        </w:tc>
      </w:tr>
      <w:tr w:rsidR="000B5C96" w:rsidRPr="00EC7C68"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Additional information received (including date):</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rPr>
                <w:highlight w:val="yellow"/>
              </w:rPr>
            </w:pPr>
            <w:r w:rsidRPr="00EC7C68">
              <w:t>On 30 June 2016, the office confirmed that funding would be $883.0 million over the 2016-17 Budget forward estimates only.</w:t>
            </w:r>
          </w:p>
        </w:tc>
      </w:tr>
      <w:tr w:rsidR="000B5C96" w:rsidRPr="00EC7C68"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Expiry date for the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C7C68" w:rsidRDefault="000B5C96" w:rsidP="003F606A">
            <w:pPr>
              <w:pStyle w:val="PullOutBoxBodyText"/>
            </w:pPr>
            <w:r w:rsidRPr="00EC7C68">
              <w:t>Release of the next economic and fiscal outlook report</w:t>
            </w:r>
          </w:p>
        </w:tc>
      </w:tr>
    </w:tbl>
    <w:p w:rsidR="000B5C96" w:rsidRPr="00D7096D" w:rsidRDefault="000B5C96" w:rsidP="003F606A">
      <w:pPr>
        <w:pStyle w:val="CostingsH7"/>
      </w:pPr>
      <w:r w:rsidRPr="00D7096D">
        <w:t>Costing overview</w:t>
      </w:r>
    </w:p>
    <w:p w:rsidR="000B5C96" w:rsidRPr="00EC7C68" w:rsidRDefault="000B5C96" w:rsidP="003F606A">
      <w:pPr>
        <w:pStyle w:val="BodyText"/>
      </w:pPr>
      <w:r w:rsidRPr="00EC7C68">
        <w:t xml:space="preserve">This proposal would be expected to decrease the fiscal and underlying cash balances by $883.0 million over the 2016-17 Budget forward estimates period.  This is entirely due to an increase in administered expenses.  This proposal would not be expected to have an impact on departmental expenses as it represents an increase in funding under a National Partnership Agreement. </w:t>
      </w:r>
    </w:p>
    <w:p w:rsidR="000B5C96" w:rsidRPr="00EC7C68" w:rsidRDefault="000B5C96" w:rsidP="003F606A">
      <w:pPr>
        <w:pStyle w:val="BodyText"/>
      </w:pPr>
      <w:r w:rsidRPr="00EC7C68">
        <w:t>This proposal would not have an ongoing impact beyond the 2016-17 Budget forward estimates period as it terminates in 2019-20.</w:t>
      </w:r>
    </w:p>
    <w:p w:rsidR="000B5C96" w:rsidRPr="00EC7C68" w:rsidRDefault="000B5C96" w:rsidP="003F606A">
      <w:pPr>
        <w:pStyle w:val="Caption"/>
      </w:pPr>
      <w:r w:rsidRPr="00EC7C68">
        <w:t>Table 1: Financial implications (outturn prices)</w:t>
      </w:r>
      <w:r w:rsidRPr="00EC7C68">
        <w:rPr>
          <w:vertAlign w:val="superscript"/>
        </w:rPr>
        <w:t>(a)</w:t>
      </w:r>
    </w:p>
    <w:tbl>
      <w:tblPr>
        <w:tblStyle w:val="TableGrid1"/>
        <w:tblW w:w="4993" w:type="pct"/>
        <w:tblLook w:val="04A0" w:firstRow="1" w:lastRow="0" w:firstColumn="1" w:lastColumn="0" w:noHBand="0" w:noVBand="1"/>
      </w:tblPr>
      <w:tblGrid>
        <w:gridCol w:w="2644"/>
        <w:gridCol w:w="1133"/>
        <w:gridCol w:w="1134"/>
        <w:gridCol w:w="1134"/>
        <w:gridCol w:w="1134"/>
        <w:gridCol w:w="1132"/>
      </w:tblGrid>
      <w:tr w:rsidR="000B5C96" w:rsidRPr="005D7E29"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5D7E29" w:rsidRDefault="000B5C96" w:rsidP="003F606A">
            <w:pPr>
              <w:keepNext/>
              <w:keepLines/>
              <w:spacing w:line="300" w:lineRule="auto"/>
              <w:ind w:left="57" w:right="57"/>
              <w:rPr>
                <w:rFonts w:eastAsia="Calibri"/>
              </w:rPr>
            </w:pPr>
            <w:r w:rsidRPr="005D7E29">
              <w:rPr>
                <w:rFonts w:eastAsia="Calibri"/>
              </w:rPr>
              <w:t>Impact on ($m)</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D7E29" w:rsidRDefault="000B5C96" w:rsidP="003F606A">
            <w:pPr>
              <w:keepNext/>
              <w:keepLines/>
              <w:spacing w:line="300" w:lineRule="auto"/>
              <w:ind w:left="57" w:right="57"/>
              <w:cnfStyle w:val="100000000000" w:firstRow="1" w:lastRow="0" w:firstColumn="0" w:lastColumn="0" w:oddVBand="0" w:evenVBand="0" w:oddHBand="0" w:evenHBand="0" w:firstRowFirstColumn="0" w:firstRowLastColumn="0" w:lastRowFirstColumn="0" w:lastRowLastColumn="0"/>
              <w:rPr>
                <w:rFonts w:eastAsia="Calibri"/>
              </w:rPr>
            </w:pPr>
            <w:r w:rsidRPr="005D7E29">
              <w:rPr>
                <w:rFonts w:eastAsia="Calibri"/>
              </w:rPr>
              <w:t>2016–17</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D7E29" w:rsidRDefault="000B5C96" w:rsidP="003F606A">
            <w:pPr>
              <w:keepNext/>
              <w:keepLines/>
              <w:spacing w:line="300" w:lineRule="auto"/>
              <w:ind w:left="57" w:right="57"/>
              <w:cnfStyle w:val="100000000000" w:firstRow="1" w:lastRow="0" w:firstColumn="0" w:lastColumn="0" w:oddVBand="0" w:evenVBand="0" w:oddHBand="0" w:evenHBand="0" w:firstRowFirstColumn="0" w:firstRowLastColumn="0" w:lastRowFirstColumn="0" w:lastRowLastColumn="0"/>
              <w:rPr>
                <w:rFonts w:eastAsia="Calibri"/>
              </w:rPr>
            </w:pPr>
            <w:r w:rsidRPr="005D7E29">
              <w:rPr>
                <w:rFonts w:eastAsia="Calibri"/>
              </w:rPr>
              <w:t>2017–18</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D7E29" w:rsidRDefault="000B5C96" w:rsidP="003F606A">
            <w:pPr>
              <w:keepNext/>
              <w:keepLines/>
              <w:spacing w:line="300" w:lineRule="auto"/>
              <w:ind w:left="57" w:right="57"/>
              <w:cnfStyle w:val="100000000000" w:firstRow="1" w:lastRow="0" w:firstColumn="0" w:lastColumn="0" w:oddVBand="0" w:evenVBand="0" w:oddHBand="0" w:evenHBand="0" w:firstRowFirstColumn="0" w:firstRowLastColumn="0" w:lastRowFirstColumn="0" w:lastRowLastColumn="0"/>
              <w:rPr>
                <w:rFonts w:eastAsia="Calibri"/>
              </w:rPr>
            </w:pPr>
            <w:r w:rsidRPr="005D7E29">
              <w:rPr>
                <w:rFonts w:eastAsia="Calibri"/>
              </w:rPr>
              <w:t>2018–19</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D7E29" w:rsidRDefault="000B5C96" w:rsidP="003F606A">
            <w:pPr>
              <w:keepNext/>
              <w:keepLines/>
              <w:spacing w:line="300" w:lineRule="auto"/>
              <w:ind w:left="57" w:right="57"/>
              <w:cnfStyle w:val="100000000000" w:firstRow="1" w:lastRow="0" w:firstColumn="0" w:lastColumn="0" w:oddVBand="0" w:evenVBand="0" w:oddHBand="0" w:evenHBand="0" w:firstRowFirstColumn="0" w:firstRowLastColumn="0" w:lastRowFirstColumn="0" w:lastRowLastColumn="0"/>
              <w:rPr>
                <w:rFonts w:eastAsia="Calibri"/>
                <w:b/>
              </w:rPr>
            </w:pPr>
            <w:r w:rsidRPr="005D7E29">
              <w:rPr>
                <w:rFonts w:eastAsia="Calibri"/>
              </w:rPr>
              <w:t>2019–20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5D7E29" w:rsidRDefault="000B5C96" w:rsidP="003F606A">
            <w:pPr>
              <w:keepNext/>
              <w:keepLines/>
              <w:spacing w:line="300" w:lineRule="auto"/>
              <w:ind w:left="57" w:right="57"/>
              <w:cnfStyle w:val="100000000000" w:firstRow="1" w:lastRow="0" w:firstColumn="0" w:lastColumn="0" w:oddVBand="0" w:evenVBand="0" w:oddHBand="0" w:evenHBand="0" w:firstRowFirstColumn="0" w:firstRowLastColumn="0" w:lastRowFirstColumn="0" w:lastRowLastColumn="0"/>
              <w:rPr>
                <w:rFonts w:eastAsia="Calibri"/>
                <w:b/>
              </w:rPr>
            </w:pPr>
            <w:r w:rsidRPr="005D7E29">
              <w:rPr>
                <w:rFonts w:eastAsia="Calibri"/>
                <w:b/>
              </w:rPr>
              <w:t>Total</w:t>
            </w:r>
          </w:p>
        </w:tc>
      </w:tr>
      <w:tr w:rsidR="000B5C96" w:rsidRPr="005D7E29"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5D7E29" w:rsidRDefault="000B5C96" w:rsidP="003F606A">
            <w:pPr>
              <w:keepNext/>
              <w:keepLines/>
              <w:spacing w:line="300" w:lineRule="auto"/>
              <w:ind w:left="57" w:right="57"/>
              <w:rPr>
                <w:rFonts w:asciiTheme="minorHAnsi" w:eastAsia="Calibri" w:hAnsiTheme="minorHAnsi"/>
              </w:rPr>
            </w:pPr>
            <w:r w:rsidRPr="005D7E29">
              <w:rPr>
                <w:rFonts w:asciiTheme="minorHAnsi" w:eastAsia="Calibri" w:hAnsiTheme="minorHAnsi"/>
              </w:rPr>
              <w:t>Fiscal balance</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5D7E29" w:rsidRDefault="000B5C96" w:rsidP="003F606A">
            <w:pPr>
              <w:spacing w:line="300" w:lineRule="auto"/>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5D7E29">
              <w:rPr>
                <w:rFonts w:eastAsia="Calibri"/>
                <w:color w:val="000000"/>
              </w:rPr>
              <w:t>-220.8</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5D7E29" w:rsidRDefault="000B5C96" w:rsidP="003F606A">
            <w:pPr>
              <w:spacing w:line="300" w:lineRule="auto"/>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5D7E29">
              <w:rPr>
                <w:rFonts w:eastAsia="Calibri"/>
                <w:color w:val="000000"/>
              </w:rPr>
              <w:t>-220.8</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5D7E29" w:rsidRDefault="000B5C96" w:rsidP="003F606A">
            <w:pPr>
              <w:spacing w:line="300" w:lineRule="auto"/>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5D7E29">
              <w:rPr>
                <w:rFonts w:eastAsia="Calibri"/>
                <w:color w:val="000000"/>
              </w:rPr>
              <w:t>-220.8</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5D7E29" w:rsidRDefault="000B5C96" w:rsidP="003F606A">
            <w:pPr>
              <w:spacing w:line="300" w:lineRule="auto"/>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5D7E29">
              <w:rPr>
                <w:rFonts w:eastAsia="Calibri"/>
                <w:color w:val="000000"/>
              </w:rPr>
              <w:t>-220.8</w:t>
            </w:r>
          </w:p>
        </w:tc>
        <w:tc>
          <w:tcPr>
            <w:tcW w:w="681" w:type="pct"/>
            <w:tcBorders>
              <w:top w:val="single" w:sz="4" w:space="0" w:color="808080"/>
              <w:left w:val="single" w:sz="4" w:space="0" w:color="808080"/>
              <w:bottom w:val="single" w:sz="4" w:space="0" w:color="808080"/>
              <w:right w:val="single" w:sz="4" w:space="0" w:color="808080"/>
            </w:tcBorders>
            <w:vAlign w:val="bottom"/>
            <w:hideMark/>
          </w:tcPr>
          <w:p w:rsidR="000B5C96" w:rsidRPr="005D7E29" w:rsidRDefault="000B5C96" w:rsidP="003F606A">
            <w:pPr>
              <w:spacing w:line="300" w:lineRule="auto"/>
              <w:jc w:val="right"/>
              <w:cnfStyle w:val="000000100000" w:firstRow="0" w:lastRow="0" w:firstColumn="0" w:lastColumn="0" w:oddVBand="0" w:evenVBand="0" w:oddHBand="1" w:evenHBand="0" w:firstRowFirstColumn="0" w:firstRowLastColumn="0" w:lastRowFirstColumn="0" w:lastRowLastColumn="0"/>
              <w:rPr>
                <w:rFonts w:eastAsia="Calibri"/>
                <w:b/>
                <w:bCs/>
                <w:color w:val="000000"/>
              </w:rPr>
            </w:pPr>
            <w:r w:rsidRPr="005D7E29">
              <w:rPr>
                <w:rFonts w:eastAsia="Calibri"/>
                <w:b/>
                <w:bCs/>
                <w:color w:val="000000"/>
              </w:rPr>
              <w:t>-883.0</w:t>
            </w:r>
          </w:p>
        </w:tc>
      </w:tr>
      <w:tr w:rsidR="000B5C96" w:rsidRPr="005D7E29"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5D7E29" w:rsidRDefault="000B5C96" w:rsidP="003F606A">
            <w:pPr>
              <w:keepNext/>
              <w:keepLines/>
              <w:spacing w:line="300" w:lineRule="auto"/>
              <w:ind w:left="57" w:right="57"/>
              <w:rPr>
                <w:rFonts w:asciiTheme="minorHAnsi" w:eastAsia="Calibri" w:hAnsiTheme="minorHAnsi"/>
              </w:rPr>
            </w:pPr>
            <w:r w:rsidRPr="005D7E29">
              <w:rPr>
                <w:rFonts w:asciiTheme="minorHAnsi" w:eastAsia="Calibri" w:hAnsiTheme="minorHAnsi"/>
              </w:rPr>
              <w:t>Underlying cash balance</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5D7E29" w:rsidRDefault="000B5C96" w:rsidP="003F606A">
            <w:pPr>
              <w:spacing w:line="30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5D7E29">
              <w:rPr>
                <w:rFonts w:eastAsia="Calibri"/>
                <w:color w:val="000000"/>
              </w:rPr>
              <w:t>-220.8</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5D7E29" w:rsidRDefault="000B5C96" w:rsidP="003F606A">
            <w:pPr>
              <w:spacing w:line="30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5D7E29">
              <w:rPr>
                <w:rFonts w:eastAsia="Calibri"/>
                <w:color w:val="000000"/>
              </w:rPr>
              <w:t>-220.8</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5D7E29" w:rsidRDefault="000B5C96" w:rsidP="003F606A">
            <w:pPr>
              <w:spacing w:line="30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5D7E29">
              <w:rPr>
                <w:rFonts w:eastAsia="Calibri"/>
                <w:color w:val="000000"/>
              </w:rPr>
              <w:t>-220.8</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5D7E29" w:rsidRDefault="000B5C96" w:rsidP="003F606A">
            <w:pPr>
              <w:spacing w:line="300" w:lineRule="auto"/>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5D7E29">
              <w:rPr>
                <w:rFonts w:eastAsia="Calibri"/>
                <w:color w:val="000000"/>
              </w:rPr>
              <w:t>-220.8</w:t>
            </w:r>
          </w:p>
        </w:tc>
        <w:tc>
          <w:tcPr>
            <w:tcW w:w="681" w:type="pct"/>
            <w:tcBorders>
              <w:top w:val="single" w:sz="4" w:space="0" w:color="808080"/>
              <w:left w:val="single" w:sz="4" w:space="0" w:color="808080"/>
              <w:bottom w:val="single" w:sz="4" w:space="0" w:color="808080"/>
              <w:right w:val="single" w:sz="4" w:space="0" w:color="808080"/>
            </w:tcBorders>
            <w:vAlign w:val="bottom"/>
            <w:hideMark/>
          </w:tcPr>
          <w:p w:rsidR="000B5C96" w:rsidRPr="005D7E29" w:rsidRDefault="000B5C96" w:rsidP="003F606A">
            <w:pPr>
              <w:spacing w:line="300" w:lineRule="auto"/>
              <w:jc w:val="right"/>
              <w:cnfStyle w:val="000000000000" w:firstRow="0" w:lastRow="0" w:firstColumn="0" w:lastColumn="0" w:oddVBand="0" w:evenVBand="0" w:oddHBand="0" w:evenHBand="0" w:firstRowFirstColumn="0" w:firstRowLastColumn="0" w:lastRowFirstColumn="0" w:lastRowLastColumn="0"/>
              <w:rPr>
                <w:rFonts w:eastAsia="Calibri"/>
                <w:b/>
                <w:bCs/>
                <w:color w:val="000000"/>
              </w:rPr>
            </w:pPr>
            <w:r w:rsidRPr="005D7E29">
              <w:rPr>
                <w:rFonts w:eastAsia="Calibri"/>
                <w:b/>
                <w:bCs/>
                <w:color w:val="000000"/>
              </w:rPr>
              <w:t>-883.0</w:t>
            </w:r>
          </w:p>
        </w:tc>
      </w:tr>
    </w:tbl>
    <w:p w:rsidR="000B5C96" w:rsidRPr="00EC7C68" w:rsidRDefault="000B5C96" w:rsidP="000B5C96">
      <w:pPr>
        <w:pStyle w:val="Footnotes"/>
        <w:numPr>
          <w:ilvl w:val="0"/>
          <w:numId w:val="128"/>
        </w:numPr>
        <w:ind w:left="284" w:hanging="284"/>
      </w:pPr>
      <w:r w:rsidRPr="00EC7C68">
        <w:t>A positive number represents an increase in the relevant budget balance, a negative number represents a decrease.</w:t>
      </w:r>
    </w:p>
    <w:p w:rsidR="000B5C96" w:rsidRPr="00EC7C68" w:rsidRDefault="000B5C96" w:rsidP="000B5C96">
      <w:pPr>
        <w:pStyle w:val="Footnotes"/>
        <w:numPr>
          <w:ilvl w:val="0"/>
          <w:numId w:val="128"/>
        </w:numPr>
        <w:ind w:left="284" w:hanging="284"/>
      </w:pPr>
      <w:r w:rsidRPr="00EC7C68">
        <w:t>Figures may not sum to totals due to rounding.</w:t>
      </w:r>
    </w:p>
    <w:p w:rsidR="000B5C96" w:rsidRDefault="000B5C96" w:rsidP="003F606A">
      <w:pPr>
        <w:pStyle w:val="CostingsH7"/>
      </w:pPr>
      <w:r w:rsidRPr="00EC7C68">
        <w:t>Key assumptions</w:t>
      </w:r>
    </w:p>
    <w:p w:rsidR="000B5C96" w:rsidRPr="00EC7C68" w:rsidRDefault="000B5C96" w:rsidP="003F606A">
      <w:pPr>
        <w:pStyle w:val="BodyText"/>
        <w:rPr>
          <w:highlight w:val="yellow"/>
        </w:rPr>
      </w:pPr>
      <w:r w:rsidRPr="00EC7C68">
        <w:t>In costing this proposal it has been assumed that the full 2016-17 allocation of funding would be expended over the remaining 10 months of 2016-17 from 1 September 2016.</w:t>
      </w:r>
    </w:p>
    <w:p w:rsidR="000B5C96" w:rsidRPr="00EC7C68" w:rsidRDefault="000B5C96" w:rsidP="003F606A">
      <w:pPr>
        <w:pStyle w:val="BodyText"/>
      </w:pPr>
    </w:p>
    <w:p w:rsidR="000B5C96" w:rsidRDefault="000B5C96" w:rsidP="003F606A">
      <w:pPr>
        <w:pStyle w:val="Heading5"/>
        <w:sectPr w:rsidR="000B5C96" w:rsidSect="003F606A">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pPr>
      <w:bookmarkStart w:id="163" w:name="_Toc458001961"/>
      <w:bookmarkStart w:id="164" w:name="_Toc458069446"/>
      <w:r>
        <w:t>GRN052: National Biosecurity Authority</w:t>
      </w:r>
      <w:bookmarkEnd w:id="163"/>
      <w:bookmarkEnd w:id="164"/>
    </w:p>
    <w:p w:rsidR="000B5C96" w:rsidRDefault="000B5C96" w:rsidP="003F606A">
      <w:pPr>
        <w:pStyle w:val="BodyText"/>
      </w:pPr>
      <w:r>
        <w:rPr>
          <w:noProof/>
          <w:lang w:eastAsia="en-AU"/>
        </w:rPr>
        <w:drawing>
          <wp:inline distT="0" distB="0" distL="0" distR="0" wp14:anchorId="25F8864C" wp14:editId="4A44DC50">
            <wp:extent cx="2696845" cy="572135"/>
            <wp:effectExtent l="0" t="0" r="8255" b="0"/>
            <wp:docPr id="458" name="Picture 45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Default="000B5C96" w:rsidP="000B5C96">
      <w:pPr>
        <w:pStyle w:val="Heading6"/>
        <w:numPr>
          <w:ilvl w:val="0"/>
          <w:numId w:val="5"/>
        </w:numPr>
        <w:tabs>
          <w:tab w:val="right" w:pos="1418"/>
          <w:tab w:val="right" w:pos="1701"/>
          <w:tab w:val="right" w:pos="1985"/>
        </w:tabs>
      </w:pPr>
      <w:r w:rsidRPr="00002D5D">
        <w:t>Policy costing—during the caretaker period for the 2016 general election</w:t>
      </w:r>
    </w:p>
    <w:tbl>
      <w:tblPr>
        <w:tblStyle w:val="Style1"/>
        <w:tblW w:w="8340" w:type="dxa"/>
        <w:tblLayout w:type="fixed"/>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A National Biosecurity Authority</w:t>
            </w:r>
          </w:p>
        </w:tc>
      </w:tr>
      <w:tr w:rsidR="000B5C96" w:rsidTr="003F606A">
        <w:tc>
          <w:tcPr>
            <w:tcW w:w="3005" w:type="dxa"/>
          </w:tcPr>
          <w:p w:rsidR="000B5C96" w:rsidRDefault="000B5C96" w:rsidP="003F606A">
            <w:pPr>
              <w:pStyle w:val="PullOutBoxBodyText"/>
            </w:pPr>
            <w:r>
              <w:t>Summary of proposal:</w:t>
            </w:r>
          </w:p>
        </w:tc>
        <w:tc>
          <w:tcPr>
            <w:tcW w:w="5335" w:type="dxa"/>
          </w:tcPr>
          <w:p w:rsidR="000B5C96" w:rsidRDefault="000B5C96" w:rsidP="003F606A">
            <w:pPr>
              <w:pStyle w:val="PullOutBoxBodyText"/>
            </w:pPr>
            <w:r>
              <w:t>The proposal contains four components:</w:t>
            </w:r>
          </w:p>
          <w:p w:rsidR="000B5C96" w:rsidRDefault="000B5C96" w:rsidP="003F606A">
            <w:pPr>
              <w:pStyle w:val="PullOutBoxBodyText"/>
              <w:rPr>
                <w:u w:val="single"/>
              </w:rPr>
            </w:pPr>
            <w:r>
              <w:rPr>
                <w:u w:val="single"/>
              </w:rPr>
              <w:t>Component 1: National biosecurity</w:t>
            </w:r>
          </w:p>
          <w:p w:rsidR="000B5C96" w:rsidRPr="00B02D74" w:rsidRDefault="000B5C96" w:rsidP="003F606A">
            <w:pPr>
              <w:pStyle w:val="PullOutBoxBodyText"/>
            </w:pPr>
            <w:r w:rsidRPr="00B02D74">
              <w:t xml:space="preserve">This component would implement the recommendations of the 2008 Beale review to: </w:t>
            </w:r>
          </w:p>
          <w:p w:rsidR="000B5C96" w:rsidRPr="00504EB2" w:rsidRDefault="000B5C96" w:rsidP="000B5C96">
            <w:pPr>
              <w:pStyle w:val="PullOutBoxBullet"/>
              <w:numPr>
                <w:ilvl w:val="0"/>
                <w:numId w:val="2"/>
              </w:numPr>
              <w:ind w:left="397"/>
            </w:pPr>
            <w:r w:rsidRPr="00504EB2">
              <w:t>establish an independent expert panel – the National Biosecurity Commission</w:t>
            </w:r>
            <w:r>
              <w:t xml:space="preserve"> (recommendations 12</w:t>
            </w:r>
            <w:r>
              <w:noBreakHyphen/>
              <w:t>15)</w:t>
            </w:r>
          </w:p>
          <w:p w:rsidR="000B5C96" w:rsidRPr="00504EB2" w:rsidRDefault="000B5C96" w:rsidP="000B5C96">
            <w:pPr>
              <w:pStyle w:val="PullOutBoxBullet"/>
              <w:numPr>
                <w:ilvl w:val="0"/>
                <w:numId w:val="2"/>
              </w:numPr>
              <w:ind w:left="397"/>
            </w:pPr>
            <w:r w:rsidRPr="00504EB2">
              <w:t>establish a regulatory agency – the National Biosecurity Authority</w:t>
            </w:r>
            <w:r>
              <w:t xml:space="preserve"> (recommendations 16</w:t>
            </w:r>
            <w:r>
              <w:noBreakHyphen/>
              <w:t>22)</w:t>
            </w:r>
            <w:r w:rsidRPr="00504EB2">
              <w:t>.</w:t>
            </w:r>
          </w:p>
          <w:p w:rsidR="000B5C96" w:rsidRPr="00973E12" w:rsidRDefault="000B5C96" w:rsidP="003F606A">
            <w:pPr>
              <w:pStyle w:val="PullOutBoxBodyText"/>
              <w:rPr>
                <w:u w:val="single"/>
              </w:rPr>
            </w:pPr>
            <w:r w:rsidRPr="00973E12">
              <w:rPr>
                <w:u w:val="single"/>
              </w:rPr>
              <w:t>Component 2: Environmental biosecurity measures</w:t>
            </w:r>
          </w:p>
          <w:p w:rsidR="000B5C96" w:rsidRPr="00B02D74" w:rsidRDefault="000B5C96" w:rsidP="003F606A">
            <w:pPr>
              <w:pStyle w:val="PullOutBoxBodyText"/>
            </w:pPr>
            <w:r w:rsidRPr="00B02D74">
              <w:t>This component would provide</w:t>
            </w:r>
            <w:r w:rsidRPr="00F23EAE">
              <w:t xml:space="preserve"> </w:t>
            </w:r>
            <w:r>
              <w:t>resourcing to implement the recommendations of the Senate Inquiry into Environmental Biosecurity with:</w:t>
            </w:r>
          </w:p>
          <w:p w:rsidR="000B5C96" w:rsidRPr="00504EB2" w:rsidRDefault="000B5C96" w:rsidP="000B5C96">
            <w:pPr>
              <w:pStyle w:val="PullOutBoxBullet"/>
              <w:numPr>
                <w:ilvl w:val="0"/>
                <w:numId w:val="2"/>
              </w:numPr>
              <w:ind w:left="397"/>
            </w:pPr>
            <w:r w:rsidRPr="00504EB2">
              <w:t>additional resourcing for recommendations 2-5, 14, 18, 24 and 26, which involve the Commonwealth working with the states and territories to adjust the biosecurity regulatory framework</w:t>
            </w:r>
          </w:p>
          <w:p w:rsidR="000B5C96" w:rsidRPr="00504EB2" w:rsidRDefault="000B5C96" w:rsidP="000B5C96">
            <w:pPr>
              <w:pStyle w:val="PullOutBoxBullet"/>
              <w:numPr>
                <w:ilvl w:val="0"/>
                <w:numId w:val="2"/>
              </w:numPr>
              <w:ind w:left="397"/>
            </w:pPr>
            <w:r w:rsidRPr="00504EB2">
              <w:t>additional resourcing for Commonwealth agencies to implement recommendations 1, 6, 8-13, 15-17, 19-22, which largely involve reviewing specific aspects of existing systems</w:t>
            </w:r>
          </w:p>
          <w:p w:rsidR="000B5C96" w:rsidRPr="00504EB2" w:rsidRDefault="000B5C96" w:rsidP="000B5C96">
            <w:pPr>
              <w:pStyle w:val="PullOutBoxBullet"/>
              <w:numPr>
                <w:ilvl w:val="0"/>
                <w:numId w:val="2"/>
              </w:numPr>
              <w:ind w:left="397"/>
            </w:pPr>
            <w:r w:rsidRPr="00504EB2">
              <w:t>the Department of Agriculture and Water Resources (DAWR) to undertake more regular ship inspections targeted at biofouling and improve surveillance of freshwater fish imports to implement recommendation 23.</w:t>
            </w:r>
          </w:p>
          <w:p w:rsidR="000B5C96" w:rsidRPr="00973E12" w:rsidRDefault="000B5C96" w:rsidP="003F606A">
            <w:pPr>
              <w:pStyle w:val="PullOutBoxBodyText"/>
              <w:rPr>
                <w:u w:val="single"/>
              </w:rPr>
            </w:pPr>
            <w:r w:rsidRPr="00973E12">
              <w:rPr>
                <w:u w:val="single"/>
              </w:rPr>
              <w:t>Component 3: Invasive species</w:t>
            </w:r>
          </w:p>
          <w:p w:rsidR="000B5C96" w:rsidRPr="003039D3" w:rsidRDefault="000B5C96" w:rsidP="003F606A">
            <w:pPr>
              <w:pStyle w:val="PullOutBoxBodyText"/>
            </w:pPr>
            <w:r w:rsidRPr="00B02D74">
              <w:t>This component would</w:t>
            </w:r>
            <w:r>
              <w:t xml:space="preserve"> provide funding:</w:t>
            </w:r>
          </w:p>
          <w:p w:rsidR="000B5C96" w:rsidRDefault="000B5C96" w:rsidP="000B5C96">
            <w:pPr>
              <w:pStyle w:val="PullOutBoxBullet"/>
              <w:numPr>
                <w:ilvl w:val="0"/>
                <w:numId w:val="2"/>
              </w:numPr>
              <w:spacing w:after="720"/>
              <w:ind w:left="397"/>
            </w:pPr>
            <w:r w:rsidRPr="00504EB2">
              <w:t>for the Centre for Invasive Species Solutions as recommended by the current Animal Cooperative Research Centre</w:t>
            </w:r>
            <w:r>
              <w:t xml:space="preserve"> from 1 July 2017 to 30 June 2021.</w:t>
            </w:r>
          </w:p>
          <w:p w:rsidR="000B5C96" w:rsidRPr="00504EB2" w:rsidRDefault="000B5C96" w:rsidP="000B5C96">
            <w:pPr>
              <w:pStyle w:val="PullOutBoxBullet"/>
              <w:numPr>
                <w:ilvl w:val="0"/>
                <w:numId w:val="2"/>
              </w:numPr>
              <w:ind w:left="397"/>
            </w:pPr>
            <w:r w:rsidRPr="00504EB2">
              <w:t>to establish, and for ongoing operation of, Environmental Health Australia, in line with proposals by the Invasive Species Council</w:t>
            </w:r>
          </w:p>
          <w:p w:rsidR="000B5C96" w:rsidRPr="000A2C2B" w:rsidRDefault="000B5C96" w:rsidP="000B5C96">
            <w:pPr>
              <w:pStyle w:val="PullOutBoxBullet"/>
              <w:numPr>
                <w:ilvl w:val="0"/>
                <w:numId w:val="2"/>
              </w:numPr>
              <w:ind w:left="397"/>
            </w:pPr>
            <w:r w:rsidRPr="00504EB2">
              <w:t xml:space="preserve">of $8 million over four years to develop an invasive species target and plan, and a </w:t>
            </w:r>
            <w:r w:rsidRPr="000A2C2B">
              <w:t>separate plan to reduce the risks from exotic pests</w:t>
            </w:r>
          </w:p>
          <w:p w:rsidR="000B5C96" w:rsidRPr="00504EB2" w:rsidRDefault="000B5C96" w:rsidP="000B5C96">
            <w:pPr>
              <w:pStyle w:val="PullOutBoxBullet"/>
              <w:numPr>
                <w:ilvl w:val="0"/>
                <w:numId w:val="2"/>
              </w:numPr>
              <w:ind w:left="397"/>
            </w:pPr>
            <w:r w:rsidRPr="00504EB2">
              <w:t>to work through the Council of Australian Governments (COAG) to limit the movement of potentially damaging exotic species.</w:t>
            </w:r>
          </w:p>
          <w:p w:rsidR="000B5C96" w:rsidRPr="00973E12" w:rsidRDefault="000B5C96" w:rsidP="003F606A">
            <w:pPr>
              <w:pStyle w:val="PullOutBoxBodyText"/>
              <w:rPr>
                <w:u w:val="single"/>
              </w:rPr>
            </w:pPr>
            <w:r w:rsidRPr="00973E12">
              <w:rPr>
                <w:u w:val="single"/>
              </w:rPr>
              <w:t>Component 4: National strategy to protect islands from biosecurity risks</w:t>
            </w:r>
          </w:p>
          <w:p w:rsidR="000B5C96" w:rsidRDefault="000B5C96" w:rsidP="003F606A">
            <w:pPr>
              <w:pStyle w:val="PullOutBoxBodyText"/>
            </w:pPr>
            <w:r w:rsidRPr="00B02D74">
              <w:t xml:space="preserve">This component would provide </w:t>
            </w:r>
            <w:r>
              <w:t>$5 million a year in funding (ongoing) for a national strategy to protect islands from biosecurity risks.</w:t>
            </w:r>
          </w:p>
          <w:p w:rsidR="000B5C96" w:rsidRPr="00390FD6" w:rsidRDefault="000B5C96" w:rsidP="003F606A">
            <w:pPr>
              <w:pStyle w:val="PullOutBoxBodyText"/>
            </w:pPr>
            <w:r>
              <w:t>The proposal would have effect from 1 July 2017.</w:t>
            </w:r>
          </w:p>
        </w:tc>
      </w:tr>
      <w:tr w:rsidR="000B5C96" w:rsidTr="003F606A">
        <w:tc>
          <w:tcPr>
            <w:tcW w:w="3005" w:type="dxa"/>
          </w:tcPr>
          <w:p w:rsidR="000B5C96" w:rsidRDefault="000B5C96" w:rsidP="003F606A">
            <w:pPr>
              <w:pStyle w:val="PullOutBoxBodyText"/>
            </w:pPr>
            <w:r>
              <w:t>Person/party requesting costing:</w:t>
            </w:r>
          </w:p>
        </w:tc>
        <w:tc>
          <w:tcPr>
            <w:tcW w:w="5335" w:type="dxa"/>
          </w:tcPr>
          <w:p w:rsidR="000B5C96" w:rsidRPr="000C193A" w:rsidRDefault="000B5C96" w:rsidP="003F606A">
            <w:pPr>
              <w:pStyle w:val="PullOutBoxBodyText"/>
              <w:rPr>
                <w:highlight w:val="lightGray"/>
              </w:rPr>
            </w:pPr>
            <w:r w:rsidRPr="00865039">
              <w:t>Senator Richard Di Natale, Australian Greens</w:t>
            </w:r>
          </w:p>
        </w:tc>
      </w:tr>
      <w:tr w:rsidR="000B5C96" w:rsidTr="003F606A">
        <w:tc>
          <w:tcPr>
            <w:tcW w:w="3005" w:type="dxa"/>
          </w:tcPr>
          <w:p w:rsidR="000B5C96" w:rsidRDefault="000B5C96" w:rsidP="003F606A">
            <w:pPr>
              <w:pStyle w:val="PullOutBoxBodyText"/>
            </w:pPr>
            <w:r>
              <w:t>Date of public release of policy:</w:t>
            </w:r>
          </w:p>
        </w:tc>
        <w:tc>
          <w:tcPr>
            <w:tcW w:w="5335" w:type="dxa"/>
          </w:tcPr>
          <w:p w:rsidR="000B5C96" w:rsidRDefault="000B5C96" w:rsidP="003F606A">
            <w:pPr>
              <w:pStyle w:val="PullOutBoxBodyText"/>
            </w:pPr>
            <w:r w:rsidRPr="00905D48">
              <w:t>2</w:t>
            </w:r>
            <w:r>
              <w:t>2</w:t>
            </w:r>
            <w:r w:rsidRPr="00905D48">
              <w:t xml:space="preserve"> June 2016</w:t>
            </w:r>
          </w:p>
          <w:p w:rsidR="000B5C96" w:rsidRPr="00C17112" w:rsidRDefault="00E46526" w:rsidP="003F606A">
            <w:pPr>
              <w:pStyle w:val="PullOutBoxBodyText"/>
            </w:pPr>
            <w:hyperlink r:id="rId486" w:history="1">
              <w:r w:rsidR="000B5C96" w:rsidRPr="00C26CDA">
                <w:rPr>
                  <w:rStyle w:val="Hyperlink"/>
                </w:rPr>
                <w:t>http://greens.org.au/sites/greens.org.au/files/20160622%20Biosecurity%20initiative.pdf</w:t>
              </w:r>
            </w:hyperlink>
          </w:p>
        </w:tc>
      </w:tr>
      <w:tr w:rsidR="000B5C96" w:rsidTr="003F606A">
        <w:tc>
          <w:tcPr>
            <w:tcW w:w="3005" w:type="dxa"/>
          </w:tcPr>
          <w:p w:rsidR="000B5C96" w:rsidRDefault="000B5C96" w:rsidP="003F606A">
            <w:pPr>
              <w:pStyle w:val="PullOutBoxBodyText"/>
            </w:pPr>
            <w:r>
              <w:t>Date costing request received:</w:t>
            </w:r>
          </w:p>
        </w:tc>
        <w:tc>
          <w:tcPr>
            <w:tcW w:w="5335" w:type="dxa"/>
          </w:tcPr>
          <w:p w:rsidR="000B5C96" w:rsidRDefault="000B5C96" w:rsidP="003F606A">
            <w:pPr>
              <w:pStyle w:val="PullOutBoxBodyText"/>
            </w:pPr>
            <w:r>
              <w:t>29 June 2016</w:t>
            </w:r>
          </w:p>
        </w:tc>
      </w:tr>
      <w:tr w:rsidR="000B5C96" w:rsidTr="003F606A">
        <w:tc>
          <w:tcPr>
            <w:tcW w:w="3005" w:type="dxa"/>
          </w:tcPr>
          <w:p w:rsidR="000B5C96" w:rsidRDefault="000B5C96" w:rsidP="003F606A">
            <w:pPr>
              <w:pStyle w:val="PullOutBoxBodyText"/>
            </w:pPr>
            <w:r>
              <w:t>Date costing completed:</w:t>
            </w:r>
          </w:p>
        </w:tc>
        <w:tc>
          <w:tcPr>
            <w:tcW w:w="5335" w:type="dxa"/>
          </w:tcPr>
          <w:p w:rsidR="000B5C96" w:rsidRPr="00C17112" w:rsidRDefault="000B5C96" w:rsidP="003F606A">
            <w:pPr>
              <w:pStyle w:val="PullOutBoxBodyText"/>
            </w:pPr>
            <w:r>
              <w:t>29 June 2016</w:t>
            </w:r>
          </w:p>
        </w:tc>
      </w:tr>
      <w:tr w:rsidR="000B5C96" w:rsidTr="003F606A">
        <w:tc>
          <w:tcPr>
            <w:tcW w:w="3005" w:type="dxa"/>
          </w:tcPr>
          <w:p w:rsidR="000B5C96" w:rsidRPr="00220BE5" w:rsidRDefault="000B5C96" w:rsidP="003F606A">
            <w:pPr>
              <w:pStyle w:val="PullOutBoxBodyText"/>
            </w:pPr>
            <w:r w:rsidRPr="00220BE5">
              <w:t>Expiry date for the costing:</w:t>
            </w:r>
          </w:p>
        </w:tc>
        <w:tc>
          <w:tcPr>
            <w:tcW w:w="5335" w:type="dxa"/>
          </w:tcPr>
          <w:p w:rsidR="000B5C96" w:rsidRPr="00220BE5" w:rsidRDefault="000B5C96" w:rsidP="003F606A">
            <w:pPr>
              <w:pStyle w:val="PullOutBoxBodyText"/>
            </w:pPr>
            <w:r>
              <w:t>Release of the next economic and fiscal outlook report</w:t>
            </w:r>
          </w:p>
        </w:tc>
      </w:tr>
    </w:tbl>
    <w:p w:rsidR="000B5C96" w:rsidRPr="00002D5D" w:rsidRDefault="000B5C96" w:rsidP="003F606A">
      <w:pPr>
        <w:pStyle w:val="CostingsH7"/>
      </w:pPr>
      <w:r w:rsidRPr="00002D5D">
        <w:t>Costing overview</w:t>
      </w:r>
    </w:p>
    <w:p w:rsidR="000B5C96" w:rsidRPr="009443B0" w:rsidRDefault="000B5C96" w:rsidP="003F606A">
      <w:pPr>
        <w:pStyle w:val="BodyText"/>
      </w:pPr>
      <w:r w:rsidRPr="00CB3EF1">
        <w:t xml:space="preserve">This proposal </w:t>
      </w:r>
      <w:r>
        <w:t xml:space="preserve">would be </w:t>
      </w:r>
      <w:r w:rsidRPr="00CB3EF1">
        <w:t xml:space="preserve">expected to decrease the </w:t>
      </w:r>
      <w:r>
        <w:t xml:space="preserve">fiscal and </w:t>
      </w:r>
      <w:r w:rsidRPr="00CB3EF1">
        <w:t>underlying cash balances by $</w:t>
      </w:r>
      <w:r>
        <w:t>185.2 </w:t>
      </w:r>
      <w:r w:rsidRPr="00CB3EF1">
        <w:t>million over the 2016</w:t>
      </w:r>
      <w:r w:rsidRPr="00CB3EF1">
        <w:noBreakHyphen/>
        <w:t xml:space="preserve">17 Budget forward estimates period. </w:t>
      </w:r>
      <w:r>
        <w:t xml:space="preserve"> This reflects an increase in administered expenditure of $115.6 million and $69.5 million in departmental expenditure.</w:t>
      </w:r>
    </w:p>
    <w:p w:rsidR="000B5C96" w:rsidRPr="006B5EDC" w:rsidRDefault="000B5C96" w:rsidP="003F606A">
      <w:pPr>
        <w:pStyle w:val="BodyText"/>
      </w:pPr>
      <w:r w:rsidRPr="006B5EDC">
        <w:t>The financial impact of this proposal includes a number of components</w:t>
      </w:r>
      <w:r>
        <w:t xml:space="preserve">, only some of which would be expected to have impacts beyond the 2016-17 Budget forward estimates period.  Detailed financial implications are provided at </w:t>
      </w:r>
      <w:r w:rsidRPr="006B5EDC">
        <w:rPr>
          <w:u w:val="single"/>
        </w:rPr>
        <w:t>Attachment</w:t>
      </w:r>
      <w:r>
        <w:rPr>
          <w:u w:val="single"/>
        </w:rPr>
        <w:t> </w:t>
      </w:r>
      <w:r w:rsidRPr="006B5EDC">
        <w:rPr>
          <w:u w:val="single"/>
        </w:rPr>
        <w:t>A</w:t>
      </w:r>
      <w:r w:rsidRPr="006B5EDC">
        <w:t>.</w:t>
      </w:r>
    </w:p>
    <w:p w:rsidR="000B5C96" w:rsidRPr="00002D5D" w:rsidRDefault="000B5C96" w:rsidP="003F606A">
      <w:pPr>
        <w:pStyle w:val="BodyText"/>
        <w:rPr>
          <w:highlight w:val="yellow"/>
        </w:rPr>
      </w:pPr>
      <w:r w:rsidRPr="00317A9A">
        <w:rPr>
          <w:lang w:eastAsia="en-AU"/>
        </w:rPr>
        <w:t xml:space="preserve">This costing is considered to be of </w:t>
      </w:r>
      <w:r>
        <w:rPr>
          <w:lang w:eastAsia="en-AU"/>
        </w:rPr>
        <w:t>medium</w:t>
      </w:r>
      <w:r w:rsidRPr="00317A9A">
        <w:rPr>
          <w:lang w:eastAsia="en-AU"/>
        </w:rPr>
        <w:t xml:space="preserve"> reliability </w:t>
      </w:r>
      <w:r>
        <w:rPr>
          <w:lang w:eastAsia="en-AU"/>
        </w:rPr>
        <w:t>as there is some uncertainty over the size and scope of some of the functions that would be undertaken or funded by the Commonwealth</w:t>
      </w:r>
      <w:r w:rsidRPr="00317A9A">
        <w:rPr>
          <w:lang w:eastAsia="en-AU"/>
        </w:rPr>
        <w:t>.</w:t>
      </w:r>
    </w:p>
    <w:p w:rsidR="000B5C96" w:rsidRPr="00B52088" w:rsidRDefault="000B5C96" w:rsidP="003F606A">
      <w:pPr>
        <w:pStyle w:val="Caption"/>
      </w:pPr>
      <w:r w:rsidRPr="00B52088">
        <w:t>Table 1: Financial implications (outturn prices)</w:t>
      </w:r>
      <w:r w:rsidRPr="00B52088">
        <w:rPr>
          <w:vertAlign w:val="superscript"/>
        </w:rPr>
        <w:t>(a)(b)</w:t>
      </w:r>
    </w:p>
    <w:tbl>
      <w:tblPr>
        <w:tblStyle w:val="TableGrid2"/>
        <w:tblW w:w="4993" w:type="pct"/>
        <w:tblLook w:val="04A0" w:firstRow="1" w:lastRow="0" w:firstColumn="1" w:lastColumn="0" w:noHBand="0" w:noVBand="1"/>
      </w:tblPr>
      <w:tblGrid>
        <w:gridCol w:w="2645"/>
        <w:gridCol w:w="1134"/>
        <w:gridCol w:w="1133"/>
        <w:gridCol w:w="1133"/>
        <w:gridCol w:w="1133"/>
        <w:gridCol w:w="1132"/>
      </w:tblGrid>
      <w:tr w:rsidR="000B5C96" w:rsidRPr="00B52088"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B52088" w:rsidRDefault="000B5C96" w:rsidP="003F606A">
            <w:pPr>
              <w:keepNext/>
              <w:keepLines/>
              <w:spacing w:line="240" w:lineRule="auto"/>
              <w:ind w:left="57" w:right="57"/>
              <w:rPr>
                <w:szCs w:val="20"/>
              </w:rPr>
            </w:pPr>
            <w:r w:rsidRPr="00B52088">
              <w:rPr>
                <w:szCs w:val="20"/>
              </w:rPr>
              <w:t>Impact on ($m)</w:t>
            </w:r>
          </w:p>
        </w:tc>
        <w:tc>
          <w:tcPr>
            <w:tcW w:w="682" w:type="pct"/>
            <w:vAlign w:val="center"/>
          </w:tcPr>
          <w:p w:rsidR="000B5C96" w:rsidRPr="00B5208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B52088">
              <w:rPr>
                <w:szCs w:val="20"/>
              </w:rPr>
              <w:t>2016–17</w:t>
            </w:r>
          </w:p>
        </w:tc>
        <w:tc>
          <w:tcPr>
            <w:tcW w:w="682" w:type="pct"/>
            <w:vAlign w:val="center"/>
          </w:tcPr>
          <w:p w:rsidR="000B5C96" w:rsidRPr="00B5208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B52088">
              <w:rPr>
                <w:szCs w:val="20"/>
              </w:rPr>
              <w:t>2017–18</w:t>
            </w:r>
          </w:p>
        </w:tc>
        <w:tc>
          <w:tcPr>
            <w:tcW w:w="682" w:type="pct"/>
            <w:vAlign w:val="center"/>
          </w:tcPr>
          <w:p w:rsidR="000B5C96" w:rsidRPr="00B5208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B52088">
              <w:rPr>
                <w:szCs w:val="20"/>
              </w:rPr>
              <w:t>2018–19</w:t>
            </w:r>
          </w:p>
        </w:tc>
        <w:tc>
          <w:tcPr>
            <w:tcW w:w="682" w:type="pct"/>
            <w:vAlign w:val="center"/>
          </w:tcPr>
          <w:p w:rsidR="000B5C96" w:rsidRPr="00B5208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52088">
              <w:rPr>
                <w:szCs w:val="20"/>
              </w:rPr>
              <w:t>2019–20</w:t>
            </w:r>
          </w:p>
        </w:tc>
        <w:tc>
          <w:tcPr>
            <w:tcW w:w="681" w:type="pct"/>
            <w:vAlign w:val="center"/>
          </w:tcPr>
          <w:p w:rsidR="000B5C96" w:rsidRPr="00B5208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52088">
              <w:rPr>
                <w:b/>
                <w:szCs w:val="20"/>
              </w:rPr>
              <w:t>Total</w:t>
            </w:r>
          </w:p>
        </w:tc>
      </w:tr>
      <w:tr w:rsidR="000B5C96" w:rsidRPr="00B52088"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B52088" w:rsidRDefault="000B5C96" w:rsidP="003F606A">
            <w:pPr>
              <w:keepNext/>
              <w:keepLines/>
              <w:ind w:left="57" w:right="57"/>
              <w:rPr>
                <w:szCs w:val="20"/>
              </w:rPr>
            </w:pPr>
            <w:r w:rsidRPr="00B52088">
              <w:rPr>
                <w:szCs w:val="20"/>
              </w:rPr>
              <w:t>Fiscal balance</w:t>
            </w:r>
          </w:p>
        </w:tc>
        <w:tc>
          <w:tcPr>
            <w:tcW w:w="682" w:type="pct"/>
          </w:tcPr>
          <w:p w:rsidR="000B5C96" w:rsidRPr="00B5208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52088">
              <w:rPr>
                <w:rFonts w:ascii="Calibri" w:hAnsi="Calibri"/>
              </w:rPr>
              <w:t>-</w:t>
            </w:r>
          </w:p>
        </w:tc>
        <w:tc>
          <w:tcPr>
            <w:tcW w:w="682" w:type="pct"/>
          </w:tcPr>
          <w:p w:rsidR="000B5C96" w:rsidRPr="00B5208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52088">
              <w:rPr>
                <w:rFonts w:ascii="Calibri" w:hAnsi="Calibri"/>
              </w:rPr>
              <w:t>-62.4</w:t>
            </w:r>
          </w:p>
        </w:tc>
        <w:tc>
          <w:tcPr>
            <w:tcW w:w="682" w:type="pct"/>
          </w:tcPr>
          <w:p w:rsidR="000B5C96" w:rsidRPr="00B5208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52088">
              <w:rPr>
                <w:rFonts w:ascii="Calibri" w:hAnsi="Calibri"/>
              </w:rPr>
              <w:t>-61.4</w:t>
            </w:r>
          </w:p>
        </w:tc>
        <w:tc>
          <w:tcPr>
            <w:tcW w:w="682" w:type="pct"/>
          </w:tcPr>
          <w:p w:rsidR="000B5C96" w:rsidRPr="00B5208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52088">
              <w:rPr>
                <w:rFonts w:ascii="Calibri" w:hAnsi="Calibri"/>
              </w:rPr>
              <w:t>-61.4</w:t>
            </w:r>
          </w:p>
        </w:tc>
        <w:tc>
          <w:tcPr>
            <w:tcW w:w="681" w:type="pct"/>
          </w:tcPr>
          <w:p w:rsidR="000B5C96" w:rsidRPr="00B5208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52088">
              <w:rPr>
                <w:rFonts w:ascii="Calibri" w:hAnsi="Calibri"/>
                <w:b/>
              </w:rPr>
              <w:t>-185.2</w:t>
            </w:r>
          </w:p>
        </w:tc>
      </w:tr>
      <w:tr w:rsidR="000B5C96" w:rsidRPr="00B52088"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B52088" w:rsidRDefault="000B5C96" w:rsidP="003F606A">
            <w:pPr>
              <w:keepNext/>
              <w:keepLines/>
              <w:ind w:left="57" w:right="57"/>
              <w:rPr>
                <w:szCs w:val="20"/>
              </w:rPr>
            </w:pPr>
            <w:r w:rsidRPr="00B52088">
              <w:rPr>
                <w:szCs w:val="20"/>
              </w:rPr>
              <w:t>Underlying cash balance</w:t>
            </w:r>
          </w:p>
        </w:tc>
        <w:tc>
          <w:tcPr>
            <w:tcW w:w="682"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w:t>
            </w:r>
          </w:p>
        </w:tc>
        <w:tc>
          <w:tcPr>
            <w:tcW w:w="682"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-62.4</w:t>
            </w:r>
          </w:p>
        </w:tc>
        <w:tc>
          <w:tcPr>
            <w:tcW w:w="682"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-61.4</w:t>
            </w:r>
          </w:p>
        </w:tc>
        <w:tc>
          <w:tcPr>
            <w:tcW w:w="682"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-61.4</w:t>
            </w:r>
          </w:p>
        </w:tc>
        <w:tc>
          <w:tcPr>
            <w:tcW w:w="681"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-185.2</w:t>
            </w:r>
          </w:p>
        </w:tc>
      </w:tr>
    </w:tbl>
    <w:p w:rsidR="000B5C96" w:rsidRPr="00B52088" w:rsidRDefault="000B5C96" w:rsidP="000B5C96">
      <w:pPr>
        <w:pStyle w:val="Footnotes"/>
        <w:keepNext/>
        <w:keepLines/>
        <w:numPr>
          <w:ilvl w:val="0"/>
          <w:numId w:val="7"/>
        </w:numPr>
        <w:ind w:left="284" w:hanging="284"/>
      </w:pPr>
      <w:r w:rsidRPr="00B52088">
        <w:t>A negative number indicates a decrease in the relevant budget balance.</w:t>
      </w:r>
    </w:p>
    <w:p w:rsidR="000B5C96" w:rsidRPr="00B52088" w:rsidRDefault="000B5C96" w:rsidP="000B5C96">
      <w:pPr>
        <w:pStyle w:val="Footnotes"/>
        <w:keepNext/>
        <w:keepLines/>
        <w:numPr>
          <w:ilvl w:val="0"/>
          <w:numId w:val="7"/>
        </w:numPr>
        <w:ind w:left="284" w:hanging="284"/>
      </w:pPr>
      <w:r w:rsidRPr="00B52088">
        <w:t>Figures may not sum to total due to rounding.</w:t>
      </w:r>
    </w:p>
    <w:p w:rsidR="000B5C96" w:rsidRPr="00B52088" w:rsidRDefault="000B5C96" w:rsidP="000B5C96">
      <w:pPr>
        <w:pStyle w:val="Footnotes"/>
        <w:numPr>
          <w:ilvl w:val="0"/>
          <w:numId w:val="125"/>
        </w:numPr>
        <w:ind w:left="284" w:hanging="284"/>
      </w:pPr>
      <w:r w:rsidRPr="00B52088">
        <w:t>Indicates nil.</w:t>
      </w:r>
    </w:p>
    <w:p w:rsidR="000B5C96" w:rsidRPr="00B52088" w:rsidRDefault="000B5C96" w:rsidP="003F606A">
      <w:pPr>
        <w:pStyle w:val="CostingsH7"/>
      </w:pPr>
      <w:r w:rsidRPr="00B52088">
        <w:t>Key assumptions</w:t>
      </w:r>
    </w:p>
    <w:p w:rsidR="000B5C96" w:rsidRPr="00B52088" w:rsidRDefault="000B5C96" w:rsidP="003F606A">
      <w:pPr>
        <w:pStyle w:val="BodyText"/>
      </w:pPr>
      <w:r w:rsidRPr="00B52088">
        <w:t>In costing this proposal it has been assumed that the:</w:t>
      </w:r>
    </w:p>
    <w:p w:rsidR="000B5C96" w:rsidRPr="00B52088" w:rsidRDefault="000B5C96" w:rsidP="000B5C96">
      <w:pPr>
        <w:pStyle w:val="BodyText"/>
        <w:numPr>
          <w:ilvl w:val="0"/>
          <w:numId w:val="135"/>
        </w:numPr>
        <w:spacing w:line="260" w:lineRule="atLeast"/>
        <w:ind w:left="284" w:hanging="284"/>
        <w:rPr>
          <w:lang w:eastAsia="en-AU"/>
        </w:rPr>
      </w:pPr>
      <w:r w:rsidRPr="00B52088">
        <w:rPr>
          <w:lang w:eastAsia="en-AU"/>
        </w:rPr>
        <w:t>secretariat support for the National Biosecurity Commission would be provided by the new National Biosecurity Authority</w:t>
      </w:r>
    </w:p>
    <w:p w:rsidR="000B5C96" w:rsidRPr="00B52088" w:rsidRDefault="000B5C96" w:rsidP="000B5C96">
      <w:pPr>
        <w:pStyle w:val="BodyText"/>
        <w:numPr>
          <w:ilvl w:val="0"/>
          <w:numId w:val="135"/>
        </w:numPr>
        <w:spacing w:line="260" w:lineRule="atLeast"/>
        <w:ind w:left="284" w:hanging="284"/>
        <w:rPr>
          <w:lang w:eastAsia="en-AU"/>
        </w:rPr>
      </w:pPr>
      <w:r w:rsidRPr="00B52088">
        <w:rPr>
          <w:lang w:eastAsia="en-AU"/>
        </w:rPr>
        <w:t>costs for the new National Biosecurity Authority would be partially offset by funding for existing activities to be transferred to the authority from DAWR</w:t>
      </w:r>
    </w:p>
    <w:p w:rsidR="000B5C96" w:rsidRPr="00B52088" w:rsidRDefault="000B5C96" w:rsidP="000B5C96">
      <w:pPr>
        <w:pStyle w:val="BodyText"/>
        <w:numPr>
          <w:ilvl w:val="0"/>
          <w:numId w:val="135"/>
        </w:numPr>
        <w:spacing w:line="260" w:lineRule="atLeast"/>
        <w:ind w:left="284" w:hanging="284"/>
        <w:rPr>
          <w:lang w:eastAsia="en-AU"/>
        </w:rPr>
      </w:pPr>
      <w:r w:rsidRPr="00B52088">
        <w:rPr>
          <w:lang w:eastAsia="en-AU"/>
        </w:rPr>
        <w:t>development of plans and strategies would take two years to complete.</w:t>
      </w:r>
    </w:p>
    <w:p w:rsidR="000B5C96" w:rsidRPr="00B52088" w:rsidRDefault="000B5C96" w:rsidP="003F606A">
      <w:pPr>
        <w:pStyle w:val="CostingsH7"/>
        <w:rPr>
          <w:rFonts w:eastAsia="Calibri"/>
        </w:rPr>
      </w:pPr>
      <w:r w:rsidRPr="00B52088">
        <w:rPr>
          <w:rFonts w:eastAsia="Calibri"/>
        </w:rPr>
        <w:t>Methodology</w:t>
      </w:r>
    </w:p>
    <w:p w:rsidR="000B5C96" w:rsidRPr="00D660EC" w:rsidRDefault="000B5C96" w:rsidP="003F606A">
      <w:pPr>
        <w:pStyle w:val="CostingsH8"/>
        <w:rPr>
          <w:rFonts w:eastAsia="Calibri"/>
          <w:b w:val="0"/>
          <w:color w:val="auto"/>
          <w:sz w:val="22"/>
          <w:szCs w:val="22"/>
          <w:u w:val="single"/>
        </w:rPr>
      </w:pPr>
      <w:r w:rsidRPr="00D660EC">
        <w:rPr>
          <w:rFonts w:eastAsia="Calibri"/>
          <w:b w:val="0"/>
          <w:color w:val="auto"/>
          <w:sz w:val="22"/>
          <w:szCs w:val="22"/>
          <w:u w:val="single"/>
        </w:rPr>
        <w:t>Co</w:t>
      </w:r>
      <w:r>
        <w:rPr>
          <w:rFonts w:eastAsia="Calibri"/>
          <w:b w:val="0"/>
          <w:color w:val="auto"/>
          <w:sz w:val="22"/>
          <w:szCs w:val="22"/>
          <w:u w:val="single"/>
        </w:rPr>
        <w:t>mponent 1: National biosecurity</w:t>
      </w:r>
    </w:p>
    <w:p w:rsidR="000B5C96" w:rsidRPr="00B52088" w:rsidRDefault="000B5C96" w:rsidP="003F606A">
      <w:pPr>
        <w:pStyle w:val="BodyText"/>
      </w:pPr>
      <w:r w:rsidRPr="00B52088">
        <w:t>Departmental expenditure for the establishment of a National Biosecurity Commission and National Biosecurity Authority were based on existing commissions and authorities of a similar size and scope.</w:t>
      </w:r>
    </w:p>
    <w:p w:rsidR="000B5C96" w:rsidRPr="00D660EC" w:rsidRDefault="000B5C96" w:rsidP="003F606A">
      <w:pPr>
        <w:pStyle w:val="CostingsH8"/>
        <w:rPr>
          <w:rFonts w:eastAsia="Calibri"/>
          <w:b w:val="0"/>
          <w:color w:val="auto"/>
          <w:sz w:val="22"/>
          <w:szCs w:val="22"/>
          <w:u w:val="single"/>
        </w:rPr>
      </w:pPr>
      <w:r w:rsidRPr="00D660EC">
        <w:rPr>
          <w:rFonts w:eastAsia="Calibri"/>
          <w:b w:val="0"/>
          <w:color w:val="auto"/>
          <w:sz w:val="22"/>
          <w:szCs w:val="22"/>
          <w:u w:val="single"/>
        </w:rPr>
        <w:t>Component 2: Environmental biosecurity measures</w:t>
      </w:r>
    </w:p>
    <w:p w:rsidR="000B5C96" w:rsidRPr="00B52088" w:rsidRDefault="000B5C96" w:rsidP="003F606A">
      <w:pPr>
        <w:pStyle w:val="BodyText"/>
      </w:pPr>
      <w:r w:rsidRPr="00B52088">
        <w:t>Administered expenditure includes an allocation for ongoing surveillance and inspection functions.</w:t>
      </w:r>
    </w:p>
    <w:p w:rsidR="000B5C96" w:rsidRPr="00B52088" w:rsidRDefault="000B5C96" w:rsidP="003F606A">
      <w:pPr>
        <w:pStyle w:val="BodyText"/>
      </w:pPr>
      <w:r w:rsidRPr="00B52088">
        <w:t>Departmental expenditure includes an ongoing allocation for review of cargo surveillance measures and private agriculture import regulations.</w:t>
      </w:r>
    </w:p>
    <w:p w:rsidR="000B5C96" w:rsidRPr="00D660EC" w:rsidRDefault="000B5C96" w:rsidP="003F606A">
      <w:pPr>
        <w:pStyle w:val="CostingsH8"/>
        <w:rPr>
          <w:rFonts w:eastAsia="Calibri"/>
          <w:b w:val="0"/>
          <w:color w:val="auto"/>
          <w:sz w:val="22"/>
          <w:szCs w:val="22"/>
          <w:u w:val="single"/>
        </w:rPr>
      </w:pPr>
      <w:r w:rsidRPr="00D660EC">
        <w:rPr>
          <w:rFonts w:eastAsia="Calibri"/>
          <w:b w:val="0"/>
          <w:color w:val="auto"/>
          <w:sz w:val="22"/>
          <w:szCs w:val="22"/>
          <w:u w:val="single"/>
        </w:rPr>
        <w:t>Components 3 and 4: Invasive species, and National strategy to protect islands from biosecurity risks</w:t>
      </w:r>
    </w:p>
    <w:p w:rsidR="000B5C96" w:rsidRPr="00B52088" w:rsidRDefault="000B5C96" w:rsidP="003F606A">
      <w:pPr>
        <w:pStyle w:val="BodyText"/>
      </w:pPr>
      <w:r w:rsidRPr="00B52088">
        <w:t>Capped elements of the component are as specified to develop an invasive species target and plan, and a plan to reduce the risks of exotic pests and a national strategy to protect islands from biosecurity risk.</w:t>
      </w:r>
    </w:p>
    <w:p w:rsidR="000B5C96" w:rsidRPr="00B52088" w:rsidRDefault="000B5C96" w:rsidP="003F606A">
      <w:pPr>
        <w:pStyle w:val="BodyText"/>
      </w:pPr>
      <w:r w:rsidRPr="00B52088">
        <w:t>The establishment and ongoing management of a Centre for Invasive Species Solutions and Environment Health Australia are based on like establishments of a similar size and scope.  Funding for these bodies is treated as an administered grant from government to the new bodies consistent with the treatment of funding provided to similar existing bodies.</w:t>
      </w:r>
    </w:p>
    <w:p w:rsidR="000B5C96" w:rsidRPr="00002D5D" w:rsidRDefault="000B5C96" w:rsidP="003F606A">
      <w:pPr>
        <w:pStyle w:val="BodyText"/>
      </w:pPr>
      <w:r>
        <w:t>All departmental expenditure estimates account for the net effect of indexation parameters and the efficiency dividend, in accordance with the Department of Finance’s costing practices.</w:t>
      </w:r>
    </w:p>
    <w:p w:rsidR="000B5C96" w:rsidRDefault="000B5C96" w:rsidP="003F606A">
      <w:pPr>
        <w:pStyle w:val="CostingsH7"/>
      </w:pPr>
      <w:r w:rsidRPr="00FC6579">
        <w:t>Data sources</w:t>
      </w:r>
    </w:p>
    <w:p w:rsidR="000B5C96" w:rsidRPr="00F81CAF" w:rsidRDefault="000B5C96" w:rsidP="000B5C96">
      <w:pPr>
        <w:pStyle w:val="ListBullet"/>
        <w:numPr>
          <w:ilvl w:val="0"/>
          <w:numId w:val="123"/>
        </w:numPr>
        <w:ind w:left="454" w:hanging="454"/>
      </w:pPr>
      <w:r w:rsidRPr="00F81CAF">
        <w:t>DAWR:</w:t>
      </w:r>
    </w:p>
    <w:p w:rsidR="000B5C96" w:rsidRPr="00F81CAF" w:rsidRDefault="000B5C96" w:rsidP="000B5C96">
      <w:pPr>
        <w:pStyle w:val="ListBullet2"/>
        <w:numPr>
          <w:ilvl w:val="0"/>
          <w:numId w:val="124"/>
        </w:numPr>
        <w:ind w:left="908" w:hanging="454"/>
      </w:pPr>
      <w:r w:rsidRPr="00F81CAF">
        <w:t>Portfolio Budget and Additional Estimates Statements (various)</w:t>
      </w:r>
    </w:p>
    <w:p w:rsidR="000B5C96" w:rsidRPr="00F81CAF" w:rsidRDefault="000B5C96" w:rsidP="000B5C96">
      <w:pPr>
        <w:pStyle w:val="ListBullet2"/>
        <w:numPr>
          <w:ilvl w:val="0"/>
          <w:numId w:val="124"/>
        </w:numPr>
        <w:ind w:left="908" w:hanging="454"/>
      </w:pPr>
      <w:r w:rsidRPr="00F81CAF">
        <w:t>Annual reports (various)</w:t>
      </w:r>
    </w:p>
    <w:p w:rsidR="000B5C96" w:rsidRPr="00F81CAF" w:rsidRDefault="000B5C96" w:rsidP="000B5C96">
      <w:pPr>
        <w:pStyle w:val="ListBullet2"/>
        <w:numPr>
          <w:ilvl w:val="0"/>
          <w:numId w:val="124"/>
        </w:numPr>
        <w:ind w:left="908" w:hanging="454"/>
      </w:pPr>
      <w:r w:rsidRPr="00F81CAF">
        <w:t>Contract listings (various).</w:t>
      </w:r>
    </w:p>
    <w:p w:rsidR="000B5C96" w:rsidRPr="00F81CAF" w:rsidRDefault="000B5C96" w:rsidP="000B5C96">
      <w:pPr>
        <w:pStyle w:val="ListBullet"/>
        <w:numPr>
          <w:ilvl w:val="0"/>
          <w:numId w:val="123"/>
        </w:numPr>
        <w:ind w:left="454" w:hanging="454"/>
      </w:pPr>
      <w:r w:rsidRPr="00F81CAF">
        <w:t>Department of Environment:</w:t>
      </w:r>
    </w:p>
    <w:p w:rsidR="000B5C96" w:rsidRPr="00F81CAF" w:rsidRDefault="000B5C96" w:rsidP="000B5C96">
      <w:pPr>
        <w:pStyle w:val="ListBullet2"/>
        <w:numPr>
          <w:ilvl w:val="0"/>
          <w:numId w:val="124"/>
        </w:numPr>
        <w:ind w:left="908" w:hanging="454"/>
      </w:pPr>
      <w:r w:rsidRPr="00F81CAF">
        <w:t>Portfolio Budget and Additional Estimates Statements (various)</w:t>
      </w:r>
    </w:p>
    <w:p w:rsidR="000B5C96" w:rsidRPr="00F81CAF" w:rsidRDefault="000B5C96" w:rsidP="000B5C96">
      <w:pPr>
        <w:pStyle w:val="ListBullet2"/>
        <w:numPr>
          <w:ilvl w:val="0"/>
          <w:numId w:val="124"/>
        </w:numPr>
        <w:ind w:left="908" w:hanging="454"/>
      </w:pPr>
      <w:r w:rsidRPr="00F81CAF">
        <w:t>Annual reports (various)</w:t>
      </w:r>
    </w:p>
    <w:p w:rsidR="000B5C96" w:rsidRPr="00F81CAF" w:rsidRDefault="000B5C96" w:rsidP="000B5C96">
      <w:pPr>
        <w:pStyle w:val="ListBullet2"/>
        <w:numPr>
          <w:ilvl w:val="0"/>
          <w:numId w:val="124"/>
        </w:numPr>
        <w:ind w:left="908" w:hanging="454"/>
      </w:pPr>
      <w:r w:rsidRPr="00F81CAF">
        <w:t xml:space="preserve">Contract listings (various). </w:t>
      </w:r>
    </w:p>
    <w:p w:rsidR="000B5C96" w:rsidRPr="00F81CAF" w:rsidRDefault="000B5C96" w:rsidP="000B5C96">
      <w:pPr>
        <w:pStyle w:val="ListBullet"/>
        <w:numPr>
          <w:ilvl w:val="0"/>
          <w:numId w:val="123"/>
        </w:numPr>
        <w:ind w:left="454" w:hanging="454"/>
      </w:pPr>
      <w:r w:rsidRPr="00F81CAF">
        <w:t>Environmental Biosecurity, Senate Environment and Communications References Committee, May 2015.</w:t>
      </w:r>
    </w:p>
    <w:p w:rsidR="000B5C96" w:rsidRPr="00F81CAF" w:rsidRDefault="000B5C96" w:rsidP="000B5C96">
      <w:pPr>
        <w:pStyle w:val="ListBullet"/>
        <w:numPr>
          <w:ilvl w:val="0"/>
          <w:numId w:val="123"/>
        </w:numPr>
        <w:ind w:left="454" w:hanging="454"/>
      </w:pPr>
      <w:r w:rsidRPr="00F81CAF">
        <w:t>Invasive Animals Cooperative Research Centre – Annual Report (various).</w:t>
      </w:r>
    </w:p>
    <w:p w:rsidR="000B5C96" w:rsidRPr="00F81CAF" w:rsidRDefault="000B5C96" w:rsidP="000B5C96">
      <w:pPr>
        <w:pStyle w:val="ListBullet"/>
        <w:numPr>
          <w:ilvl w:val="0"/>
          <w:numId w:val="123"/>
        </w:numPr>
        <w:ind w:left="454" w:hanging="454"/>
      </w:pPr>
      <w:r w:rsidRPr="00F81CAF">
        <w:t>One Biosecurity: a working partnership, Beale et al, 30 September 2008.</w:t>
      </w:r>
    </w:p>
    <w:p w:rsidR="000B5C96" w:rsidRPr="00F81CAF" w:rsidRDefault="000B5C96" w:rsidP="000B5C96">
      <w:pPr>
        <w:pStyle w:val="ListBullet"/>
        <w:numPr>
          <w:ilvl w:val="0"/>
          <w:numId w:val="123"/>
        </w:numPr>
        <w:ind w:left="454" w:hanging="454"/>
      </w:pPr>
      <w:r w:rsidRPr="00F81CAF">
        <w:t>Plant Health Australia - Annual reports (various).</w:t>
      </w:r>
    </w:p>
    <w:p w:rsidR="000B5C96" w:rsidRPr="00F81CAF" w:rsidRDefault="000B5C96" w:rsidP="000B5C96">
      <w:pPr>
        <w:pStyle w:val="ListBullet"/>
        <w:numPr>
          <w:ilvl w:val="0"/>
          <w:numId w:val="123"/>
        </w:numPr>
        <w:ind w:left="454" w:hanging="454"/>
      </w:pPr>
      <w:r w:rsidRPr="00F81CAF">
        <w:t>Remuneration Tribunal - Determination 2015/02: Remuneration and Allowances for Holders of Part-Time Public Office.</w:t>
      </w:r>
    </w:p>
    <w:p w:rsidR="000B5C96" w:rsidRPr="00F81CAF" w:rsidRDefault="000B5C96" w:rsidP="000B5C96">
      <w:pPr>
        <w:pStyle w:val="ListBullet"/>
        <w:numPr>
          <w:ilvl w:val="0"/>
          <w:numId w:val="123"/>
        </w:numPr>
        <w:ind w:left="454" w:hanging="454"/>
      </w:pPr>
      <w:r w:rsidRPr="00F81CAF">
        <w:t>The Department of Finance provided indexation and efficiency dividend parameters.</w:t>
      </w:r>
    </w:p>
    <w:p w:rsidR="000B5C96" w:rsidRPr="00F81CAF" w:rsidRDefault="000B5C96" w:rsidP="000B5C96">
      <w:pPr>
        <w:pStyle w:val="ListBullet"/>
        <w:numPr>
          <w:ilvl w:val="0"/>
          <w:numId w:val="123"/>
        </w:numPr>
        <w:ind w:left="454" w:hanging="454"/>
        <w:sectPr w:rsidR="000B5C96" w:rsidRPr="00F81CAF" w:rsidSect="003F606A">
          <w:headerReference w:type="even" r:id="rId487"/>
          <w:headerReference w:type="default" r:id="rId488"/>
          <w:footerReference w:type="even" r:id="rId489"/>
          <w:footerReference w:type="default" r:id="rId490"/>
          <w:headerReference w:type="first" r:id="rId491"/>
          <w:footerReference w:type="first" r:id="rId492"/>
          <w:pgSz w:w="11906" w:h="16838"/>
          <w:pgMar w:top="1361" w:right="1797" w:bottom="1474" w:left="1797" w:header="283" w:footer="454" w:gutter="0"/>
          <w:cols w:space="708"/>
          <w:docGrid w:linePitch="360"/>
        </w:sectPr>
      </w:pPr>
    </w:p>
    <w:p w:rsidR="000B5C96" w:rsidRDefault="000B5C96" w:rsidP="000B5C96">
      <w:pPr>
        <w:pStyle w:val="Heading6"/>
        <w:numPr>
          <w:ilvl w:val="0"/>
          <w:numId w:val="5"/>
        </w:numPr>
        <w:tabs>
          <w:tab w:val="right" w:pos="1418"/>
          <w:tab w:val="right" w:pos="1701"/>
          <w:tab w:val="right" w:pos="1985"/>
        </w:tabs>
      </w:pPr>
      <w:r>
        <w:t>Attachment A: A coordinated approach to biosecurity—financial implications</w:t>
      </w:r>
    </w:p>
    <w:p w:rsidR="000B5C96" w:rsidRDefault="000B5C96" w:rsidP="003F606A">
      <w:pPr>
        <w:pStyle w:val="Caption"/>
      </w:pPr>
      <w:r>
        <w:t>Table A1: Combined impact of all components—Financial implications</w:t>
      </w:r>
      <w:r>
        <w:rPr>
          <w:vertAlign w:val="superscript"/>
        </w:rPr>
        <w:t>(a)(b)</w:t>
      </w:r>
    </w:p>
    <w:tbl>
      <w:tblPr>
        <w:tblStyle w:val="TableGrid"/>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rPr>
                <w:szCs w:val="20"/>
              </w:rPr>
            </w:pPr>
            <w:r>
              <w:rPr>
                <w:szCs w:val="20"/>
              </w:rPr>
              <w:t>($m)</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2016–17</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2017–18</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2018–19</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2019–20</w:t>
            </w:r>
          </w:p>
        </w:tc>
        <w:tc>
          <w:tcPr>
            <w:tcW w:w="32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b w:val="0"/>
                <w:szCs w:val="20"/>
              </w:rPr>
              <w:t>Total to 2019–20</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2020–21</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2021–22</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2022–23</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2023–24</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2024–25</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2025–26</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2026–27</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b w:val="0"/>
                <w:szCs w:val="20"/>
              </w:rPr>
              <w:t>Total to 2026–27</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hideMark/>
          </w:tcPr>
          <w:p w:rsidR="000B5C96" w:rsidRDefault="000B5C96">
            <w:pPr>
              <w:pStyle w:val="TableHeadingCentred"/>
              <w:spacing w:line="240" w:lineRule="auto"/>
              <w:ind w:left="57" w:right="57"/>
              <w:jc w:val="left"/>
              <w:rPr>
                <w:szCs w:val="20"/>
              </w:rPr>
            </w:pPr>
            <w:r>
              <w:rPr>
                <w:b w:val="0"/>
                <w:szCs w:val="20"/>
              </w:rPr>
              <w:t>Impact on fiscal and underlying cash balances</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rPr>
                <w:color w:val="000000"/>
                <w:szCs w:val="20"/>
              </w:rPr>
            </w:pPr>
            <w:r>
              <w:rPr>
                <w:color w:val="000000"/>
                <w:szCs w:val="20"/>
              </w:rPr>
              <w:t>Administered</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-39.1</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-38.0</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-38.5</w:t>
            </w:r>
          </w:p>
        </w:tc>
        <w:tc>
          <w:tcPr>
            <w:tcW w:w="327"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-115.6</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-39.0</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-39.5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-20.8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-21.1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-21.4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-21.8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-22.1 </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 xml:space="preserve">-301.3 </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rPr>
                <w:color w:val="000000"/>
                <w:szCs w:val="20"/>
              </w:rPr>
            </w:pPr>
            <w:r>
              <w:rPr>
                <w:color w:val="000000"/>
                <w:szCs w:val="20"/>
              </w:rPr>
              <w:t>Departmental</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-23.3</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-23.3</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-22.9</w:t>
            </w:r>
          </w:p>
        </w:tc>
        <w:tc>
          <w:tcPr>
            <w:tcW w:w="327"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-69.5</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-23.0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-21.0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-21.1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-21.2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-21.2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-21.3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szCs w:val="20"/>
              </w:rPr>
            </w:pPr>
            <w:r>
              <w:rPr>
                <w:szCs w:val="20"/>
              </w:rPr>
              <w:t xml:space="preserve">-21.3 </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 xml:space="preserve">-219.7 </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spacing w:line="240" w:lineRule="auto"/>
              <w:rPr>
                <w:b/>
                <w:bCs/>
                <w:color w:val="000000"/>
                <w:szCs w:val="20"/>
              </w:rPr>
            </w:pPr>
            <w:r>
              <w:rPr>
                <w:b/>
                <w:bCs/>
                <w:color w:val="000000"/>
                <w:szCs w:val="20"/>
              </w:rPr>
              <w:t>Total</w:t>
            </w:r>
          </w:p>
        </w:tc>
        <w:tc>
          <w:tcPr>
            <w:tcW w:w="326"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bCs/>
                <w:szCs w:val="20"/>
              </w:rPr>
            </w:pPr>
            <w:r>
              <w:rPr>
                <w:b/>
                <w:bCs/>
                <w:i/>
                <w:szCs w:val="20"/>
              </w:rPr>
              <w:t>-</w:t>
            </w:r>
          </w:p>
        </w:tc>
        <w:tc>
          <w:tcPr>
            <w:tcW w:w="325"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bCs/>
                <w:szCs w:val="20"/>
              </w:rPr>
            </w:pPr>
            <w:r>
              <w:rPr>
                <w:b/>
                <w:bCs/>
                <w:i/>
                <w:szCs w:val="20"/>
              </w:rPr>
              <w:t>-62.4</w:t>
            </w:r>
          </w:p>
        </w:tc>
        <w:tc>
          <w:tcPr>
            <w:tcW w:w="325"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bCs/>
                <w:szCs w:val="20"/>
              </w:rPr>
            </w:pPr>
            <w:r>
              <w:rPr>
                <w:b/>
                <w:bCs/>
                <w:i/>
                <w:szCs w:val="20"/>
              </w:rPr>
              <w:t>-61.4</w:t>
            </w:r>
          </w:p>
        </w:tc>
        <w:tc>
          <w:tcPr>
            <w:tcW w:w="325"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bCs/>
                <w:szCs w:val="20"/>
              </w:rPr>
            </w:pPr>
            <w:r>
              <w:rPr>
                <w:b/>
                <w:bCs/>
                <w:i/>
                <w:szCs w:val="20"/>
              </w:rPr>
              <w:t>-61.4</w:t>
            </w:r>
          </w:p>
        </w:tc>
        <w:tc>
          <w:tcPr>
            <w:tcW w:w="327"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bCs/>
                <w:szCs w:val="20"/>
              </w:rPr>
            </w:pPr>
            <w:r>
              <w:rPr>
                <w:b/>
                <w:bCs/>
                <w:i/>
                <w:szCs w:val="20"/>
              </w:rPr>
              <w:t>-185.2</w:t>
            </w:r>
          </w:p>
        </w:tc>
        <w:tc>
          <w:tcPr>
            <w:tcW w:w="325"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 xml:space="preserve">-62.0 </w:t>
            </w:r>
          </w:p>
        </w:tc>
        <w:tc>
          <w:tcPr>
            <w:tcW w:w="325"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 xml:space="preserve">-60.5 </w:t>
            </w:r>
          </w:p>
        </w:tc>
        <w:tc>
          <w:tcPr>
            <w:tcW w:w="325"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 xml:space="preserve">-41.9 </w:t>
            </w:r>
          </w:p>
        </w:tc>
        <w:tc>
          <w:tcPr>
            <w:tcW w:w="325"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 xml:space="preserve">-42.3 </w:t>
            </w:r>
          </w:p>
        </w:tc>
        <w:tc>
          <w:tcPr>
            <w:tcW w:w="325"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 xml:space="preserve">-42.7 </w:t>
            </w:r>
          </w:p>
        </w:tc>
        <w:tc>
          <w:tcPr>
            <w:tcW w:w="325"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 xml:space="preserve">-43.1 </w:t>
            </w:r>
          </w:p>
        </w:tc>
        <w:tc>
          <w:tcPr>
            <w:tcW w:w="325"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 xml:space="preserve">-43.5 </w:t>
            </w:r>
          </w:p>
        </w:tc>
        <w:tc>
          <w:tcPr>
            <w:tcW w:w="326"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szCs w:val="20"/>
              </w:rPr>
            </w:pPr>
            <w:r>
              <w:rPr>
                <w:b/>
                <w:szCs w:val="20"/>
              </w:rPr>
              <w:t xml:space="preserve">-521.0 </w:t>
            </w:r>
          </w:p>
        </w:tc>
      </w:tr>
    </w:tbl>
    <w:p w:rsidR="000B5C96" w:rsidRDefault="000B5C96" w:rsidP="004810EE">
      <w:pPr>
        <w:pStyle w:val="Footnotes"/>
        <w:numPr>
          <w:ilvl w:val="0"/>
          <w:numId w:val="219"/>
        </w:numPr>
        <w:ind w:left="284" w:hanging="284"/>
      </w:pPr>
      <w:r>
        <w:t>A negative number indicates a decrease in revenue or an increase in expenses or net capital investment in accrual and cash terms.</w:t>
      </w:r>
    </w:p>
    <w:p w:rsidR="000B5C96" w:rsidRDefault="000B5C96" w:rsidP="004810EE">
      <w:pPr>
        <w:pStyle w:val="Footnotes"/>
        <w:numPr>
          <w:ilvl w:val="0"/>
          <w:numId w:val="7"/>
        </w:numPr>
        <w:ind w:left="284" w:hanging="284"/>
      </w:pPr>
      <w:r>
        <w:t>Figures may not sum to total due to rounding.</w:t>
      </w:r>
    </w:p>
    <w:p w:rsidR="000B5C96" w:rsidRDefault="000B5C96" w:rsidP="004810EE">
      <w:pPr>
        <w:pStyle w:val="Footnotes"/>
        <w:numPr>
          <w:ilvl w:val="0"/>
          <w:numId w:val="125"/>
        </w:numPr>
        <w:ind w:left="284" w:hanging="284"/>
      </w:pPr>
      <w:r>
        <w:t>Indicates nil.</w:t>
      </w:r>
    </w:p>
    <w:p w:rsidR="000B5C96" w:rsidRPr="00B52088" w:rsidRDefault="000B5C96" w:rsidP="003F606A">
      <w:pPr>
        <w:pStyle w:val="Caption"/>
      </w:pPr>
      <w:r w:rsidRPr="00B52088">
        <w:t>Table A2: Component 1: National biosecurity—Financial implications</w:t>
      </w:r>
      <w:r w:rsidRPr="00B52088">
        <w:rPr>
          <w:vertAlign w:val="superscript"/>
        </w:rPr>
        <w:t>(a)(b)</w:t>
      </w:r>
    </w:p>
    <w:tbl>
      <w:tblPr>
        <w:tblStyle w:val="TableGrid4"/>
        <w:tblW w:w="5006" w:type="pct"/>
        <w:tblLook w:val="0680" w:firstRow="0" w:lastRow="0" w:firstColumn="1" w:lastColumn="0" w:noHBand="1" w:noVBand="1"/>
      </w:tblPr>
      <w:tblGrid>
        <w:gridCol w:w="2019"/>
        <w:gridCol w:w="864"/>
        <w:gridCol w:w="864"/>
        <w:gridCol w:w="859"/>
        <w:gridCol w:w="6"/>
        <w:gridCol w:w="862"/>
        <w:gridCol w:w="6"/>
        <w:gridCol w:w="862"/>
        <w:gridCol w:w="6"/>
        <w:gridCol w:w="856"/>
        <w:gridCol w:w="6"/>
        <w:gridCol w:w="857"/>
        <w:gridCol w:w="6"/>
        <w:gridCol w:w="860"/>
        <w:gridCol w:w="6"/>
        <w:gridCol w:w="863"/>
        <w:gridCol w:w="6"/>
        <w:gridCol w:w="863"/>
        <w:gridCol w:w="6"/>
        <w:gridCol w:w="863"/>
        <w:gridCol w:w="6"/>
        <w:gridCol w:w="865"/>
        <w:gridCol w:w="860"/>
      </w:tblGrid>
      <w:tr w:rsidR="000B5C96" w:rsidRPr="00B52088" w:rsidTr="003F606A">
        <w:trPr>
          <w:cantSplit/>
          <w:tblHeader/>
        </w:trPr>
        <w:tc>
          <w:tcPr>
            <w:cnfStyle w:val="001000000000" w:firstRow="0" w:lastRow="0" w:firstColumn="1" w:lastColumn="0" w:oddVBand="0" w:evenVBand="0" w:oddHBand="0" w:evenHBand="0" w:firstRowFirstColumn="0" w:firstRowLastColumn="0" w:lastRowFirstColumn="0" w:lastRowLastColumn="0"/>
            <w:tcW w:w="761" w:type="pct"/>
            <w:shd w:val="clear" w:color="auto" w:fill="D7DDE9"/>
          </w:tcPr>
          <w:p w:rsidR="000B5C96" w:rsidRPr="00B52088" w:rsidRDefault="000B5C96" w:rsidP="003F606A">
            <w:pPr>
              <w:keepNext/>
              <w:keepLines/>
              <w:spacing w:after="10"/>
              <w:ind w:left="57" w:right="57"/>
              <w:rPr>
                <w:szCs w:val="20"/>
              </w:rPr>
            </w:pPr>
            <w:r w:rsidRPr="00B52088">
              <w:rPr>
                <w:szCs w:val="20"/>
              </w:rPr>
              <w:t>($m)</w:t>
            </w:r>
          </w:p>
        </w:tc>
        <w:tc>
          <w:tcPr>
            <w:tcW w:w="326" w:type="pct"/>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2016–17</w:t>
            </w:r>
          </w:p>
        </w:tc>
        <w:tc>
          <w:tcPr>
            <w:tcW w:w="326" w:type="pct"/>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2017–18</w:t>
            </w:r>
          </w:p>
        </w:tc>
        <w:tc>
          <w:tcPr>
            <w:tcW w:w="324" w:type="pct"/>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2018–19</w:t>
            </w:r>
          </w:p>
        </w:tc>
        <w:tc>
          <w:tcPr>
            <w:tcW w:w="327"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2019–20</w:t>
            </w:r>
          </w:p>
        </w:tc>
        <w:tc>
          <w:tcPr>
            <w:tcW w:w="327"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Total to 2019–20</w:t>
            </w:r>
          </w:p>
        </w:tc>
        <w:tc>
          <w:tcPr>
            <w:tcW w:w="325"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2020–21</w:t>
            </w:r>
          </w:p>
        </w:tc>
        <w:tc>
          <w:tcPr>
            <w:tcW w:w="325"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2021–22</w:t>
            </w:r>
          </w:p>
        </w:tc>
        <w:tc>
          <w:tcPr>
            <w:tcW w:w="326"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2022–23</w:t>
            </w:r>
          </w:p>
        </w:tc>
        <w:tc>
          <w:tcPr>
            <w:tcW w:w="327"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2023–24</w:t>
            </w:r>
          </w:p>
        </w:tc>
        <w:tc>
          <w:tcPr>
            <w:tcW w:w="327"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2024–25</w:t>
            </w:r>
          </w:p>
        </w:tc>
        <w:tc>
          <w:tcPr>
            <w:tcW w:w="327"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2025–26</w:t>
            </w:r>
          </w:p>
        </w:tc>
        <w:tc>
          <w:tcPr>
            <w:tcW w:w="326"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2026–27</w:t>
            </w:r>
          </w:p>
        </w:tc>
        <w:tc>
          <w:tcPr>
            <w:tcW w:w="326" w:type="pct"/>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Total to 2026–27</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23"/>
            <w:shd w:val="clear" w:color="auto" w:fill="D7DDE9"/>
          </w:tcPr>
          <w:p w:rsidR="000B5C96" w:rsidRPr="00B52088" w:rsidRDefault="000B5C96" w:rsidP="003F606A">
            <w:pPr>
              <w:keepNext/>
              <w:keepLines/>
              <w:spacing w:after="10"/>
              <w:ind w:left="57" w:right="57"/>
              <w:rPr>
                <w:b/>
                <w:szCs w:val="20"/>
              </w:rPr>
            </w:pPr>
            <w:r w:rsidRPr="00B52088">
              <w:rPr>
                <w:b/>
                <w:szCs w:val="20"/>
              </w:rPr>
              <w:t>Impact on fiscal and underlying cash balances</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23"/>
            <w:shd w:val="clear" w:color="auto" w:fill="E9ECF3"/>
          </w:tcPr>
          <w:p w:rsidR="000B5C96" w:rsidRPr="00B52088" w:rsidRDefault="000B5C96" w:rsidP="003F606A">
            <w:pPr>
              <w:keepNext/>
              <w:keepLines/>
              <w:spacing w:after="10"/>
              <w:ind w:left="57" w:right="57"/>
              <w:rPr>
                <w:b/>
                <w:szCs w:val="20"/>
              </w:rPr>
            </w:pPr>
            <w:r w:rsidRPr="00B52088">
              <w:rPr>
                <w:b/>
                <w:szCs w:val="20"/>
              </w:rPr>
              <w:t>Departmental</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61" w:type="pct"/>
          </w:tcPr>
          <w:p w:rsidR="000B5C96" w:rsidRPr="00B52088" w:rsidRDefault="000B5C96" w:rsidP="003F606A">
            <w:pPr>
              <w:keepNext/>
              <w:keepLines/>
              <w:spacing w:after="10"/>
              <w:ind w:left="57" w:right="57"/>
              <w:rPr>
                <w:szCs w:val="20"/>
              </w:rPr>
            </w:pPr>
            <w:r w:rsidRPr="00B52088">
              <w:rPr>
                <w:szCs w:val="20"/>
              </w:rPr>
              <w:t>National Biosecurity Commission</w:t>
            </w:r>
          </w:p>
        </w:tc>
        <w:tc>
          <w:tcPr>
            <w:tcW w:w="326"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26"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26"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-1.6</w:t>
            </w:r>
          </w:p>
        </w:tc>
        <w:tc>
          <w:tcPr>
            <w:tcW w:w="325"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-0.6</w:t>
            </w:r>
          </w:p>
        </w:tc>
        <w:tc>
          <w:tcPr>
            <w:tcW w:w="325"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-0.6</w:t>
            </w:r>
          </w:p>
        </w:tc>
        <w:tc>
          <w:tcPr>
            <w:tcW w:w="326"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-0.6</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-0.6</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-0.6</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-0.6</w:t>
            </w:r>
          </w:p>
        </w:tc>
        <w:tc>
          <w:tcPr>
            <w:tcW w:w="326"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-0.6</w:t>
            </w:r>
          </w:p>
        </w:tc>
        <w:tc>
          <w:tcPr>
            <w:tcW w:w="324"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-5.6</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61" w:type="pct"/>
          </w:tcPr>
          <w:p w:rsidR="000B5C96" w:rsidRPr="00B52088" w:rsidRDefault="000B5C96" w:rsidP="003F606A">
            <w:pPr>
              <w:keepNext/>
              <w:keepLines/>
              <w:spacing w:after="10"/>
              <w:ind w:left="57" w:right="57"/>
              <w:rPr>
                <w:szCs w:val="20"/>
              </w:rPr>
            </w:pPr>
            <w:r w:rsidRPr="00B52088">
              <w:rPr>
                <w:szCs w:val="20"/>
              </w:rPr>
              <w:t>National Biosecurity Authority</w:t>
            </w:r>
          </w:p>
        </w:tc>
        <w:tc>
          <w:tcPr>
            <w:tcW w:w="326"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26"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-8.2</w:t>
            </w:r>
          </w:p>
        </w:tc>
        <w:tc>
          <w:tcPr>
            <w:tcW w:w="326"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-8.1</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-8.1</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-24.4</w:t>
            </w:r>
          </w:p>
        </w:tc>
        <w:tc>
          <w:tcPr>
            <w:tcW w:w="325"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-8.2</w:t>
            </w:r>
          </w:p>
        </w:tc>
        <w:tc>
          <w:tcPr>
            <w:tcW w:w="325"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-8.2</w:t>
            </w:r>
          </w:p>
        </w:tc>
        <w:tc>
          <w:tcPr>
            <w:tcW w:w="326"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-8.3</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-8.4</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-8.4</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-8.5</w:t>
            </w:r>
          </w:p>
        </w:tc>
        <w:tc>
          <w:tcPr>
            <w:tcW w:w="326"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-8.5</w:t>
            </w:r>
          </w:p>
        </w:tc>
        <w:tc>
          <w:tcPr>
            <w:tcW w:w="324"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-83.0</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61" w:type="pct"/>
          </w:tcPr>
          <w:p w:rsidR="000B5C96" w:rsidRPr="00B52088" w:rsidRDefault="000B5C96" w:rsidP="003F606A">
            <w:pPr>
              <w:keepNext/>
              <w:keepLines/>
              <w:spacing w:after="10"/>
              <w:ind w:left="57" w:right="57"/>
              <w:rPr>
                <w:b/>
                <w:szCs w:val="20"/>
              </w:rPr>
            </w:pPr>
            <w:r w:rsidRPr="00B52088">
              <w:rPr>
                <w:b/>
                <w:szCs w:val="20"/>
              </w:rPr>
              <w:t>Total - departmental</w:t>
            </w:r>
          </w:p>
        </w:tc>
        <w:tc>
          <w:tcPr>
            <w:tcW w:w="326"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w:t>
            </w:r>
          </w:p>
        </w:tc>
        <w:tc>
          <w:tcPr>
            <w:tcW w:w="326"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-8.7</w:t>
            </w:r>
          </w:p>
        </w:tc>
        <w:tc>
          <w:tcPr>
            <w:tcW w:w="326"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-8.7</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-8.7</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-26.1</w:t>
            </w:r>
          </w:p>
        </w:tc>
        <w:tc>
          <w:tcPr>
            <w:tcW w:w="325"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-8.7</w:t>
            </w:r>
          </w:p>
        </w:tc>
        <w:tc>
          <w:tcPr>
            <w:tcW w:w="325"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-8.8</w:t>
            </w:r>
          </w:p>
        </w:tc>
        <w:tc>
          <w:tcPr>
            <w:tcW w:w="326"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-8.9</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-8.9</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-9.0</w:t>
            </w:r>
          </w:p>
        </w:tc>
        <w:tc>
          <w:tcPr>
            <w:tcW w:w="327" w:type="pct"/>
            <w:gridSpan w:val="2"/>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-9.0</w:t>
            </w:r>
          </w:p>
        </w:tc>
        <w:tc>
          <w:tcPr>
            <w:tcW w:w="326"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-9.1</w:t>
            </w:r>
          </w:p>
        </w:tc>
        <w:tc>
          <w:tcPr>
            <w:tcW w:w="324" w:type="pct"/>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-88.5</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61" w:type="pct"/>
            <w:shd w:val="clear" w:color="auto" w:fill="D7DDE9"/>
          </w:tcPr>
          <w:p w:rsidR="000B5C96" w:rsidRPr="00B52088" w:rsidRDefault="000B5C96" w:rsidP="003F606A">
            <w:pPr>
              <w:keepNext/>
              <w:keepLines/>
              <w:spacing w:after="10"/>
              <w:ind w:left="57" w:right="57"/>
              <w:rPr>
                <w:b/>
                <w:szCs w:val="20"/>
              </w:rPr>
            </w:pPr>
            <w:r w:rsidRPr="00B52088">
              <w:rPr>
                <w:b/>
                <w:szCs w:val="20"/>
              </w:rPr>
              <w:t>Total</w:t>
            </w:r>
          </w:p>
        </w:tc>
        <w:tc>
          <w:tcPr>
            <w:tcW w:w="326" w:type="pct"/>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w:t>
            </w:r>
          </w:p>
        </w:tc>
        <w:tc>
          <w:tcPr>
            <w:tcW w:w="326" w:type="pct"/>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-8.7</w:t>
            </w:r>
          </w:p>
        </w:tc>
        <w:tc>
          <w:tcPr>
            <w:tcW w:w="326"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-8.7</w:t>
            </w:r>
          </w:p>
        </w:tc>
        <w:tc>
          <w:tcPr>
            <w:tcW w:w="327"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-8.7</w:t>
            </w:r>
          </w:p>
        </w:tc>
        <w:tc>
          <w:tcPr>
            <w:tcW w:w="327"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-26.1</w:t>
            </w:r>
          </w:p>
        </w:tc>
        <w:tc>
          <w:tcPr>
            <w:tcW w:w="325"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-8.7</w:t>
            </w:r>
          </w:p>
        </w:tc>
        <w:tc>
          <w:tcPr>
            <w:tcW w:w="325"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-8.8</w:t>
            </w:r>
          </w:p>
        </w:tc>
        <w:tc>
          <w:tcPr>
            <w:tcW w:w="326"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-8.9</w:t>
            </w:r>
          </w:p>
        </w:tc>
        <w:tc>
          <w:tcPr>
            <w:tcW w:w="327"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-8.9</w:t>
            </w:r>
          </w:p>
        </w:tc>
        <w:tc>
          <w:tcPr>
            <w:tcW w:w="327"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-9.0</w:t>
            </w:r>
          </w:p>
        </w:tc>
        <w:tc>
          <w:tcPr>
            <w:tcW w:w="327" w:type="pct"/>
            <w:gridSpan w:val="2"/>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-9.0</w:t>
            </w:r>
          </w:p>
        </w:tc>
        <w:tc>
          <w:tcPr>
            <w:tcW w:w="326" w:type="pct"/>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-9.1</w:t>
            </w:r>
          </w:p>
        </w:tc>
        <w:tc>
          <w:tcPr>
            <w:tcW w:w="324" w:type="pct"/>
            <w:shd w:val="clear" w:color="auto" w:fill="D7DDE9"/>
          </w:tcPr>
          <w:p w:rsidR="000B5C96" w:rsidRPr="00B52088" w:rsidRDefault="000B5C96" w:rsidP="004810EE">
            <w:pPr>
              <w:keepNext/>
              <w:keepLines/>
              <w:spacing w:after="10"/>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-88.5</w:t>
            </w:r>
          </w:p>
        </w:tc>
      </w:tr>
    </w:tbl>
    <w:p w:rsidR="000B5C96" w:rsidRPr="00DA787B" w:rsidRDefault="000B5C96" w:rsidP="004810EE">
      <w:pPr>
        <w:pStyle w:val="Footnotes"/>
        <w:keepNext/>
        <w:keepLines/>
        <w:numPr>
          <w:ilvl w:val="0"/>
          <w:numId w:val="220"/>
        </w:numPr>
        <w:ind w:left="284" w:hanging="284"/>
      </w:pPr>
      <w:r w:rsidRPr="00DA787B">
        <w:t>A negative number for the underlying cash and fiscal balances indicates an increase in expenditure.  Impacts on the fiscal and underlying cash balances are equal.</w:t>
      </w:r>
    </w:p>
    <w:p w:rsidR="000B5C96" w:rsidRPr="00B52088" w:rsidRDefault="000B5C96" w:rsidP="004810EE">
      <w:pPr>
        <w:pStyle w:val="Footnotes"/>
        <w:keepNext/>
        <w:keepLines/>
        <w:numPr>
          <w:ilvl w:val="0"/>
          <w:numId w:val="7"/>
        </w:numPr>
        <w:ind w:left="284" w:hanging="284"/>
      </w:pPr>
      <w:r w:rsidRPr="00B52088">
        <w:t>Figures may not sum to total due to rounding.</w:t>
      </w:r>
    </w:p>
    <w:p w:rsidR="000B5C96" w:rsidRDefault="000B5C96" w:rsidP="004810EE">
      <w:pPr>
        <w:pStyle w:val="Footnotes"/>
        <w:numPr>
          <w:ilvl w:val="0"/>
          <w:numId w:val="125"/>
        </w:numPr>
        <w:ind w:left="284" w:hanging="284"/>
      </w:pPr>
      <w:r w:rsidRPr="00B52088">
        <w:t>Indicates nil.</w:t>
      </w:r>
    </w:p>
    <w:p w:rsidR="000B5C96" w:rsidRPr="00B52088" w:rsidRDefault="000B5C96" w:rsidP="003F606A">
      <w:pPr>
        <w:pStyle w:val="Caption"/>
      </w:pPr>
      <w:r w:rsidRPr="00B52088">
        <w:t>Table A3: Component 2: Environmental biosecurity measures—Financial implications</w:t>
      </w:r>
      <w:r w:rsidRPr="00B52088">
        <w:rPr>
          <w:vertAlign w:val="superscript"/>
        </w:rPr>
        <w:t>(a)(b)</w:t>
      </w:r>
    </w:p>
    <w:tbl>
      <w:tblPr>
        <w:tblStyle w:val="TableGrid5"/>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B52088" w:rsidRDefault="000B5C96" w:rsidP="003F606A">
            <w:pPr>
              <w:keepNext/>
              <w:keepLines/>
              <w:ind w:left="57" w:right="57"/>
              <w:rPr>
                <w:szCs w:val="20"/>
              </w:rPr>
            </w:pPr>
            <w:r w:rsidRPr="00B52088">
              <w:rPr>
                <w:szCs w:val="20"/>
              </w:rPr>
              <w:t>($m)</w:t>
            </w:r>
          </w:p>
        </w:tc>
        <w:tc>
          <w:tcPr>
            <w:tcW w:w="326"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2016–17</w:t>
            </w:r>
          </w:p>
        </w:tc>
        <w:tc>
          <w:tcPr>
            <w:tcW w:w="325"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2017–18</w:t>
            </w:r>
          </w:p>
        </w:tc>
        <w:tc>
          <w:tcPr>
            <w:tcW w:w="325"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2018–19</w:t>
            </w:r>
          </w:p>
        </w:tc>
        <w:tc>
          <w:tcPr>
            <w:tcW w:w="325"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2019–20</w:t>
            </w:r>
          </w:p>
        </w:tc>
        <w:tc>
          <w:tcPr>
            <w:tcW w:w="327"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Total to 2019–20</w:t>
            </w:r>
          </w:p>
        </w:tc>
        <w:tc>
          <w:tcPr>
            <w:tcW w:w="325"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2020–21</w:t>
            </w:r>
          </w:p>
        </w:tc>
        <w:tc>
          <w:tcPr>
            <w:tcW w:w="325"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2021–22</w:t>
            </w:r>
          </w:p>
        </w:tc>
        <w:tc>
          <w:tcPr>
            <w:tcW w:w="325"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2022–23</w:t>
            </w:r>
          </w:p>
        </w:tc>
        <w:tc>
          <w:tcPr>
            <w:tcW w:w="325"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2023–24</w:t>
            </w:r>
          </w:p>
        </w:tc>
        <w:tc>
          <w:tcPr>
            <w:tcW w:w="325"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2024–25</w:t>
            </w:r>
          </w:p>
        </w:tc>
        <w:tc>
          <w:tcPr>
            <w:tcW w:w="325"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2025–26</w:t>
            </w:r>
          </w:p>
        </w:tc>
        <w:tc>
          <w:tcPr>
            <w:tcW w:w="325"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2026–27</w:t>
            </w:r>
          </w:p>
        </w:tc>
        <w:tc>
          <w:tcPr>
            <w:tcW w:w="326" w:type="pct"/>
            <w:shd w:val="clear" w:color="auto" w:fill="D7DDE9"/>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Total to 2026–27</w:t>
            </w:r>
          </w:p>
        </w:tc>
      </w:tr>
      <w:tr w:rsidR="000B5C96" w:rsidRPr="00B52088"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B5C96" w:rsidRPr="00B52088" w:rsidRDefault="000B5C96" w:rsidP="003F606A">
            <w:pPr>
              <w:keepNext/>
              <w:keepLines/>
              <w:ind w:left="57" w:right="57"/>
              <w:rPr>
                <w:b/>
                <w:szCs w:val="20"/>
              </w:rPr>
            </w:pPr>
            <w:r w:rsidRPr="00B52088">
              <w:rPr>
                <w:b/>
                <w:szCs w:val="20"/>
              </w:rPr>
              <w:t>Impact on fiscal and underlying cash balances</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B52088" w:rsidRDefault="000B5C96" w:rsidP="003F606A">
            <w:pPr>
              <w:keepNext/>
              <w:keepLines/>
              <w:ind w:left="57" w:right="57"/>
              <w:rPr>
                <w:color w:val="000000"/>
                <w:szCs w:val="20"/>
              </w:rPr>
            </w:pPr>
            <w:r w:rsidRPr="00B52088">
              <w:rPr>
                <w:color w:val="000000"/>
                <w:szCs w:val="20"/>
              </w:rPr>
              <w:t>Administered</w:t>
            </w:r>
          </w:p>
        </w:tc>
        <w:tc>
          <w:tcPr>
            <w:tcW w:w="326"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-2.7</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-1.3</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-1.3</w:t>
            </w:r>
          </w:p>
        </w:tc>
        <w:tc>
          <w:tcPr>
            <w:tcW w:w="327"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-5.3</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-1.4</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-1.5</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-1.6</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-1.7</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-1.8</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-2.0</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-2.1</w:t>
            </w:r>
          </w:p>
        </w:tc>
        <w:tc>
          <w:tcPr>
            <w:tcW w:w="326"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-17.5</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B52088" w:rsidRDefault="000B5C96" w:rsidP="003F606A">
            <w:pPr>
              <w:keepNext/>
              <w:keepLines/>
              <w:ind w:left="57" w:right="57"/>
              <w:rPr>
                <w:color w:val="000000"/>
                <w:szCs w:val="20"/>
              </w:rPr>
            </w:pPr>
            <w:r w:rsidRPr="00B52088">
              <w:rPr>
                <w:color w:val="000000"/>
                <w:szCs w:val="20"/>
              </w:rPr>
              <w:t>Departmental</w:t>
            </w:r>
          </w:p>
        </w:tc>
        <w:tc>
          <w:tcPr>
            <w:tcW w:w="326"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-6.2</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-6.2</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-6.2</w:t>
            </w:r>
          </w:p>
        </w:tc>
        <w:tc>
          <w:tcPr>
            <w:tcW w:w="327"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-18.5</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-6.2</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-6.2</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-6.2</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-6.2</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-6.2</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-6.2</w:t>
            </w:r>
          </w:p>
        </w:tc>
        <w:tc>
          <w:tcPr>
            <w:tcW w:w="325"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-6.2</w:t>
            </w:r>
          </w:p>
        </w:tc>
        <w:tc>
          <w:tcPr>
            <w:tcW w:w="326" w:type="pct"/>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szCs w:val="20"/>
              </w:rPr>
            </w:pPr>
            <w:r w:rsidRPr="00B52088">
              <w:rPr>
                <w:rFonts w:ascii="Calibri" w:hAnsi="Calibri"/>
                <w:b/>
                <w:bCs/>
                <w:i/>
                <w:szCs w:val="20"/>
              </w:rPr>
              <w:t>-62.3</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B52088" w:rsidRDefault="000B5C96" w:rsidP="003F606A">
            <w:pPr>
              <w:keepNext/>
              <w:keepLines/>
              <w:ind w:left="57" w:right="57"/>
              <w:rPr>
                <w:b/>
                <w:bCs/>
                <w:color w:val="000000"/>
                <w:szCs w:val="20"/>
              </w:rPr>
            </w:pPr>
            <w:r w:rsidRPr="00B52088">
              <w:rPr>
                <w:b/>
                <w:bCs/>
                <w:color w:val="000000"/>
                <w:szCs w:val="20"/>
              </w:rPr>
              <w:t>Total</w:t>
            </w:r>
          </w:p>
        </w:tc>
        <w:tc>
          <w:tcPr>
            <w:tcW w:w="326"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w:t>
            </w:r>
          </w:p>
        </w:tc>
        <w:tc>
          <w:tcPr>
            <w:tcW w:w="325"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-8.9</w:t>
            </w:r>
          </w:p>
        </w:tc>
        <w:tc>
          <w:tcPr>
            <w:tcW w:w="325"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-7.4</w:t>
            </w:r>
          </w:p>
        </w:tc>
        <w:tc>
          <w:tcPr>
            <w:tcW w:w="325"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-7.6</w:t>
            </w:r>
          </w:p>
        </w:tc>
        <w:tc>
          <w:tcPr>
            <w:tcW w:w="327"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-23.9</w:t>
            </w:r>
          </w:p>
        </w:tc>
        <w:tc>
          <w:tcPr>
            <w:tcW w:w="325"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-7.7</w:t>
            </w:r>
          </w:p>
        </w:tc>
        <w:tc>
          <w:tcPr>
            <w:tcW w:w="325"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-7.8</w:t>
            </w:r>
          </w:p>
        </w:tc>
        <w:tc>
          <w:tcPr>
            <w:tcW w:w="325"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-7.9</w:t>
            </w:r>
          </w:p>
        </w:tc>
        <w:tc>
          <w:tcPr>
            <w:tcW w:w="325"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-8.0</w:t>
            </w:r>
          </w:p>
        </w:tc>
        <w:tc>
          <w:tcPr>
            <w:tcW w:w="325"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-8.1</w:t>
            </w:r>
          </w:p>
        </w:tc>
        <w:tc>
          <w:tcPr>
            <w:tcW w:w="325"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-8.2</w:t>
            </w:r>
          </w:p>
        </w:tc>
        <w:tc>
          <w:tcPr>
            <w:tcW w:w="325"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-8.3</w:t>
            </w:r>
          </w:p>
        </w:tc>
        <w:tc>
          <w:tcPr>
            <w:tcW w:w="326" w:type="pct"/>
            <w:shd w:val="clear" w:color="auto" w:fill="E9ECF3"/>
          </w:tcPr>
          <w:p w:rsidR="000B5C96" w:rsidRPr="00B52088" w:rsidRDefault="000B5C96" w:rsidP="004810EE">
            <w:pPr>
              <w:keepNext/>
              <w:keepLines/>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szCs w:val="20"/>
              </w:rPr>
            </w:pPr>
            <w:r w:rsidRPr="00B52088">
              <w:rPr>
                <w:rFonts w:ascii="Calibri" w:hAnsi="Calibri"/>
                <w:b/>
                <w:bCs/>
                <w:szCs w:val="20"/>
              </w:rPr>
              <w:t>-79.8</w:t>
            </w:r>
          </w:p>
        </w:tc>
      </w:tr>
    </w:tbl>
    <w:p w:rsidR="000B5C96" w:rsidRPr="00B52088" w:rsidRDefault="000B5C96" w:rsidP="004810EE">
      <w:pPr>
        <w:pStyle w:val="Footnotes"/>
        <w:keepNext/>
        <w:keepLines/>
        <w:numPr>
          <w:ilvl w:val="0"/>
          <w:numId w:val="221"/>
        </w:numPr>
        <w:ind w:left="284" w:hanging="284"/>
      </w:pPr>
      <w:r w:rsidRPr="00B52088">
        <w:t>A negative number for the underlying cash and fiscal balances indicates an increase in expenditure.  Impacts on the fiscal and underlying cash balances are equal.</w:t>
      </w:r>
    </w:p>
    <w:p w:rsidR="000B5C96" w:rsidRPr="00B52088" w:rsidRDefault="000B5C96" w:rsidP="004810EE">
      <w:pPr>
        <w:pStyle w:val="Footnotes"/>
        <w:keepNext/>
        <w:keepLines/>
        <w:numPr>
          <w:ilvl w:val="0"/>
          <w:numId w:val="7"/>
        </w:numPr>
        <w:ind w:left="284" w:hanging="284"/>
      </w:pPr>
      <w:r w:rsidRPr="00B52088">
        <w:t>Figures may not sum to total due to rounding.</w:t>
      </w:r>
    </w:p>
    <w:p w:rsidR="000B5C96" w:rsidRPr="00B52088" w:rsidRDefault="000B5C96" w:rsidP="004810EE">
      <w:pPr>
        <w:pStyle w:val="Footnotes"/>
        <w:numPr>
          <w:ilvl w:val="0"/>
          <w:numId w:val="125"/>
        </w:numPr>
        <w:ind w:left="284" w:hanging="284"/>
      </w:pPr>
      <w:r w:rsidRPr="00B52088">
        <w:t>Indicates nil.</w:t>
      </w:r>
    </w:p>
    <w:p w:rsidR="000B5C96" w:rsidRPr="00B52088" w:rsidRDefault="000B5C96" w:rsidP="003F606A">
      <w:pPr>
        <w:pStyle w:val="Caption"/>
        <w:ind w:left="-284"/>
      </w:pPr>
      <w:r w:rsidRPr="00B52088">
        <w:t>Table A4: Component 3: Invasive species—Financial implications</w:t>
      </w:r>
      <w:r w:rsidRPr="00B52088">
        <w:rPr>
          <w:vertAlign w:val="superscript"/>
        </w:rPr>
        <w:t>(a)(b)</w:t>
      </w:r>
    </w:p>
    <w:tbl>
      <w:tblPr>
        <w:tblStyle w:val="TableGrid6"/>
        <w:tblW w:w="5260" w:type="pct"/>
        <w:tblInd w:w="-279" w:type="dxa"/>
        <w:tblLayout w:type="fixed"/>
        <w:tblLook w:val="0680" w:firstRow="0" w:lastRow="0" w:firstColumn="1" w:lastColumn="0" w:noHBand="1" w:noVBand="1"/>
      </w:tblPr>
      <w:tblGrid>
        <w:gridCol w:w="3081"/>
        <w:gridCol w:w="836"/>
        <w:gridCol w:w="836"/>
        <w:gridCol w:w="836"/>
        <w:gridCol w:w="836"/>
        <w:gridCol w:w="837"/>
        <w:gridCol w:w="837"/>
        <w:gridCol w:w="837"/>
        <w:gridCol w:w="837"/>
        <w:gridCol w:w="837"/>
        <w:gridCol w:w="837"/>
        <w:gridCol w:w="837"/>
        <w:gridCol w:w="837"/>
        <w:gridCol w:w="823"/>
      </w:tblGrid>
      <w:tr w:rsidR="000B5C96" w:rsidRPr="00B52088" w:rsidTr="003F606A">
        <w:trPr>
          <w:cantSplit/>
          <w:tblHeader/>
        </w:trPr>
        <w:tc>
          <w:tcPr>
            <w:cnfStyle w:val="001000000000" w:firstRow="0" w:lastRow="0" w:firstColumn="1" w:lastColumn="0" w:oddVBand="0" w:evenVBand="0" w:oddHBand="0" w:evenHBand="0" w:firstRowFirstColumn="0" w:firstRowLastColumn="0" w:lastRowFirstColumn="0" w:lastRowLastColumn="0"/>
            <w:tcW w:w="1105" w:type="pct"/>
            <w:shd w:val="clear" w:color="auto" w:fill="D7DDE9"/>
          </w:tcPr>
          <w:p w:rsidR="000B5C96" w:rsidRPr="00B52088" w:rsidRDefault="000B5C96" w:rsidP="003F606A">
            <w:pPr>
              <w:keepNext/>
              <w:keepLines/>
              <w:ind w:left="57" w:right="57"/>
              <w:rPr>
                <w:szCs w:val="20"/>
              </w:rPr>
            </w:pPr>
            <w:r w:rsidRPr="00B52088">
              <w:rPr>
                <w:szCs w:val="20"/>
              </w:rPr>
              <w:t>($m)</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2016–17</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2017–18</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2018–19</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2019–20</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Total to 2019–20</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2020–21</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2021–22</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2022–23</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2023–24</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2024–25</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2025–26</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2026–27</w:t>
            </w:r>
          </w:p>
        </w:tc>
        <w:tc>
          <w:tcPr>
            <w:tcW w:w="297"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Total to 2026–27</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7DDE9"/>
          </w:tcPr>
          <w:p w:rsidR="000B5C96" w:rsidRPr="00B52088" w:rsidRDefault="000B5C96" w:rsidP="003F606A">
            <w:pPr>
              <w:keepNext/>
              <w:keepLines/>
              <w:ind w:left="57" w:right="57"/>
              <w:rPr>
                <w:b/>
                <w:szCs w:val="20"/>
              </w:rPr>
            </w:pPr>
            <w:r w:rsidRPr="00B52088">
              <w:rPr>
                <w:b/>
                <w:szCs w:val="20"/>
              </w:rPr>
              <w:t>Impact on fiscal and underlying cash balances</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B52088" w:rsidRDefault="000B5C96" w:rsidP="003F606A">
            <w:pPr>
              <w:keepNext/>
              <w:keepLines/>
              <w:ind w:left="57" w:right="57"/>
              <w:rPr>
                <w:b/>
                <w:szCs w:val="20"/>
              </w:rPr>
            </w:pPr>
            <w:r w:rsidRPr="00B52088">
              <w:rPr>
                <w:b/>
                <w:szCs w:val="20"/>
              </w:rPr>
              <w:t>Administered</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1105" w:type="pct"/>
          </w:tcPr>
          <w:p w:rsidR="000B5C96" w:rsidRPr="00B52088" w:rsidRDefault="000B5C96" w:rsidP="003F606A">
            <w:pPr>
              <w:keepNext/>
              <w:keepLines/>
              <w:ind w:left="57" w:right="57"/>
              <w:rPr>
                <w:color w:val="000000"/>
                <w:szCs w:val="20"/>
              </w:rPr>
            </w:pPr>
            <w:r w:rsidRPr="00B52088">
              <w:rPr>
                <w:color w:val="000000"/>
                <w:szCs w:val="20"/>
              </w:rPr>
              <w:t>Centre for Invasive Species Solutions</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-18.2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-18.4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-18.6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-55.2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-18.8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-19.0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 -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 -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 -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 -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 - </w:t>
            </w:r>
          </w:p>
        </w:tc>
        <w:tc>
          <w:tcPr>
            <w:tcW w:w="297"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-92.9 </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1105" w:type="pct"/>
          </w:tcPr>
          <w:p w:rsidR="000B5C96" w:rsidRPr="00B52088" w:rsidRDefault="000B5C96" w:rsidP="003F606A">
            <w:pPr>
              <w:keepNext/>
              <w:keepLines/>
              <w:ind w:left="57" w:right="57"/>
              <w:rPr>
                <w:color w:val="000000"/>
                <w:szCs w:val="20"/>
              </w:rPr>
            </w:pPr>
            <w:r w:rsidRPr="00B52088">
              <w:rPr>
                <w:color w:val="000000"/>
                <w:szCs w:val="20"/>
              </w:rPr>
              <w:t>Environmental Health Australia</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-18.2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-18.4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-18.6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-55.2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-18.8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-19.0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-19.2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-19.4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-19.6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-19.8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 xml:space="preserve">-20.0 </w:t>
            </w:r>
          </w:p>
        </w:tc>
        <w:tc>
          <w:tcPr>
            <w:tcW w:w="297"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-190.9 </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1105" w:type="pct"/>
          </w:tcPr>
          <w:p w:rsidR="000B5C96" w:rsidRPr="00B52088" w:rsidRDefault="000B5C96" w:rsidP="003F606A">
            <w:pPr>
              <w:keepNext/>
              <w:keepLines/>
              <w:ind w:left="57" w:right="57"/>
              <w:rPr>
                <w:b/>
                <w:szCs w:val="20"/>
              </w:rPr>
            </w:pPr>
            <w:r w:rsidRPr="00B52088">
              <w:rPr>
                <w:b/>
                <w:szCs w:val="20"/>
              </w:rPr>
              <w:t>Total - administered</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-36.4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-36.8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-37.2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-110.3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-37.6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-38.0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-19.2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-19.4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-19.6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-19.8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-20.0 </w:t>
            </w:r>
          </w:p>
        </w:tc>
        <w:tc>
          <w:tcPr>
            <w:tcW w:w="297"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-283.8 </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0B5C96" w:rsidRPr="00B52088" w:rsidRDefault="000B5C96" w:rsidP="003F606A">
            <w:pPr>
              <w:keepNext/>
              <w:keepLines/>
              <w:ind w:left="57" w:right="57"/>
              <w:rPr>
                <w:b/>
                <w:szCs w:val="20"/>
              </w:rPr>
            </w:pPr>
            <w:r w:rsidRPr="00B52088">
              <w:rPr>
                <w:b/>
                <w:szCs w:val="20"/>
              </w:rPr>
              <w:t>Departmental</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1105" w:type="pct"/>
          </w:tcPr>
          <w:p w:rsidR="000B5C96" w:rsidRPr="00B52088" w:rsidRDefault="000B5C96" w:rsidP="003F606A">
            <w:pPr>
              <w:keepNext/>
              <w:keepLines/>
              <w:ind w:left="57" w:right="57"/>
              <w:rPr>
                <w:color w:val="000000"/>
                <w:szCs w:val="20"/>
              </w:rPr>
            </w:pPr>
            <w:r w:rsidRPr="00B52088">
              <w:rPr>
                <w:color w:val="000000"/>
                <w:szCs w:val="20"/>
              </w:rPr>
              <w:t>Centre for Invasive Species Solutions</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-1.5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297"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-4.9</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1105" w:type="pct"/>
          </w:tcPr>
          <w:p w:rsidR="000B5C96" w:rsidRPr="00B52088" w:rsidRDefault="000B5C96" w:rsidP="003F606A">
            <w:pPr>
              <w:keepNext/>
              <w:keepLines/>
              <w:ind w:left="57" w:right="57"/>
              <w:rPr>
                <w:color w:val="000000"/>
                <w:szCs w:val="20"/>
              </w:rPr>
            </w:pPr>
            <w:r w:rsidRPr="00B52088">
              <w:rPr>
                <w:color w:val="000000"/>
                <w:szCs w:val="20"/>
              </w:rPr>
              <w:t>Environmental Health Australia</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-1.5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297"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-4.9</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1105" w:type="pct"/>
          </w:tcPr>
          <w:p w:rsidR="000B5C96" w:rsidRPr="00B52088" w:rsidRDefault="000B5C96" w:rsidP="003F606A">
            <w:pPr>
              <w:keepNext/>
              <w:keepLines/>
              <w:ind w:left="57" w:right="57"/>
              <w:rPr>
                <w:color w:val="000000"/>
                <w:szCs w:val="20"/>
              </w:rPr>
            </w:pPr>
            <w:r w:rsidRPr="00B52088">
              <w:rPr>
                <w:color w:val="000000"/>
                <w:szCs w:val="20"/>
              </w:rPr>
              <w:t>Invasive species and exotic pest plans</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-2.0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-2.0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-2.0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-6.0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-2.0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297"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-8.0</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1105" w:type="pct"/>
          </w:tcPr>
          <w:p w:rsidR="000B5C96" w:rsidRPr="00B52088" w:rsidRDefault="000B5C96" w:rsidP="003F606A">
            <w:pPr>
              <w:keepNext/>
              <w:keepLines/>
              <w:ind w:left="57" w:right="57"/>
              <w:rPr>
                <w:color w:val="000000"/>
                <w:szCs w:val="20"/>
              </w:rPr>
            </w:pPr>
            <w:r w:rsidRPr="00B52088">
              <w:rPr>
                <w:color w:val="000000"/>
                <w:szCs w:val="20"/>
              </w:rPr>
              <w:t xml:space="preserve">Work through COAG </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-0.5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-1.0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297"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-1.0</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1105" w:type="pct"/>
          </w:tcPr>
          <w:p w:rsidR="000B5C96" w:rsidRPr="00B52088" w:rsidRDefault="000B5C96" w:rsidP="003F606A">
            <w:pPr>
              <w:keepNext/>
              <w:keepLines/>
              <w:ind w:left="57" w:right="57"/>
              <w:rPr>
                <w:b/>
                <w:szCs w:val="20"/>
              </w:rPr>
            </w:pPr>
            <w:r w:rsidRPr="00B52088">
              <w:rPr>
                <w:b/>
                <w:szCs w:val="20"/>
              </w:rPr>
              <w:t>Total - departmental</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-3.5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-3.5</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-3.0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-9.9</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-3.0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-1.0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-1.0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-1.0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-1.0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-1.0</w:t>
            </w:r>
          </w:p>
        </w:tc>
        <w:tc>
          <w:tcPr>
            <w:tcW w:w="300"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-1.0</w:t>
            </w:r>
          </w:p>
        </w:tc>
        <w:tc>
          <w:tcPr>
            <w:tcW w:w="297" w:type="pct"/>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-18.9</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1105" w:type="pct"/>
            <w:shd w:val="clear" w:color="auto" w:fill="D7DDE9"/>
          </w:tcPr>
          <w:p w:rsidR="000B5C96" w:rsidRPr="00B52088" w:rsidRDefault="000B5C96" w:rsidP="003F606A">
            <w:pPr>
              <w:keepNext/>
              <w:keepLines/>
              <w:ind w:left="57" w:right="57"/>
              <w:rPr>
                <w:b/>
                <w:szCs w:val="20"/>
              </w:rPr>
            </w:pPr>
            <w:r w:rsidRPr="00B52088">
              <w:rPr>
                <w:b/>
                <w:szCs w:val="20"/>
              </w:rPr>
              <w:t>Total</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B52088">
              <w:rPr>
                <w:rFonts w:ascii="Calibri" w:hAnsi="Calibri"/>
                <w:i/>
                <w:szCs w:val="20"/>
              </w:rPr>
              <w:t>-</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-39.9 </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-40.2 </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-40.1 </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-120.2 </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-40.5 </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-38.9 </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-20.2 </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-20.4 </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-20.6 </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-20.8 </w:t>
            </w:r>
          </w:p>
        </w:tc>
        <w:tc>
          <w:tcPr>
            <w:tcW w:w="300"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-21.0 </w:t>
            </w:r>
          </w:p>
        </w:tc>
        <w:tc>
          <w:tcPr>
            <w:tcW w:w="297" w:type="pct"/>
            <w:shd w:val="clear" w:color="auto" w:fill="D7DDE9"/>
          </w:tcPr>
          <w:p w:rsidR="000B5C96" w:rsidRPr="00B52088" w:rsidRDefault="000B5C96" w:rsidP="003F606A">
            <w:pPr>
              <w:keepNext/>
              <w:keepLines/>
              <w:ind w:left="0"/>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B52088">
              <w:rPr>
                <w:rFonts w:ascii="Calibri" w:hAnsi="Calibri"/>
                <w:b/>
                <w:i/>
                <w:szCs w:val="20"/>
              </w:rPr>
              <w:t xml:space="preserve">-302.7 </w:t>
            </w:r>
          </w:p>
        </w:tc>
      </w:tr>
    </w:tbl>
    <w:p w:rsidR="000B5C96" w:rsidRPr="00DA787B" w:rsidRDefault="000B5C96" w:rsidP="004810EE">
      <w:pPr>
        <w:pStyle w:val="Footnotes"/>
        <w:keepNext/>
        <w:keepLines/>
        <w:numPr>
          <w:ilvl w:val="0"/>
          <w:numId w:val="222"/>
        </w:numPr>
        <w:ind w:left="284" w:hanging="284"/>
      </w:pPr>
      <w:r w:rsidRPr="00DA787B">
        <w:t>A negative number for the underlying cash and fiscal balances indicates an increase in expenditure.  Impacts on the fiscal and underlying cash balances are equal.</w:t>
      </w:r>
    </w:p>
    <w:p w:rsidR="000B5C96" w:rsidRPr="00B52088" w:rsidRDefault="000B5C96" w:rsidP="004810EE">
      <w:pPr>
        <w:pStyle w:val="Footnotes"/>
        <w:keepNext/>
        <w:keepLines/>
        <w:numPr>
          <w:ilvl w:val="0"/>
          <w:numId w:val="7"/>
        </w:numPr>
        <w:ind w:left="284" w:hanging="284"/>
      </w:pPr>
      <w:r w:rsidRPr="00B52088">
        <w:t>Figures may not sum to total due to rounding.</w:t>
      </w:r>
    </w:p>
    <w:p w:rsidR="000B5C96" w:rsidRDefault="000B5C96" w:rsidP="004810EE">
      <w:pPr>
        <w:pStyle w:val="Footnotes"/>
        <w:numPr>
          <w:ilvl w:val="0"/>
          <w:numId w:val="115"/>
        </w:numPr>
        <w:ind w:left="284" w:hanging="284"/>
      </w:pPr>
      <w:r w:rsidRPr="00B52088">
        <w:t>Indicates nil.</w:t>
      </w:r>
    </w:p>
    <w:p w:rsidR="000B5C96" w:rsidRPr="00B52088" w:rsidRDefault="000B5C96" w:rsidP="003F606A">
      <w:pPr>
        <w:pStyle w:val="Caption"/>
      </w:pPr>
      <w:r w:rsidRPr="00B52088">
        <w:t>Table A5: Component 4: National strategy to protect islands from biosecurity risks —Financial implications</w:t>
      </w:r>
      <w:r w:rsidRPr="00B52088">
        <w:rPr>
          <w:vertAlign w:val="superscript"/>
        </w:rPr>
        <w:t>(a)(b)</w:t>
      </w:r>
    </w:p>
    <w:tbl>
      <w:tblPr>
        <w:tblStyle w:val="TableGrid7"/>
        <w:tblW w:w="4948" w:type="pct"/>
        <w:tblInd w:w="0" w:type="dxa"/>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B52088" w:rsidRDefault="000B5C96" w:rsidP="003F606A">
            <w:pPr>
              <w:keepNext/>
              <w:keepLines/>
              <w:ind w:left="57" w:right="57"/>
            </w:pPr>
            <w:r w:rsidRPr="00B52088">
              <w:t>($m)</w:t>
            </w:r>
          </w:p>
        </w:tc>
        <w:tc>
          <w:tcPr>
            <w:tcW w:w="326"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2016–17</w:t>
            </w:r>
          </w:p>
        </w:tc>
        <w:tc>
          <w:tcPr>
            <w:tcW w:w="325"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2017–18</w:t>
            </w:r>
          </w:p>
        </w:tc>
        <w:tc>
          <w:tcPr>
            <w:tcW w:w="325"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2018–19</w:t>
            </w:r>
          </w:p>
        </w:tc>
        <w:tc>
          <w:tcPr>
            <w:tcW w:w="325"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2019–20</w:t>
            </w:r>
          </w:p>
        </w:tc>
        <w:tc>
          <w:tcPr>
            <w:tcW w:w="327"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Total to 2019–20</w:t>
            </w:r>
          </w:p>
        </w:tc>
        <w:tc>
          <w:tcPr>
            <w:tcW w:w="325"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2020–21</w:t>
            </w:r>
          </w:p>
        </w:tc>
        <w:tc>
          <w:tcPr>
            <w:tcW w:w="325"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2021–22</w:t>
            </w:r>
          </w:p>
        </w:tc>
        <w:tc>
          <w:tcPr>
            <w:tcW w:w="325"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2022–23</w:t>
            </w:r>
          </w:p>
        </w:tc>
        <w:tc>
          <w:tcPr>
            <w:tcW w:w="325"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2023–24</w:t>
            </w:r>
          </w:p>
        </w:tc>
        <w:tc>
          <w:tcPr>
            <w:tcW w:w="325"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2024–25</w:t>
            </w:r>
          </w:p>
        </w:tc>
        <w:tc>
          <w:tcPr>
            <w:tcW w:w="325"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2025–26</w:t>
            </w:r>
          </w:p>
        </w:tc>
        <w:tc>
          <w:tcPr>
            <w:tcW w:w="325"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2026–27</w:t>
            </w:r>
          </w:p>
        </w:tc>
        <w:tc>
          <w:tcPr>
            <w:tcW w:w="326" w:type="pct"/>
            <w:shd w:val="clear" w:color="auto" w:fill="D7DDE9"/>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Total to 2026–27</w:t>
            </w:r>
          </w:p>
        </w:tc>
      </w:tr>
      <w:tr w:rsidR="000B5C96" w:rsidRPr="00B52088"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B5C96" w:rsidRPr="00B52088" w:rsidRDefault="000B5C96" w:rsidP="003F606A">
            <w:pPr>
              <w:keepNext/>
              <w:keepLines/>
              <w:ind w:left="57" w:right="57"/>
              <w:rPr>
                <w:b/>
              </w:rPr>
            </w:pPr>
            <w:r w:rsidRPr="00B52088">
              <w:rPr>
                <w:b/>
              </w:rPr>
              <w:t>Impact on fiscal and underlying cash balances</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B52088" w:rsidRDefault="000B5C96" w:rsidP="003F606A">
            <w:pPr>
              <w:keepNext/>
              <w:keepLines/>
              <w:ind w:left="57" w:right="57"/>
              <w:rPr>
                <w:color w:val="000000"/>
              </w:rPr>
            </w:pPr>
            <w:r w:rsidRPr="00B52088">
              <w:rPr>
                <w:color w:val="000000"/>
              </w:rPr>
              <w:t>Departmental</w:t>
            </w:r>
          </w:p>
        </w:tc>
        <w:tc>
          <w:tcPr>
            <w:tcW w:w="326"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52088">
              <w:rPr>
                <w:rFonts w:ascii="Calibri" w:hAnsi="Calibri"/>
                <w:i/>
              </w:rPr>
              <w:t>-</w:t>
            </w:r>
          </w:p>
        </w:tc>
        <w:tc>
          <w:tcPr>
            <w:tcW w:w="325"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52088">
              <w:rPr>
                <w:rFonts w:ascii="Calibri" w:hAnsi="Calibri"/>
                <w:i/>
              </w:rPr>
              <w:t>-5.0</w:t>
            </w:r>
          </w:p>
        </w:tc>
        <w:tc>
          <w:tcPr>
            <w:tcW w:w="325"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52088">
              <w:rPr>
                <w:rFonts w:ascii="Calibri" w:hAnsi="Calibri"/>
                <w:i/>
              </w:rPr>
              <w:t>-5.0</w:t>
            </w:r>
          </w:p>
        </w:tc>
        <w:tc>
          <w:tcPr>
            <w:tcW w:w="325"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52088">
              <w:rPr>
                <w:rFonts w:ascii="Calibri" w:hAnsi="Calibri"/>
                <w:i/>
              </w:rPr>
              <w:t>-5.0</w:t>
            </w:r>
          </w:p>
        </w:tc>
        <w:tc>
          <w:tcPr>
            <w:tcW w:w="327"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B52088">
              <w:rPr>
                <w:rFonts w:ascii="Calibri" w:hAnsi="Calibri"/>
                <w:b/>
                <w:i/>
              </w:rPr>
              <w:t>-15.0</w:t>
            </w:r>
          </w:p>
        </w:tc>
        <w:tc>
          <w:tcPr>
            <w:tcW w:w="325"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52088">
              <w:rPr>
                <w:rFonts w:ascii="Calibri" w:hAnsi="Calibri"/>
                <w:i/>
              </w:rPr>
              <w:t>-5.0</w:t>
            </w:r>
          </w:p>
        </w:tc>
        <w:tc>
          <w:tcPr>
            <w:tcW w:w="325"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52088">
              <w:rPr>
                <w:rFonts w:ascii="Calibri" w:hAnsi="Calibri"/>
                <w:i/>
              </w:rPr>
              <w:t>-5.0</w:t>
            </w:r>
          </w:p>
        </w:tc>
        <w:tc>
          <w:tcPr>
            <w:tcW w:w="325"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52088">
              <w:rPr>
                <w:rFonts w:ascii="Calibri" w:hAnsi="Calibri"/>
                <w:i/>
              </w:rPr>
              <w:t>-5.0</w:t>
            </w:r>
          </w:p>
        </w:tc>
        <w:tc>
          <w:tcPr>
            <w:tcW w:w="325"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52088">
              <w:rPr>
                <w:rFonts w:ascii="Calibri" w:hAnsi="Calibri"/>
                <w:i/>
              </w:rPr>
              <w:t>-5.0</w:t>
            </w:r>
          </w:p>
        </w:tc>
        <w:tc>
          <w:tcPr>
            <w:tcW w:w="325"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52088">
              <w:rPr>
                <w:rFonts w:ascii="Calibri" w:hAnsi="Calibri"/>
                <w:i/>
              </w:rPr>
              <w:t>-5.0</w:t>
            </w:r>
          </w:p>
        </w:tc>
        <w:tc>
          <w:tcPr>
            <w:tcW w:w="325"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52088">
              <w:rPr>
                <w:rFonts w:ascii="Calibri" w:hAnsi="Calibri"/>
                <w:i/>
              </w:rPr>
              <w:t>-5.0</w:t>
            </w:r>
          </w:p>
        </w:tc>
        <w:tc>
          <w:tcPr>
            <w:tcW w:w="325"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52088">
              <w:rPr>
                <w:rFonts w:ascii="Calibri" w:hAnsi="Calibri"/>
                <w:i/>
              </w:rPr>
              <w:t>-5.0</w:t>
            </w:r>
          </w:p>
        </w:tc>
        <w:tc>
          <w:tcPr>
            <w:tcW w:w="326" w:type="pct"/>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B52088">
              <w:rPr>
                <w:rFonts w:ascii="Calibri" w:hAnsi="Calibri"/>
                <w:b/>
                <w:i/>
              </w:rPr>
              <w:t>-50.0</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B52088" w:rsidRDefault="000B5C96" w:rsidP="003F606A">
            <w:pPr>
              <w:keepNext/>
              <w:keepLines/>
              <w:ind w:left="57" w:right="57"/>
              <w:rPr>
                <w:b/>
                <w:bCs/>
                <w:color w:val="000000"/>
              </w:rPr>
            </w:pPr>
            <w:r w:rsidRPr="00B52088">
              <w:rPr>
                <w:b/>
                <w:bCs/>
                <w:color w:val="000000"/>
              </w:rPr>
              <w:t>Total</w:t>
            </w:r>
          </w:p>
        </w:tc>
        <w:tc>
          <w:tcPr>
            <w:tcW w:w="326"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rPr>
            </w:pPr>
            <w:r w:rsidRPr="00B52088">
              <w:rPr>
                <w:rFonts w:ascii="Calibri" w:hAnsi="Calibri"/>
                <w:b/>
                <w:bCs/>
              </w:rPr>
              <w:t>-</w:t>
            </w:r>
          </w:p>
        </w:tc>
        <w:tc>
          <w:tcPr>
            <w:tcW w:w="325"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-5.0</w:t>
            </w:r>
          </w:p>
        </w:tc>
        <w:tc>
          <w:tcPr>
            <w:tcW w:w="325"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-5.0</w:t>
            </w:r>
          </w:p>
        </w:tc>
        <w:tc>
          <w:tcPr>
            <w:tcW w:w="325"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-5.0</w:t>
            </w:r>
          </w:p>
        </w:tc>
        <w:tc>
          <w:tcPr>
            <w:tcW w:w="327"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-15.0</w:t>
            </w:r>
          </w:p>
        </w:tc>
        <w:tc>
          <w:tcPr>
            <w:tcW w:w="325"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-5.0</w:t>
            </w:r>
          </w:p>
        </w:tc>
        <w:tc>
          <w:tcPr>
            <w:tcW w:w="325"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-5.0</w:t>
            </w:r>
          </w:p>
        </w:tc>
        <w:tc>
          <w:tcPr>
            <w:tcW w:w="325"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-5.0</w:t>
            </w:r>
          </w:p>
        </w:tc>
        <w:tc>
          <w:tcPr>
            <w:tcW w:w="325"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-5.0</w:t>
            </w:r>
          </w:p>
        </w:tc>
        <w:tc>
          <w:tcPr>
            <w:tcW w:w="325"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-5.0</w:t>
            </w:r>
          </w:p>
        </w:tc>
        <w:tc>
          <w:tcPr>
            <w:tcW w:w="325"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-5.0</w:t>
            </w:r>
          </w:p>
        </w:tc>
        <w:tc>
          <w:tcPr>
            <w:tcW w:w="325"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-5.0</w:t>
            </w:r>
          </w:p>
        </w:tc>
        <w:tc>
          <w:tcPr>
            <w:tcW w:w="326" w:type="pct"/>
            <w:shd w:val="clear" w:color="auto" w:fill="E9ECF3"/>
          </w:tcPr>
          <w:p w:rsidR="000B5C96" w:rsidRPr="00B5208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-50.0</w:t>
            </w:r>
          </w:p>
        </w:tc>
      </w:tr>
    </w:tbl>
    <w:p w:rsidR="000B5C96" w:rsidRPr="00B52088" w:rsidRDefault="000B5C96" w:rsidP="004810EE">
      <w:pPr>
        <w:pStyle w:val="Footnotes"/>
        <w:keepNext/>
        <w:keepLines/>
        <w:numPr>
          <w:ilvl w:val="0"/>
          <w:numId w:val="223"/>
        </w:numPr>
        <w:ind w:left="284" w:hanging="284"/>
      </w:pPr>
      <w:r w:rsidRPr="00B52088">
        <w:t>A negative number for the underlying cash and fiscal balances indicates an increase in expenditure.  Impacts on the fiscal and underlying cash balances are equal.</w:t>
      </w:r>
    </w:p>
    <w:p w:rsidR="000B5C96" w:rsidRPr="00B52088" w:rsidRDefault="000B5C96" w:rsidP="004810EE">
      <w:pPr>
        <w:pStyle w:val="Footnotes"/>
        <w:keepNext/>
        <w:keepLines/>
        <w:numPr>
          <w:ilvl w:val="0"/>
          <w:numId w:val="7"/>
        </w:numPr>
        <w:ind w:left="284" w:hanging="284"/>
      </w:pPr>
      <w:r w:rsidRPr="00B52088">
        <w:t>Figures may not sum to total due to rounding.</w:t>
      </w:r>
    </w:p>
    <w:p w:rsidR="000B5C96" w:rsidRPr="00B52088" w:rsidRDefault="000B5C96" w:rsidP="004810EE">
      <w:pPr>
        <w:pStyle w:val="Footnotes"/>
        <w:numPr>
          <w:ilvl w:val="0"/>
          <w:numId w:val="115"/>
        </w:numPr>
        <w:ind w:left="284" w:hanging="284"/>
      </w:pPr>
      <w:r w:rsidRPr="00B52088">
        <w:t>Indicates nil.</w:t>
      </w:r>
    </w:p>
    <w:p w:rsidR="000B5C96" w:rsidRPr="00B52088" w:rsidRDefault="000B5C96" w:rsidP="004810EE">
      <w:pPr>
        <w:pStyle w:val="BodyText"/>
        <w:ind w:left="284" w:hanging="284"/>
        <w:contextualSpacing/>
        <w:sectPr w:rsidR="000B5C96" w:rsidRPr="00B52088" w:rsidSect="003F606A">
          <w:headerReference w:type="even" r:id="rId493"/>
          <w:headerReference w:type="default" r:id="rId494"/>
          <w:footerReference w:type="even" r:id="rId495"/>
          <w:footerReference w:type="default" r:id="rId496"/>
          <w:pgSz w:w="16839" w:h="11907" w:orient="landscape" w:code="9"/>
          <w:pgMar w:top="1361" w:right="1797" w:bottom="1474" w:left="1797" w:header="283" w:footer="454" w:gutter="0"/>
          <w:cols w:space="708"/>
          <w:docGrid w:linePitch="360"/>
        </w:sectPr>
      </w:pPr>
    </w:p>
    <w:p w:rsidR="000B5C96" w:rsidRDefault="000B5C96" w:rsidP="003F606A">
      <w:pPr>
        <w:pStyle w:val="Heading5"/>
      </w:pPr>
      <w:bookmarkStart w:id="165" w:name="_Toc458001962"/>
      <w:bookmarkStart w:id="166" w:name="_Toc458069447"/>
      <w:r>
        <w:t>GRN053: Foreign Aid: Honouring our UN Commitments</w:t>
      </w:r>
      <w:bookmarkEnd w:id="165"/>
      <w:bookmarkEnd w:id="166"/>
    </w:p>
    <w:p w:rsidR="000B5C96" w:rsidRDefault="000B5C96" w:rsidP="003F606A">
      <w:pPr>
        <w:pStyle w:val="BodyText"/>
      </w:pPr>
      <w:r>
        <w:rPr>
          <w:noProof/>
          <w:lang w:eastAsia="en-AU"/>
        </w:rPr>
        <w:drawing>
          <wp:inline distT="0" distB="0" distL="0" distR="0" wp14:anchorId="4EC4C693" wp14:editId="6E02C340">
            <wp:extent cx="2696845" cy="572135"/>
            <wp:effectExtent l="0" t="0" r="8255" b="0"/>
            <wp:docPr id="44" name="Picture 4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B52088" w:rsidRDefault="000B5C96" w:rsidP="000B5C96">
      <w:pPr>
        <w:pStyle w:val="Heading6"/>
        <w:numPr>
          <w:ilvl w:val="0"/>
          <w:numId w:val="5"/>
        </w:numPr>
        <w:tabs>
          <w:tab w:val="right" w:pos="1418"/>
          <w:tab w:val="right" w:pos="1701"/>
          <w:tab w:val="right" w:pos="1985"/>
        </w:tabs>
      </w:pPr>
      <w:r w:rsidRPr="00B52088">
        <w:t>Policy costing—during the caretaker period for the 2016 general election</w:t>
      </w:r>
    </w:p>
    <w:tbl>
      <w:tblPr>
        <w:tblStyle w:val="Style15"/>
        <w:tblW w:w="8340" w:type="dxa"/>
        <w:tblLook w:val="04A0" w:firstRow="1" w:lastRow="0" w:firstColumn="1" w:lastColumn="0" w:noHBand="0" w:noVBand="1"/>
      </w:tblPr>
      <w:tblGrid>
        <w:gridCol w:w="3005"/>
        <w:gridCol w:w="5335"/>
      </w:tblGrid>
      <w:tr w:rsidR="000B5C96" w:rsidRPr="00EA7F7A" w:rsidTr="00D11796">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val="0"/>
              </w:rPr>
            </w:pPr>
            <w:r w:rsidRPr="00EA7F7A">
              <w:t>Name of proposal:</w:t>
            </w:r>
          </w:p>
        </w:tc>
        <w:tc>
          <w:tcPr>
            <w:tcW w:w="5335" w:type="dxa"/>
          </w:tcPr>
          <w:p w:rsidR="000B5C96" w:rsidRPr="00EA7F7A" w:rsidRDefault="000B5C96" w:rsidP="003F606A">
            <w:pPr>
              <w:pStyle w:val="PullOutBoxHeading"/>
              <w:rPr>
                <w:b w:val="0"/>
              </w:rPr>
            </w:pPr>
            <w:r w:rsidRPr="00EA7F7A">
              <w:t>Foreign Aid: Honouring our UN Commitments</w:t>
            </w:r>
          </w:p>
        </w:tc>
      </w:tr>
      <w:tr w:rsidR="000B5C96" w:rsidRPr="00B52088" w:rsidTr="00D11796">
        <w:tc>
          <w:tcPr>
            <w:tcW w:w="3005" w:type="dxa"/>
          </w:tcPr>
          <w:p w:rsidR="000B5C96" w:rsidRPr="00B52088" w:rsidRDefault="000B5C96" w:rsidP="003F606A">
            <w:pPr>
              <w:pStyle w:val="PullOutBoxBodyText"/>
            </w:pPr>
            <w:r w:rsidRPr="00B52088">
              <w:t>Summary of proposal:</w:t>
            </w:r>
          </w:p>
        </w:tc>
        <w:tc>
          <w:tcPr>
            <w:tcW w:w="5335" w:type="dxa"/>
          </w:tcPr>
          <w:p w:rsidR="000B5C96" w:rsidRPr="00B52088" w:rsidRDefault="000B5C96" w:rsidP="003F606A">
            <w:pPr>
              <w:pStyle w:val="PullOutBoxBodyText"/>
            </w:pPr>
            <w:r w:rsidRPr="00B52088">
              <w:t>The proposal would increase Australia’s Official Development Assistance (ODA) to 0.7 per cent of Gross National Income (GNI) by 31 December 2025.</w:t>
            </w:r>
          </w:p>
          <w:p w:rsidR="000B5C96" w:rsidRPr="00B52088" w:rsidRDefault="000B5C96" w:rsidP="003F606A">
            <w:pPr>
              <w:pStyle w:val="PullOutBoxBodyText"/>
            </w:pPr>
            <w:r w:rsidRPr="00B52088">
              <w:t>The proposal would have effect from 1 September 2016 and funding increases would occur on a linear basis over the period.</w:t>
            </w:r>
          </w:p>
        </w:tc>
      </w:tr>
      <w:tr w:rsidR="000B5C96" w:rsidRPr="00B52088" w:rsidTr="00D11796">
        <w:tc>
          <w:tcPr>
            <w:tcW w:w="3005" w:type="dxa"/>
          </w:tcPr>
          <w:p w:rsidR="000B5C96" w:rsidRPr="00B52088" w:rsidRDefault="000B5C96" w:rsidP="003F606A">
            <w:pPr>
              <w:pStyle w:val="PullOutBoxBodyText"/>
            </w:pPr>
            <w:r w:rsidRPr="00B52088">
              <w:t>Person/party requesting costing:</w:t>
            </w:r>
          </w:p>
        </w:tc>
        <w:tc>
          <w:tcPr>
            <w:tcW w:w="5335" w:type="dxa"/>
          </w:tcPr>
          <w:p w:rsidR="000B5C96" w:rsidRPr="00B52088" w:rsidRDefault="000B5C96" w:rsidP="003F606A">
            <w:pPr>
              <w:pStyle w:val="PullOutBoxBodyText"/>
            </w:pPr>
            <w:r w:rsidRPr="00B52088">
              <w:t>Senator Richard Di Natale, Australian Greens</w:t>
            </w:r>
          </w:p>
        </w:tc>
      </w:tr>
      <w:tr w:rsidR="000B5C96" w:rsidRPr="00B52088" w:rsidTr="00D11796">
        <w:tc>
          <w:tcPr>
            <w:tcW w:w="3005" w:type="dxa"/>
          </w:tcPr>
          <w:p w:rsidR="000B5C96" w:rsidRPr="00B52088" w:rsidRDefault="000B5C96" w:rsidP="003F606A">
            <w:pPr>
              <w:pStyle w:val="PullOutBoxBodyText"/>
            </w:pPr>
            <w:r w:rsidRPr="00B52088">
              <w:t>Date of public release of policy:</w:t>
            </w:r>
          </w:p>
        </w:tc>
        <w:tc>
          <w:tcPr>
            <w:tcW w:w="5335" w:type="dxa"/>
          </w:tcPr>
          <w:p w:rsidR="000B5C96" w:rsidRPr="00B52088" w:rsidRDefault="000B5C96" w:rsidP="003F606A">
            <w:pPr>
              <w:pStyle w:val="PullOutBoxBodyText"/>
            </w:pPr>
            <w:r w:rsidRPr="00B52088">
              <w:t>16 June 2016</w:t>
            </w:r>
          </w:p>
        </w:tc>
      </w:tr>
      <w:tr w:rsidR="000B5C96" w:rsidRPr="00B52088" w:rsidTr="00D11796">
        <w:tc>
          <w:tcPr>
            <w:tcW w:w="3005" w:type="dxa"/>
          </w:tcPr>
          <w:p w:rsidR="000B5C96" w:rsidRPr="00B52088" w:rsidRDefault="000B5C96" w:rsidP="003F606A">
            <w:pPr>
              <w:pStyle w:val="PullOutBoxBodyText"/>
            </w:pPr>
            <w:r w:rsidRPr="00B52088">
              <w:t>Date costing request received:</w:t>
            </w:r>
          </w:p>
        </w:tc>
        <w:tc>
          <w:tcPr>
            <w:tcW w:w="5335" w:type="dxa"/>
          </w:tcPr>
          <w:p w:rsidR="000B5C96" w:rsidRPr="00B52088" w:rsidRDefault="000B5C96" w:rsidP="003F606A">
            <w:pPr>
              <w:pStyle w:val="PullOutBoxBodyText"/>
            </w:pPr>
            <w:r w:rsidRPr="00B52088">
              <w:t>30 June 2016</w:t>
            </w:r>
          </w:p>
        </w:tc>
      </w:tr>
      <w:tr w:rsidR="000B5C96" w:rsidRPr="00B52088" w:rsidTr="00D11796">
        <w:tc>
          <w:tcPr>
            <w:tcW w:w="3005" w:type="dxa"/>
          </w:tcPr>
          <w:p w:rsidR="000B5C96" w:rsidRPr="00B52088" w:rsidRDefault="000B5C96" w:rsidP="003F606A">
            <w:pPr>
              <w:pStyle w:val="PullOutBoxBodyText"/>
            </w:pPr>
            <w:r w:rsidRPr="00B52088">
              <w:t>Date costing completed:</w:t>
            </w:r>
          </w:p>
        </w:tc>
        <w:tc>
          <w:tcPr>
            <w:tcW w:w="5335" w:type="dxa"/>
          </w:tcPr>
          <w:p w:rsidR="000B5C96" w:rsidRPr="00B52088" w:rsidRDefault="000B5C96" w:rsidP="003F606A">
            <w:pPr>
              <w:pStyle w:val="PullOutBoxBodyText"/>
            </w:pPr>
            <w:r w:rsidRPr="00B52088">
              <w:t>30 June 2016</w:t>
            </w:r>
          </w:p>
        </w:tc>
      </w:tr>
      <w:tr w:rsidR="000B5C96" w:rsidRPr="00B52088" w:rsidTr="00D11796">
        <w:tc>
          <w:tcPr>
            <w:tcW w:w="3005" w:type="dxa"/>
          </w:tcPr>
          <w:p w:rsidR="000B5C96" w:rsidRPr="00B52088" w:rsidRDefault="000B5C96" w:rsidP="003F606A">
            <w:pPr>
              <w:pStyle w:val="PullOutBoxBodyText"/>
            </w:pPr>
            <w:r w:rsidRPr="00B52088">
              <w:t>Expiry date for the costing:</w:t>
            </w:r>
          </w:p>
        </w:tc>
        <w:tc>
          <w:tcPr>
            <w:tcW w:w="5335" w:type="dxa"/>
          </w:tcPr>
          <w:p w:rsidR="000B5C96" w:rsidRPr="00B52088" w:rsidRDefault="000B5C96" w:rsidP="003F606A">
            <w:pPr>
              <w:pStyle w:val="PullOutBoxBodyText"/>
            </w:pPr>
            <w:r w:rsidRPr="00B52088">
              <w:t>Release of the next economic and fiscal outlook report</w:t>
            </w:r>
          </w:p>
        </w:tc>
      </w:tr>
    </w:tbl>
    <w:p w:rsidR="000B5C96" w:rsidRPr="00B52088" w:rsidRDefault="000B5C96" w:rsidP="003F606A">
      <w:pPr>
        <w:pStyle w:val="CostingsH7"/>
        <w:rPr>
          <w:rFonts w:eastAsia="Calibri"/>
        </w:rPr>
      </w:pPr>
      <w:r w:rsidRPr="00B52088">
        <w:rPr>
          <w:rFonts w:eastAsia="Calibri"/>
        </w:rPr>
        <w:t>Costing overview</w:t>
      </w:r>
    </w:p>
    <w:p w:rsidR="000B5C96" w:rsidRPr="00B52088" w:rsidRDefault="000B5C96" w:rsidP="003F606A">
      <w:pPr>
        <w:pStyle w:val="BodyText"/>
      </w:pPr>
      <w:r w:rsidRPr="00B52088">
        <w:t>This proposal would be expected to decrease both the fiscal and underlying cash balances by $7,972.5 million over the 2016-17 Budget forward estimates period.  This impact is entirely due to an increase in expenses, consisting of an increase in administered funding of $7,573.9 million and an increase of departmental funding of $398.6 million.</w:t>
      </w:r>
    </w:p>
    <w:p w:rsidR="000B5C96" w:rsidRPr="00B52088" w:rsidRDefault="000B5C96" w:rsidP="003F606A">
      <w:pPr>
        <w:pStyle w:val="BodyText"/>
      </w:pPr>
      <w:r w:rsidRPr="00B52088">
        <w:t xml:space="preserve">This proposal would have an ongoing impact that extends beyond the forward estimates, and the financial impact to 2026-27 is provided at </w:t>
      </w:r>
      <w:r w:rsidRPr="00B52088">
        <w:rPr>
          <w:u w:val="single"/>
        </w:rPr>
        <w:t>Attachment A.</w:t>
      </w:r>
    </w:p>
    <w:p w:rsidR="000B5C96" w:rsidRPr="00B52088" w:rsidRDefault="000B5C96" w:rsidP="003F606A">
      <w:pPr>
        <w:pStyle w:val="BodyText"/>
      </w:pPr>
      <w:r w:rsidRPr="00B52088">
        <w:rPr>
          <w:lang w:eastAsia="en-AU"/>
        </w:rPr>
        <w:t xml:space="preserve">This costing is considered to be of medium reliability </w:t>
      </w:r>
      <w:r w:rsidRPr="00B52088">
        <w:t>as the proposed level of funding is based on future levels of GNI and actual outcomes may differ from current estimates.  The reliability of the costing decreases the further into the future the estimates are projected.</w:t>
      </w:r>
    </w:p>
    <w:p w:rsidR="000B5C96" w:rsidRPr="00B52088" w:rsidRDefault="000B5C96" w:rsidP="003F606A">
      <w:pPr>
        <w:pStyle w:val="Caption"/>
      </w:pPr>
      <w:r w:rsidRPr="00B52088">
        <w:t>Table 1: Financial implications (outturn prices)</w:t>
      </w:r>
      <w:r w:rsidRPr="00B52088">
        <w:rPr>
          <w:vertAlign w:val="superscript"/>
        </w:rPr>
        <w:t>(a)(b)</w:t>
      </w:r>
    </w:p>
    <w:tbl>
      <w:tblPr>
        <w:tblStyle w:val="TableGrid10"/>
        <w:tblW w:w="4993" w:type="pct"/>
        <w:tblInd w:w="0" w:type="dxa"/>
        <w:tblLook w:val="04A0" w:firstRow="1" w:lastRow="0" w:firstColumn="1" w:lastColumn="0" w:noHBand="0" w:noVBand="1"/>
      </w:tblPr>
      <w:tblGrid>
        <w:gridCol w:w="2645"/>
        <w:gridCol w:w="1134"/>
        <w:gridCol w:w="1133"/>
        <w:gridCol w:w="1133"/>
        <w:gridCol w:w="1133"/>
        <w:gridCol w:w="1132"/>
      </w:tblGrid>
      <w:tr w:rsidR="000B5C96" w:rsidRPr="00B52088"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B52088" w:rsidRDefault="000B5C96" w:rsidP="003F606A">
            <w:pPr>
              <w:keepNext/>
              <w:keepLines/>
              <w:spacing w:line="240" w:lineRule="auto"/>
              <w:ind w:left="57" w:right="57"/>
            </w:pPr>
            <w:r w:rsidRPr="00B52088">
              <w:t>Impact on ($m)</w:t>
            </w:r>
          </w:p>
        </w:tc>
        <w:tc>
          <w:tcPr>
            <w:tcW w:w="682" w:type="pct"/>
          </w:tcPr>
          <w:p w:rsidR="000B5C96" w:rsidRPr="00B5208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B52088">
              <w:t>2016–17</w:t>
            </w:r>
          </w:p>
        </w:tc>
        <w:tc>
          <w:tcPr>
            <w:tcW w:w="682" w:type="pct"/>
          </w:tcPr>
          <w:p w:rsidR="000B5C96" w:rsidRPr="00B5208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B52088">
              <w:t>2017–18</w:t>
            </w:r>
          </w:p>
        </w:tc>
        <w:tc>
          <w:tcPr>
            <w:tcW w:w="682" w:type="pct"/>
          </w:tcPr>
          <w:p w:rsidR="000B5C96" w:rsidRPr="00B5208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B52088">
              <w:t>2018–19</w:t>
            </w:r>
          </w:p>
        </w:tc>
        <w:tc>
          <w:tcPr>
            <w:tcW w:w="682" w:type="pct"/>
          </w:tcPr>
          <w:p w:rsidR="000B5C96" w:rsidRPr="00B5208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B52088">
              <w:t>2019–20</w:t>
            </w:r>
          </w:p>
        </w:tc>
        <w:tc>
          <w:tcPr>
            <w:tcW w:w="681" w:type="pct"/>
          </w:tcPr>
          <w:p w:rsidR="000B5C96" w:rsidRPr="00B5208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pPr>
            <w:r w:rsidRPr="00B52088">
              <w:t>Total</w:t>
            </w:r>
          </w:p>
        </w:tc>
      </w:tr>
      <w:tr w:rsidR="000B5C96" w:rsidRPr="00B52088"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B52088" w:rsidRDefault="000B5C96" w:rsidP="003F606A">
            <w:pPr>
              <w:keepNext/>
              <w:keepLines/>
              <w:spacing w:line="240" w:lineRule="auto"/>
              <w:ind w:left="57" w:right="57"/>
            </w:pPr>
            <w:r w:rsidRPr="00B52088">
              <w:t>Fiscal balance</w:t>
            </w:r>
          </w:p>
        </w:tc>
        <w:tc>
          <w:tcPr>
            <w:tcW w:w="682" w:type="pct"/>
          </w:tcPr>
          <w:p w:rsidR="000B5C96" w:rsidRPr="00B52088"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52088">
              <w:rPr>
                <w:rFonts w:ascii="Calibri" w:hAnsi="Calibri"/>
                <w:szCs w:val="20"/>
              </w:rPr>
              <w:t>-395.5</w:t>
            </w:r>
          </w:p>
        </w:tc>
        <w:tc>
          <w:tcPr>
            <w:tcW w:w="682" w:type="pct"/>
          </w:tcPr>
          <w:p w:rsidR="000B5C96" w:rsidRPr="00B52088"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52088">
              <w:rPr>
                <w:rFonts w:ascii="Calibri" w:hAnsi="Calibri"/>
                <w:szCs w:val="20"/>
              </w:rPr>
              <w:t>-1,400.5</w:t>
            </w:r>
          </w:p>
        </w:tc>
        <w:tc>
          <w:tcPr>
            <w:tcW w:w="682" w:type="pct"/>
          </w:tcPr>
          <w:p w:rsidR="000B5C96" w:rsidRPr="00B52088"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52088">
              <w:rPr>
                <w:rFonts w:ascii="Calibri" w:hAnsi="Calibri"/>
                <w:szCs w:val="20"/>
              </w:rPr>
              <w:t>-2,488.3</w:t>
            </w:r>
          </w:p>
        </w:tc>
        <w:tc>
          <w:tcPr>
            <w:tcW w:w="682" w:type="pct"/>
          </w:tcPr>
          <w:p w:rsidR="000B5C96" w:rsidRPr="00B52088"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52088">
              <w:rPr>
                <w:rFonts w:ascii="Calibri" w:hAnsi="Calibri"/>
                <w:szCs w:val="20"/>
              </w:rPr>
              <w:t>-3,688.2</w:t>
            </w:r>
          </w:p>
        </w:tc>
        <w:tc>
          <w:tcPr>
            <w:tcW w:w="681" w:type="pct"/>
          </w:tcPr>
          <w:p w:rsidR="000B5C96" w:rsidRPr="00B52088"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B52088">
              <w:rPr>
                <w:rFonts w:ascii="Calibri" w:hAnsi="Calibri"/>
                <w:b/>
                <w:szCs w:val="20"/>
              </w:rPr>
              <w:t>-7,972.5</w:t>
            </w:r>
          </w:p>
        </w:tc>
      </w:tr>
      <w:tr w:rsidR="000B5C96" w:rsidRPr="00B52088"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B52088" w:rsidRDefault="000B5C96" w:rsidP="003F606A">
            <w:pPr>
              <w:keepNext/>
              <w:keepLines/>
              <w:spacing w:line="240" w:lineRule="auto"/>
              <w:ind w:left="57" w:right="57"/>
            </w:pPr>
            <w:r w:rsidRPr="00B52088">
              <w:t>Underlying cash balance</w:t>
            </w:r>
          </w:p>
        </w:tc>
        <w:tc>
          <w:tcPr>
            <w:tcW w:w="682" w:type="pct"/>
          </w:tcPr>
          <w:p w:rsidR="000B5C96" w:rsidRPr="00B52088"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-395.5</w:t>
            </w:r>
          </w:p>
        </w:tc>
        <w:tc>
          <w:tcPr>
            <w:tcW w:w="682" w:type="pct"/>
          </w:tcPr>
          <w:p w:rsidR="000B5C96" w:rsidRPr="00B52088"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-1,400.5</w:t>
            </w:r>
          </w:p>
        </w:tc>
        <w:tc>
          <w:tcPr>
            <w:tcW w:w="682" w:type="pct"/>
          </w:tcPr>
          <w:p w:rsidR="000B5C96" w:rsidRPr="00B52088"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-2,488.3</w:t>
            </w:r>
          </w:p>
        </w:tc>
        <w:tc>
          <w:tcPr>
            <w:tcW w:w="682" w:type="pct"/>
          </w:tcPr>
          <w:p w:rsidR="000B5C96" w:rsidRPr="00B52088"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-3,688.2</w:t>
            </w:r>
          </w:p>
        </w:tc>
        <w:tc>
          <w:tcPr>
            <w:tcW w:w="681" w:type="pct"/>
          </w:tcPr>
          <w:p w:rsidR="000B5C96" w:rsidRPr="00B52088"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-7,972.5</w:t>
            </w:r>
          </w:p>
        </w:tc>
      </w:tr>
    </w:tbl>
    <w:p w:rsidR="000B5C96" w:rsidRPr="00B52088" w:rsidRDefault="000B5C96" w:rsidP="00D11796">
      <w:pPr>
        <w:pStyle w:val="Footnotes"/>
        <w:numPr>
          <w:ilvl w:val="0"/>
          <w:numId w:val="224"/>
        </w:numPr>
        <w:ind w:left="284" w:hanging="284"/>
      </w:pPr>
      <w:r w:rsidRPr="00B52088">
        <w:t xml:space="preserve">A positive number represents an increase in the relevant budget balance, a negative number represents a decrease </w:t>
      </w:r>
    </w:p>
    <w:p w:rsidR="000B5C96" w:rsidRPr="00B52088" w:rsidRDefault="000B5C96" w:rsidP="000B5C96">
      <w:pPr>
        <w:pStyle w:val="Footnotes"/>
        <w:numPr>
          <w:ilvl w:val="0"/>
          <w:numId w:val="7"/>
        </w:numPr>
        <w:ind w:left="284" w:hanging="284"/>
      </w:pPr>
      <w:r w:rsidRPr="00B52088">
        <w:t>Figures may not sum to totals due to rounding.</w:t>
      </w:r>
    </w:p>
    <w:p w:rsidR="000B5C96" w:rsidRPr="00B52088" w:rsidRDefault="000B5C96" w:rsidP="003F606A">
      <w:pPr>
        <w:pStyle w:val="CostingsH7"/>
        <w:rPr>
          <w:rFonts w:eastAsia="Calibri"/>
        </w:rPr>
      </w:pPr>
      <w:r w:rsidRPr="00B52088">
        <w:rPr>
          <w:rFonts w:eastAsia="Calibri"/>
        </w:rPr>
        <w:t>Key assumptions</w:t>
      </w:r>
    </w:p>
    <w:p w:rsidR="000B5C96" w:rsidRPr="00B52088" w:rsidRDefault="000B5C96" w:rsidP="000B5C96">
      <w:pPr>
        <w:pStyle w:val="ListBullet"/>
        <w:numPr>
          <w:ilvl w:val="0"/>
          <w:numId w:val="123"/>
        </w:numPr>
        <w:spacing w:line="260" w:lineRule="atLeast"/>
        <w:ind w:left="284" w:hanging="284"/>
        <w:rPr>
          <w:lang w:eastAsia="en-AU"/>
        </w:rPr>
      </w:pPr>
      <w:r w:rsidRPr="00B52088">
        <w:rPr>
          <w:lang w:eastAsia="en-AU"/>
        </w:rPr>
        <w:t>Departmental costs are equal to five per cent of the change in total ODA funding and would contribute towards the ODA total funding target (consistent with current arrangements)</w:t>
      </w:r>
      <w:r>
        <w:rPr>
          <w:lang w:eastAsia="en-AU"/>
        </w:rPr>
        <w:t>.</w:t>
      </w:r>
    </w:p>
    <w:p w:rsidR="000B5C96" w:rsidRPr="00B52088" w:rsidRDefault="000B5C96" w:rsidP="000B5C96">
      <w:pPr>
        <w:pStyle w:val="ListBullet"/>
        <w:numPr>
          <w:ilvl w:val="0"/>
          <w:numId w:val="123"/>
        </w:numPr>
        <w:spacing w:line="260" w:lineRule="atLeast"/>
        <w:ind w:left="284" w:hanging="284"/>
        <w:rPr>
          <w:lang w:eastAsia="en-AU"/>
        </w:rPr>
      </w:pPr>
      <w:r w:rsidRPr="00B52088">
        <w:rPr>
          <w:lang w:eastAsia="en-AU"/>
        </w:rPr>
        <w:t>The start date of 1 September 2016 would have no impact on the provision of additional funding in 2016-17.</w:t>
      </w:r>
    </w:p>
    <w:p w:rsidR="000B5C96" w:rsidRPr="00B52088" w:rsidRDefault="000B5C96" w:rsidP="003F606A">
      <w:pPr>
        <w:pStyle w:val="CostingsH7"/>
        <w:rPr>
          <w:rFonts w:eastAsia="Calibri"/>
        </w:rPr>
      </w:pPr>
      <w:r w:rsidRPr="00B52088">
        <w:rPr>
          <w:rFonts w:eastAsia="Calibri"/>
        </w:rPr>
        <w:t>Methodology</w:t>
      </w:r>
    </w:p>
    <w:p w:rsidR="000B5C96" w:rsidRPr="00B52088" w:rsidRDefault="000B5C96" w:rsidP="003F606A">
      <w:pPr>
        <w:pStyle w:val="BodyText"/>
      </w:pPr>
      <w:r w:rsidRPr="00B52088">
        <w:t>The ODA to GNI ratios required to reach 0.7 per cent of GNI by 2025-26 were calculated on a straight line basis.  The ratios for each year were then multiplied by the corresponding GNI estimate to calculate new ODA spending estimates to achieve the targets proposed in the costing request.</w:t>
      </w:r>
    </w:p>
    <w:p w:rsidR="000B5C96" w:rsidRPr="00B52088" w:rsidRDefault="000B5C96" w:rsidP="003F606A">
      <w:pPr>
        <w:pStyle w:val="BodyText"/>
      </w:pPr>
      <w:r w:rsidRPr="00B52088">
        <w:t>Baseline ODA estimates reflect advice from the Department of Foreign Affairs and Trade (DFAT) on estimated ODA spending over 2016-17 to 2019-20.  For the period beyond the forward estimates, the Parliamentary Budget Office has indexed baseline ODA spending by the Consumer Price Index consistent with current government policy.</w:t>
      </w:r>
    </w:p>
    <w:p w:rsidR="000B5C96" w:rsidRPr="00B52088" w:rsidRDefault="000B5C96" w:rsidP="003F606A">
      <w:pPr>
        <w:pStyle w:val="BodyText"/>
      </w:pPr>
      <w:r w:rsidRPr="00B52088">
        <w:t>The baseline ODA estimates were subtracted from the new estimated ODA level to obtain the impact of this proposal.  The departmental costs were based on the change in total ODA funding.</w:t>
      </w:r>
    </w:p>
    <w:p w:rsidR="000B5C96" w:rsidRPr="00B52088" w:rsidRDefault="000B5C96" w:rsidP="003F606A">
      <w:pPr>
        <w:pStyle w:val="CostingsH7"/>
        <w:rPr>
          <w:rFonts w:eastAsia="Calibri"/>
        </w:rPr>
      </w:pPr>
      <w:r w:rsidRPr="00B52088">
        <w:rPr>
          <w:rFonts w:eastAsia="Calibri"/>
        </w:rPr>
        <w:t>Data sources</w:t>
      </w:r>
    </w:p>
    <w:p w:rsidR="000B5C96" w:rsidRPr="00B52088" w:rsidRDefault="000B5C96" w:rsidP="003F606A">
      <w:pPr>
        <w:pStyle w:val="BodyText"/>
      </w:pPr>
      <w:r w:rsidRPr="00B52088">
        <w:t>DFAT provided ODA estimates over 2016-17 to 2019-20.</w:t>
      </w:r>
    </w:p>
    <w:p w:rsidR="000B5C96" w:rsidRPr="00B52088" w:rsidRDefault="000B5C96" w:rsidP="003F606A">
      <w:pPr>
        <w:pStyle w:val="BodyText"/>
        <w:sectPr w:rsidR="000B5C96" w:rsidRPr="00B52088" w:rsidSect="003F606A">
          <w:headerReference w:type="even" r:id="rId497"/>
          <w:headerReference w:type="default" r:id="rId498"/>
          <w:footerReference w:type="even" r:id="rId499"/>
          <w:footerReference w:type="default" r:id="rId500"/>
          <w:headerReference w:type="first" r:id="rId501"/>
          <w:footerReference w:type="first" r:id="rId502"/>
          <w:pgSz w:w="11906" w:h="16838"/>
          <w:pgMar w:top="1361" w:right="1797" w:bottom="1474" w:left="1797" w:header="283" w:footer="454" w:gutter="0"/>
          <w:cols w:space="708"/>
          <w:docGrid w:linePitch="360"/>
        </w:sectPr>
      </w:pPr>
    </w:p>
    <w:p w:rsidR="000B5C96" w:rsidRPr="00B52088" w:rsidRDefault="000B5C96" w:rsidP="000B5C96">
      <w:pPr>
        <w:pStyle w:val="Heading6"/>
        <w:numPr>
          <w:ilvl w:val="0"/>
          <w:numId w:val="5"/>
        </w:numPr>
        <w:tabs>
          <w:tab w:val="right" w:pos="1418"/>
          <w:tab w:val="right" w:pos="1701"/>
          <w:tab w:val="right" w:pos="1985"/>
        </w:tabs>
      </w:pPr>
      <w:r w:rsidRPr="00B52088">
        <w:t>Attachment A:  Foreign Aid: Honouring our UN Commitments — financial implications</w:t>
      </w:r>
    </w:p>
    <w:p w:rsidR="000B5C96" w:rsidRPr="00B52088" w:rsidRDefault="000B5C96" w:rsidP="003F606A">
      <w:pPr>
        <w:pStyle w:val="Caption"/>
      </w:pPr>
      <w:r w:rsidRPr="00B52088">
        <w:t>Table A1: Foreign Aid: Honouring our UN Commitments—Financial implications (outturn prices)</w:t>
      </w:r>
      <w:r w:rsidRPr="00B52088">
        <w:rPr>
          <w:vertAlign w:val="superscript"/>
        </w:rPr>
        <w:t>(a)(b)</w:t>
      </w:r>
    </w:p>
    <w:tbl>
      <w:tblPr>
        <w:tblStyle w:val="TableGrid11"/>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B52088" w:rsidRDefault="000B5C96" w:rsidP="003F606A">
            <w:pPr>
              <w:keepNext/>
              <w:keepLines/>
              <w:spacing w:line="240" w:lineRule="auto"/>
              <w:ind w:left="57" w:right="57"/>
            </w:pPr>
            <w:r w:rsidRPr="00B52088">
              <w:t>($m)</w:t>
            </w:r>
          </w:p>
        </w:tc>
        <w:tc>
          <w:tcPr>
            <w:tcW w:w="326"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2016–17</w:t>
            </w:r>
          </w:p>
        </w:tc>
        <w:tc>
          <w:tcPr>
            <w:tcW w:w="325"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2017–18</w:t>
            </w:r>
          </w:p>
        </w:tc>
        <w:tc>
          <w:tcPr>
            <w:tcW w:w="325"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2018–19</w:t>
            </w:r>
          </w:p>
        </w:tc>
        <w:tc>
          <w:tcPr>
            <w:tcW w:w="325"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2019–20</w:t>
            </w:r>
          </w:p>
        </w:tc>
        <w:tc>
          <w:tcPr>
            <w:tcW w:w="327"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Total to 2019–20</w:t>
            </w:r>
          </w:p>
        </w:tc>
        <w:tc>
          <w:tcPr>
            <w:tcW w:w="325"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2020–21</w:t>
            </w:r>
          </w:p>
        </w:tc>
        <w:tc>
          <w:tcPr>
            <w:tcW w:w="325"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2021–22</w:t>
            </w:r>
          </w:p>
        </w:tc>
        <w:tc>
          <w:tcPr>
            <w:tcW w:w="325"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2022–23</w:t>
            </w:r>
          </w:p>
        </w:tc>
        <w:tc>
          <w:tcPr>
            <w:tcW w:w="325"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2023–24</w:t>
            </w:r>
          </w:p>
        </w:tc>
        <w:tc>
          <w:tcPr>
            <w:tcW w:w="325"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2024–25</w:t>
            </w:r>
          </w:p>
        </w:tc>
        <w:tc>
          <w:tcPr>
            <w:tcW w:w="325"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2025–26</w:t>
            </w:r>
          </w:p>
        </w:tc>
        <w:tc>
          <w:tcPr>
            <w:tcW w:w="325"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52088">
              <w:rPr>
                <w:rFonts w:ascii="Calibri" w:hAnsi="Calibri"/>
              </w:rPr>
              <w:t>2026–27</w:t>
            </w:r>
          </w:p>
        </w:tc>
        <w:tc>
          <w:tcPr>
            <w:tcW w:w="326" w:type="pct"/>
            <w:shd w:val="clear" w:color="auto" w:fill="D7DDE9"/>
          </w:tcPr>
          <w:p w:rsidR="000B5C96" w:rsidRPr="00B52088" w:rsidRDefault="000B5C96" w:rsidP="003F606A">
            <w:pPr>
              <w:keepNext/>
              <w:keepLines/>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52088">
              <w:rPr>
                <w:rFonts w:ascii="Calibri" w:hAnsi="Calibri"/>
                <w:b/>
              </w:rPr>
              <w:t>Total to 2026–27</w:t>
            </w:r>
          </w:p>
        </w:tc>
      </w:tr>
      <w:tr w:rsidR="000B5C96" w:rsidRPr="00B52088"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B5C96" w:rsidRPr="00B52088" w:rsidRDefault="000B5C96" w:rsidP="003F606A">
            <w:pPr>
              <w:keepNext/>
              <w:keepLines/>
              <w:spacing w:line="240" w:lineRule="auto"/>
              <w:ind w:left="57" w:right="57"/>
              <w:rPr>
                <w:b/>
              </w:rPr>
            </w:pPr>
            <w:r w:rsidRPr="00B52088">
              <w:rPr>
                <w:b/>
                <w:noProof/>
              </w:rPr>
              <w:t>Impact on fiscal and underlying cash balances</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B52088" w:rsidRDefault="000B5C96" w:rsidP="003F606A">
            <w:pPr>
              <w:keepNext/>
              <w:keepLines/>
              <w:spacing w:line="240" w:lineRule="auto"/>
              <w:ind w:left="57" w:right="57"/>
              <w:rPr>
                <w:szCs w:val="20"/>
              </w:rPr>
            </w:pPr>
            <w:r w:rsidRPr="00B52088">
              <w:rPr>
                <w:szCs w:val="20"/>
              </w:rPr>
              <w:t>Administered</w:t>
            </w:r>
          </w:p>
        </w:tc>
        <w:tc>
          <w:tcPr>
            <w:tcW w:w="326"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-375.7</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-1,330.5</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-2,363.9</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-3,503.8</w:t>
            </w:r>
          </w:p>
        </w:tc>
        <w:tc>
          <w:tcPr>
            <w:tcW w:w="327"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-7,573.9</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-4,784.1</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-6,192.7</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-7,747.3</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-9,441.3</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-11,270.4</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-13,266.0</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-14,098.6</w:t>
            </w:r>
          </w:p>
        </w:tc>
        <w:tc>
          <w:tcPr>
            <w:tcW w:w="326"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-74,374.2</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B52088" w:rsidRDefault="000B5C96" w:rsidP="003F606A">
            <w:pPr>
              <w:keepNext/>
              <w:keepLines/>
              <w:spacing w:line="240" w:lineRule="auto"/>
              <w:ind w:left="57" w:right="57"/>
              <w:rPr>
                <w:szCs w:val="20"/>
              </w:rPr>
            </w:pPr>
            <w:r w:rsidRPr="00B52088">
              <w:rPr>
                <w:szCs w:val="20"/>
              </w:rPr>
              <w:t>Departmental</w:t>
            </w:r>
          </w:p>
        </w:tc>
        <w:tc>
          <w:tcPr>
            <w:tcW w:w="326"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-19.8</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-70.0</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-124.4</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-184.4</w:t>
            </w:r>
          </w:p>
        </w:tc>
        <w:tc>
          <w:tcPr>
            <w:tcW w:w="327"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-398.6</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-251.8</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-325.9</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-407.8</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-496.9</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-593.2</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-698.2</w:t>
            </w:r>
          </w:p>
        </w:tc>
        <w:tc>
          <w:tcPr>
            <w:tcW w:w="325"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52088">
              <w:rPr>
                <w:rFonts w:ascii="Calibri" w:hAnsi="Calibri"/>
                <w:szCs w:val="20"/>
              </w:rPr>
              <w:t>-742.0</w:t>
            </w:r>
          </w:p>
        </w:tc>
        <w:tc>
          <w:tcPr>
            <w:tcW w:w="326" w:type="pct"/>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-3,914.4</w:t>
            </w:r>
          </w:p>
        </w:tc>
      </w:tr>
      <w:tr w:rsidR="000B5C96" w:rsidRPr="00B52088"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B52088" w:rsidRDefault="000B5C96" w:rsidP="003F606A">
            <w:pPr>
              <w:keepNext/>
              <w:keepLines/>
              <w:spacing w:line="240" w:lineRule="auto"/>
              <w:ind w:left="57" w:right="57"/>
              <w:rPr>
                <w:b/>
                <w:szCs w:val="20"/>
              </w:rPr>
            </w:pPr>
            <w:r w:rsidRPr="00B52088">
              <w:rPr>
                <w:b/>
                <w:szCs w:val="20"/>
              </w:rPr>
              <w:t>Total</w:t>
            </w:r>
          </w:p>
        </w:tc>
        <w:tc>
          <w:tcPr>
            <w:tcW w:w="326"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-395.5</w:t>
            </w:r>
          </w:p>
        </w:tc>
        <w:tc>
          <w:tcPr>
            <w:tcW w:w="325"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-1,400.5</w:t>
            </w:r>
          </w:p>
        </w:tc>
        <w:tc>
          <w:tcPr>
            <w:tcW w:w="325"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-2,488.3</w:t>
            </w:r>
          </w:p>
        </w:tc>
        <w:tc>
          <w:tcPr>
            <w:tcW w:w="325"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-3,688.2</w:t>
            </w:r>
          </w:p>
        </w:tc>
        <w:tc>
          <w:tcPr>
            <w:tcW w:w="327"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-7,972.5</w:t>
            </w:r>
          </w:p>
        </w:tc>
        <w:tc>
          <w:tcPr>
            <w:tcW w:w="325"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-5,035.9</w:t>
            </w:r>
          </w:p>
        </w:tc>
        <w:tc>
          <w:tcPr>
            <w:tcW w:w="325"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-6,518.6</w:t>
            </w:r>
          </w:p>
        </w:tc>
        <w:tc>
          <w:tcPr>
            <w:tcW w:w="325"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-8,155.0</w:t>
            </w:r>
          </w:p>
        </w:tc>
        <w:tc>
          <w:tcPr>
            <w:tcW w:w="325"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-9,938.3</w:t>
            </w:r>
          </w:p>
        </w:tc>
        <w:tc>
          <w:tcPr>
            <w:tcW w:w="325"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-11,863.6</w:t>
            </w:r>
          </w:p>
        </w:tc>
        <w:tc>
          <w:tcPr>
            <w:tcW w:w="325"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-13,964.2</w:t>
            </w:r>
          </w:p>
        </w:tc>
        <w:tc>
          <w:tcPr>
            <w:tcW w:w="325"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-14,840.6</w:t>
            </w:r>
          </w:p>
        </w:tc>
        <w:tc>
          <w:tcPr>
            <w:tcW w:w="326" w:type="pct"/>
            <w:shd w:val="clear" w:color="auto" w:fill="E9ECF3"/>
          </w:tcPr>
          <w:p w:rsidR="000B5C96" w:rsidRPr="00B52088" w:rsidRDefault="000B5C96" w:rsidP="003F606A">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52088">
              <w:rPr>
                <w:rFonts w:ascii="Calibri" w:hAnsi="Calibri"/>
                <w:b/>
                <w:szCs w:val="20"/>
              </w:rPr>
              <w:t>-78,288.7</w:t>
            </w:r>
          </w:p>
        </w:tc>
      </w:tr>
    </w:tbl>
    <w:p w:rsidR="000B5C96" w:rsidRPr="00B52088" w:rsidRDefault="000B5C96" w:rsidP="00D11796">
      <w:pPr>
        <w:pStyle w:val="Footnotes"/>
        <w:numPr>
          <w:ilvl w:val="0"/>
          <w:numId w:val="225"/>
        </w:numPr>
        <w:ind w:left="284" w:hanging="284"/>
      </w:pPr>
      <w:r w:rsidRPr="00B52088">
        <w:t>A negative number indicates a decrease in revenue or an increase in expenses or net capital investment in accrual and cash terms.</w:t>
      </w:r>
    </w:p>
    <w:p w:rsidR="000B5C96" w:rsidRPr="00B52088" w:rsidRDefault="000B5C96" w:rsidP="000B5C96">
      <w:pPr>
        <w:pStyle w:val="Footnotes"/>
        <w:numPr>
          <w:ilvl w:val="0"/>
          <w:numId w:val="7"/>
        </w:numPr>
        <w:ind w:left="284" w:hanging="284"/>
      </w:pPr>
      <w:r w:rsidRPr="00B52088">
        <w:t>Figures may not sum to totals due to rounding.</w:t>
      </w:r>
    </w:p>
    <w:p w:rsidR="000B5C96" w:rsidRDefault="000B5C96" w:rsidP="003F606A">
      <w:pPr>
        <w:pStyle w:val="BodyText"/>
      </w:pPr>
    </w:p>
    <w:p w:rsidR="000B5C96" w:rsidRPr="00B52088" w:rsidRDefault="000B5C96" w:rsidP="003F606A">
      <w:pPr>
        <w:pStyle w:val="BodyText"/>
        <w:sectPr w:rsidR="000B5C96" w:rsidRPr="00B52088" w:rsidSect="003F606A">
          <w:headerReference w:type="even" r:id="rId503"/>
          <w:headerReference w:type="default" r:id="rId504"/>
          <w:footerReference w:type="even" r:id="rId505"/>
          <w:footerReference w:type="default" r:id="rId506"/>
          <w:pgSz w:w="16839" w:h="11907" w:orient="landscape" w:code="9"/>
          <w:pgMar w:top="1361" w:right="1797" w:bottom="1474" w:left="1797" w:header="283" w:footer="454" w:gutter="0"/>
          <w:cols w:space="708"/>
          <w:docGrid w:linePitch="360"/>
        </w:sectPr>
      </w:pPr>
    </w:p>
    <w:p w:rsidR="000B5C96" w:rsidRDefault="000B5C96" w:rsidP="003F606A">
      <w:pPr>
        <w:pStyle w:val="Heading5"/>
      </w:pPr>
      <w:bookmarkStart w:id="167" w:name="_Toc458001963"/>
      <w:bookmarkStart w:id="168" w:name="_Toc458069448"/>
      <w:r>
        <w:t>GRN054: Empowering &amp; Supporting ATSI Peoples</w:t>
      </w:r>
      <w:bookmarkEnd w:id="167"/>
      <w:bookmarkEnd w:id="168"/>
    </w:p>
    <w:p w:rsidR="000B5C96" w:rsidRDefault="000B5C96" w:rsidP="003F606A">
      <w:pPr>
        <w:pStyle w:val="BodyText"/>
      </w:pPr>
      <w:r>
        <w:rPr>
          <w:noProof/>
          <w:lang w:eastAsia="en-AU"/>
        </w:rPr>
        <w:drawing>
          <wp:inline distT="0" distB="0" distL="0" distR="0" wp14:anchorId="7B0963E2" wp14:editId="3249DC0C">
            <wp:extent cx="2696845" cy="572135"/>
            <wp:effectExtent l="0" t="0" r="8255" b="0"/>
            <wp:docPr id="463" name="Picture 46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F48A5" w:rsidRDefault="000B5C96" w:rsidP="000B5C96">
      <w:pPr>
        <w:pStyle w:val="Heading6"/>
        <w:numPr>
          <w:ilvl w:val="0"/>
          <w:numId w:val="5"/>
        </w:numPr>
        <w:tabs>
          <w:tab w:val="right" w:pos="1418"/>
          <w:tab w:val="right" w:pos="1701"/>
          <w:tab w:val="right" w:pos="1985"/>
        </w:tabs>
      </w:pPr>
      <w:r w:rsidRPr="002F48A5">
        <w:t>Policy costing—during the caretaker period for the 2016 general election</w:t>
      </w:r>
    </w:p>
    <w:tbl>
      <w:tblPr>
        <w:tblStyle w:val="Style11"/>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Name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 xml:space="preserve">Empowering and supporting Aboriginal and </w:t>
            </w:r>
            <w:r w:rsidRPr="00EA7F7A">
              <w:rPr>
                <w:b/>
                <w:sz w:val="22"/>
              </w:rPr>
              <w:br/>
              <w:t>Torres Strait Islander peoples</w:t>
            </w:r>
          </w:p>
        </w:tc>
      </w:tr>
      <w:tr w:rsidR="000B5C96" w:rsidRPr="002F48A5"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2F48A5" w:rsidRDefault="000B5C96" w:rsidP="003F606A">
            <w:pPr>
              <w:pStyle w:val="PullOutBoxBodyText"/>
            </w:pPr>
            <w:r w:rsidRPr="002F48A5">
              <w:t>Summary of proposal:</w:t>
            </w:r>
          </w:p>
        </w:tc>
        <w:tc>
          <w:tcPr>
            <w:tcW w:w="5335" w:type="dxa"/>
            <w:tcBorders>
              <w:top w:val="single" w:sz="4" w:space="0" w:color="788182"/>
              <w:left w:val="single" w:sz="4" w:space="0" w:color="788182"/>
              <w:bottom w:val="single" w:sz="4" w:space="0" w:color="788182"/>
              <w:right w:val="single" w:sz="4" w:space="0" w:color="788182"/>
            </w:tcBorders>
          </w:tcPr>
          <w:p w:rsidR="000B5C96" w:rsidRPr="00D06071" w:rsidRDefault="000B5C96" w:rsidP="003F606A">
            <w:pPr>
              <w:pStyle w:val="PullOutBoxBodyText"/>
            </w:pPr>
            <w:r w:rsidRPr="00D06071">
              <w:t>The proposal is comprised of four components.</w:t>
            </w:r>
          </w:p>
          <w:p w:rsidR="000B5C96" w:rsidRPr="00D06071" w:rsidRDefault="000B5C96" w:rsidP="003F606A">
            <w:pPr>
              <w:pStyle w:val="PullOutBoxBodyText"/>
            </w:pPr>
            <w:r w:rsidRPr="00D06071">
              <w:rPr>
                <w:u w:val="single"/>
              </w:rPr>
              <w:t>Component 1: Sovereignty and Treaty</w:t>
            </w:r>
          </w:p>
          <w:p w:rsidR="000B5C96" w:rsidRPr="00D06071" w:rsidRDefault="000B5C96" w:rsidP="003F606A">
            <w:pPr>
              <w:pStyle w:val="PullOutBoxBodyText"/>
              <w:rPr>
                <w:rFonts w:eastAsia="Times New Roman"/>
              </w:rPr>
            </w:pPr>
            <w:r w:rsidRPr="00D06071">
              <w:rPr>
                <w:rFonts w:eastAsia="Times New Roman"/>
              </w:rPr>
              <w:t>This component would provide grants of $15 million (not including administration costs) per year over two years to Aboriginal and Torres Strait Islander (ATSI) individuals, organisations and communities, for projects to advance the conversation on sovereignty and treaty.</w:t>
            </w:r>
          </w:p>
          <w:p w:rsidR="000B5C96" w:rsidRPr="00D06071" w:rsidRDefault="000B5C96" w:rsidP="003F606A">
            <w:pPr>
              <w:pStyle w:val="PullOutBoxBodyText"/>
              <w:rPr>
                <w:rFonts w:eastAsia="Times New Roman"/>
              </w:rPr>
            </w:pPr>
            <w:r w:rsidRPr="00D06071">
              <w:rPr>
                <w:rFonts w:eastAsia="Times New Roman"/>
                <w:u w:val="single"/>
              </w:rPr>
              <w:t>Component 2: Implement the United Nations Declaration on the Rights of Indigenous Peoples (UNDRIP)</w:t>
            </w:r>
          </w:p>
          <w:p w:rsidR="000B5C96" w:rsidRPr="00D53915" w:rsidRDefault="000B5C96" w:rsidP="000B5C96">
            <w:pPr>
              <w:pStyle w:val="PullOutBoxBullet"/>
              <w:numPr>
                <w:ilvl w:val="0"/>
                <w:numId w:val="2"/>
              </w:numPr>
              <w:ind w:left="397"/>
            </w:pPr>
            <w:r w:rsidRPr="00D53915">
              <w:t>This component would support the domestic implementation of the UNDRIP, through:</w:t>
            </w:r>
          </w:p>
          <w:p w:rsidR="000B5C96" w:rsidRPr="00D06071" w:rsidRDefault="000B5C96" w:rsidP="000B5C96">
            <w:pPr>
              <w:pStyle w:val="PullOutBoxBullet2"/>
              <w:numPr>
                <w:ilvl w:val="1"/>
                <w:numId w:val="2"/>
              </w:numPr>
              <w:ind w:left="737"/>
            </w:pPr>
            <w:r w:rsidRPr="00D06071">
              <w:t>A comprehensive National Action Plan to provide a roadmap for implementing the UNDRIP into Australian law and policy making</w:t>
            </w:r>
          </w:p>
          <w:p w:rsidR="000B5C96" w:rsidRPr="00D06071" w:rsidRDefault="000B5C96" w:rsidP="000B5C96">
            <w:pPr>
              <w:pStyle w:val="PullOutBoxBullet2"/>
              <w:numPr>
                <w:ilvl w:val="1"/>
                <w:numId w:val="2"/>
              </w:numPr>
              <w:ind w:left="737"/>
            </w:pPr>
            <w:r w:rsidRPr="00D06071">
              <w:t>$20 million in grants over the forward estimates, for non</w:t>
            </w:r>
            <w:r w:rsidRPr="00D06071">
              <w:noBreakHyphen/>
              <w:t>government organisations to facilitate participation in the National Action Plan, and help raise community awareness.</w:t>
            </w:r>
          </w:p>
          <w:p w:rsidR="000B5C96" w:rsidRPr="002E51A9" w:rsidRDefault="000B5C96" w:rsidP="003F606A">
            <w:pPr>
              <w:pStyle w:val="PullOutBoxBodyText"/>
              <w:rPr>
                <w:u w:val="single"/>
              </w:rPr>
            </w:pPr>
            <w:r w:rsidRPr="002E51A9">
              <w:rPr>
                <w:u w:val="single"/>
              </w:rPr>
              <w:t>Component 3: Offset Coalition Cuts</w:t>
            </w:r>
          </w:p>
          <w:p w:rsidR="000B5C96" w:rsidRPr="00D53915" w:rsidRDefault="000B5C96" w:rsidP="000B5C96">
            <w:pPr>
              <w:pStyle w:val="PullOutBoxBullet"/>
              <w:numPr>
                <w:ilvl w:val="0"/>
                <w:numId w:val="2"/>
              </w:numPr>
              <w:ind w:left="397"/>
            </w:pPr>
            <w:r w:rsidRPr="00D53915">
              <w:t>This component would provide additional funding to offset Coalition cuts, including:</w:t>
            </w:r>
          </w:p>
          <w:p w:rsidR="000B5C96" w:rsidRPr="00D06071" w:rsidRDefault="000B5C96" w:rsidP="000B5C96">
            <w:pPr>
              <w:pStyle w:val="PullOutBoxBullet2"/>
              <w:numPr>
                <w:ilvl w:val="1"/>
                <w:numId w:val="2"/>
              </w:numPr>
              <w:ind w:left="737"/>
            </w:pPr>
            <w:r w:rsidRPr="00D06071">
              <w:t>$15 million over four years for the National Congress of Australia’s First Peoples starting in 2017-18 (excluding departmental costs)</w:t>
            </w:r>
          </w:p>
          <w:p w:rsidR="000B5C96" w:rsidRPr="002E51A9" w:rsidRDefault="000B5C96" w:rsidP="000B5C96">
            <w:pPr>
              <w:pStyle w:val="PullOutBoxBullet2"/>
              <w:numPr>
                <w:ilvl w:val="1"/>
                <w:numId w:val="2"/>
              </w:numPr>
              <w:ind w:left="737"/>
            </w:pPr>
            <w:r w:rsidRPr="00D06071">
              <w:t>$556 million over four years (excluding departmental costs) in additional funding for the I</w:t>
            </w:r>
            <w:r>
              <w:t>ndigenous Advancement Strategy.</w:t>
            </w:r>
          </w:p>
        </w:tc>
      </w:tr>
      <w:tr w:rsidR="000B5C96" w:rsidRPr="002F48A5" w:rsidTr="003F606A">
        <w:tc>
          <w:tcPr>
            <w:tcW w:w="3005" w:type="dxa"/>
            <w:tcBorders>
              <w:top w:val="single" w:sz="4" w:space="0" w:color="788182"/>
              <w:left w:val="single" w:sz="4" w:space="0" w:color="788182"/>
              <w:bottom w:val="single" w:sz="4" w:space="0" w:color="788182"/>
              <w:right w:val="single" w:sz="4" w:space="0" w:color="788182"/>
            </w:tcBorders>
          </w:tcPr>
          <w:p w:rsidR="000B5C96" w:rsidRPr="002F48A5" w:rsidRDefault="000B5C96" w:rsidP="003F606A">
            <w:pPr>
              <w:pStyle w:val="PullOutBoxBodyText"/>
              <w:keepNext/>
              <w:keepLines/>
            </w:pPr>
          </w:p>
        </w:tc>
        <w:tc>
          <w:tcPr>
            <w:tcW w:w="5335" w:type="dxa"/>
            <w:tcBorders>
              <w:top w:val="single" w:sz="4" w:space="0" w:color="788182"/>
              <w:left w:val="single" w:sz="4" w:space="0" w:color="788182"/>
              <w:bottom w:val="single" w:sz="4" w:space="0" w:color="788182"/>
              <w:right w:val="single" w:sz="4" w:space="0" w:color="788182"/>
            </w:tcBorders>
          </w:tcPr>
          <w:p w:rsidR="000B5C96" w:rsidRPr="002E51A9" w:rsidRDefault="000B5C96" w:rsidP="003F606A">
            <w:pPr>
              <w:pStyle w:val="PullOutBoxBodyText"/>
              <w:keepNext/>
              <w:keepLines/>
              <w:rPr>
                <w:i/>
                <w:u w:val="single"/>
              </w:rPr>
            </w:pPr>
            <w:r w:rsidRPr="002E51A9">
              <w:rPr>
                <w:u w:val="single"/>
              </w:rPr>
              <w:t xml:space="preserve">Component 4: Implement </w:t>
            </w:r>
            <w:r w:rsidRPr="002E51A9">
              <w:rPr>
                <w:i/>
                <w:u w:val="single"/>
              </w:rPr>
              <w:t>Blueprint for Change</w:t>
            </w:r>
          </w:p>
          <w:p w:rsidR="000B5C96" w:rsidRPr="00564A0F" w:rsidRDefault="000B5C96" w:rsidP="000B5C96">
            <w:pPr>
              <w:pStyle w:val="PullOutBoxBullet"/>
              <w:keepNext/>
              <w:keepLines/>
              <w:numPr>
                <w:ilvl w:val="0"/>
                <w:numId w:val="2"/>
              </w:numPr>
              <w:ind w:left="397"/>
            </w:pPr>
            <w:r w:rsidRPr="00564A0F">
              <w:t>This component would implement key recommendations from the Change the Record Campaign’s Blueprint for Change, specifically:</w:t>
            </w:r>
          </w:p>
          <w:p w:rsidR="000B5C96" w:rsidRPr="00D06071" w:rsidRDefault="000B5C96" w:rsidP="000B5C96">
            <w:pPr>
              <w:pStyle w:val="PullOutBoxBullet2"/>
              <w:keepNext/>
              <w:keepLines/>
              <w:numPr>
                <w:ilvl w:val="1"/>
                <w:numId w:val="2"/>
              </w:numPr>
              <w:ind w:left="737"/>
            </w:pPr>
            <w:r w:rsidRPr="00D06071">
              <w:t>Funding the public service to develop a national, whole of government strategy to address imprisonment and violence rates</w:t>
            </w:r>
          </w:p>
          <w:p w:rsidR="000B5C96" w:rsidRPr="00D06071" w:rsidRDefault="000B5C96" w:rsidP="000B5C96">
            <w:pPr>
              <w:pStyle w:val="PullOutBoxBullet2"/>
              <w:keepNext/>
              <w:keepLines/>
              <w:numPr>
                <w:ilvl w:val="1"/>
                <w:numId w:val="2"/>
              </w:numPr>
              <w:ind w:left="737"/>
            </w:pPr>
            <w:r w:rsidRPr="00D06071">
              <w:t>A national target, based on a national agreement and sub</w:t>
            </w:r>
            <w:r w:rsidRPr="00D06071">
              <w:noBreakHyphen/>
              <w:t>targets (to be agreed with states and territories, with funding as required for negotiations)</w:t>
            </w:r>
          </w:p>
          <w:p w:rsidR="000B5C96" w:rsidRPr="00D06071" w:rsidRDefault="000B5C96" w:rsidP="000B5C96">
            <w:pPr>
              <w:pStyle w:val="PullOutBoxBullet2"/>
              <w:keepNext/>
              <w:keepLines/>
              <w:numPr>
                <w:ilvl w:val="1"/>
                <w:numId w:val="2"/>
              </w:numPr>
              <w:ind w:left="737"/>
            </w:pPr>
            <w:r w:rsidRPr="00D06071">
              <w:t>Funding for the Department of the Prime Minister and Cabinet (PM&amp;C) to work with Commonwealth and state and territory agencies to improve data collection on ATSI incarceration</w:t>
            </w:r>
          </w:p>
          <w:p w:rsidR="000B5C96" w:rsidRPr="00D06071" w:rsidRDefault="000B5C96" w:rsidP="000B5C96">
            <w:pPr>
              <w:pStyle w:val="PullOutBoxBullet2"/>
              <w:keepNext/>
              <w:keepLines/>
              <w:numPr>
                <w:ilvl w:val="1"/>
                <w:numId w:val="2"/>
              </w:numPr>
              <w:ind w:left="737"/>
            </w:pPr>
            <w:r w:rsidRPr="00D06071">
              <w:t>Funding for an independent review of laws, policies and strategies aimed at and related to ATSI improvement and violence rates, underpinned by a human rights approach</w:t>
            </w:r>
          </w:p>
          <w:p w:rsidR="000B5C96" w:rsidRPr="00D06071" w:rsidRDefault="000B5C96" w:rsidP="000B5C96">
            <w:pPr>
              <w:pStyle w:val="PullOutBoxBullet2"/>
              <w:keepNext/>
              <w:keepLines/>
              <w:numPr>
                <w:ilvl w:val="1"/>
                <w:numId w:val="2"/>
              </w:numPr>
              <w:ind w:left="737"/>
            </w:pPr>
            <w:r w:rsidRPr="00D06071">
              <w:t>$40 million in grants funding over four years ($10 million per year starting in 2017-18, capped excluding departmental costs) for projects to help reduce the rate of incarceration.</w:t>
            </w:r>
          </w:p>
          <w:p w:rsidR="000B5C96" w:rsidRPr="00D06071" w:rsidRDefault="000B5C96" w:rsidP="003F606A">
            <w:pPr>
              <w:pStyle w:val="PullOutBoxBodyText"/>
              <w:keepNext/>
              <w:keepLines/>
            </w:pPr>
            <w:r w:rsidRPr="00D06071">
              <w:t>The intended date of implementation of this proposal is 1 September 2016, unless otherwise specified above.</w:t>
            </w:r>
          </w:p>
        </w:tc>
      </w:tr>
      <w:tr w:rsidR="000B5C96" w:rsidRPr="002F48A5"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2F48A5" w:rsidRDefault="000B5C96" w:rsidP="003F606A">
            <w:pPr>
              <w:pStyle w:val="PullOutBoxBodyText"/>
            </w:pPr>
            <w:r w:rsidRPr="002F48A5">
              <w:t>Person/party requesting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2F48A5" w:rsidRDefault="000B5C96" w:rsidP="003F606A">
            <w:pPr>
              <w:pStyle w:val="PullOutBoxBodyText"/>
            </w:pPr>
            <w:r w:rsidRPr="002F48A5">
              <w:t>Senator Richard Di Natale, Australian Greens</w:t>
            </w:r>
          </w:p>
        </w:tc>
      </w:tr>
      <w:tr w:rsidR="000B5C96" w:rsidRPr="002F48A5"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2F48A5" w:rsidRDefault="000B5C96" w:rsidP="003F606A">
            <w:pPr>
              <w:pStyle w:val="PullOutBoxBodyText"/>
            </w:pPr>
            <w:r w:rsidRPr="002F48A5">
              <w:t>Date of public release of policy:</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2F48A5" w:rsidRDefault="000B5C96" w:rsidP="003F606A">
            <w:pPr>
              <w:pStyle w:val="PullOutBoxBodyText"/>
            </w:pPr>
            <w:r w:rsidRPr="002F48A5">
              <w:t xml:space="preserve">29 May 2016 </w:t>
            </w:r>
          </w:p>
          <w:p w:rsidR="000B5C96" w:rsidRPr="002F48A5" w:rsidRDefault="00E46526" w:rsidP="003F606A">
            <w:pPr>
              <w:pStyle w:val="PullOutBoxBodyText"/>
            </w:pPr>
            <w:hyperlink r:id="rId507" w:history="1">
              <w:r w:rsidR="000B5C96" w:rsidRPr="002F48A5">
                <w:rPr>
                  <w:color w:val="0000FF"/>
                  <w:u w:val="single"/>
                </w:rPr>
                <w:t>http://greens.org.au/atsi</w:t>
              </w:r>
            </w:hyperlink>
          </w:p>
        </w:tc>
      </w:tr>
      <w:tr w:rsidR="000B5C96" w:rsidRPr="002F48A5"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2F48A5" w:rsidRDefault="000B5C96" w:rsidP="003F606A">
            <w:pPr>
              <w:pStyle w:val="PullOutBoxBodyText"/>
            </w:pPr>
            <w:r w:rsidRPr="002F48A5">
              <w:t>Date costing request received: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2F48A5" w:rsidRDefault="000B5C96" w:rsidP="003F606A">
            <w:pPr>
              <w:pStyle w:val="PullOutBoxBodyText"/>
            </w:pPr>
            <w:r w:rsidRPr="002F48A5">
              <w:t>30 June 2016</w:t>
            </w:r>
          </w:p>
        </w:tc>
      </w:tr>
      <w:tr w:rsidR="000B5C96" w:rsidRPr="002F48A5"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2F48A5" w:rsidRDefault="000B5C96" w:rsidP="003F606A">
            <w:pPr>
              <w:pStyle w:val="PullOutBoxBodyText"/>
            </w:pPr>
            <w:r w:rsidRPr="002F48A5">
              <w:t>Date costing completed: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2F48A5" w:rsidRDefault="000B5C96" w:rsidP="003F606A">
            <w:pPr>
              <w:pStyle w:val="PullOutBoxBodyText"/>
            </w:pPr>
            <w:r w:rsidRPr="002F48A5">
              <w:t>30 June 2016</w:t>
            </w:r>
          </w:p>
        </w:tc>
      </w:tr>
      <w:tr w:rsidR="000B5C96" w:rsidRPr="002F48A5"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2F48A5" w:rsidRDefault="000B5C96" w:rsidP="003F606A">
            <w:pPr>
              <w:pStyle w:val="PullOutBoxBodyText"/>
            </w:pPr>
            <w:r w:rsidRPr="002F48A5">
              <w:t>Expiry date for the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2F48A5" w:rsidRDefault="000B5C96" w:rsidP="003F606A">
            <w:pPr>
              <w:pStyle w:val="PullOutBoxBodyText"/>
            </w:pPr>
            <w:r w:rsidRPr="002F48A5">
              <w:t>Release of the next economic and fiscal outlook report</w:t>
            </w:r>
          </w:p>
        </w:tc>
      </w:tr>
    </w:tbl>
    <w:p w:rsidR="000B5C96" w:rsidRPr="002F48A5" w:rsidRDefault="000B5C96" w:rsidP="003F606A">
      <w:pPr>
        <w:pStyle w:val="CostingsH7"/>
      </w:pPr>
      <w:r w:rsidRPr="002F48A5">
        <w:t>Costing overview</w:t>
      </w:r>
    </w:p>
    <w:p w:rsidR="000B5C96" w:rsidRPr="002F48A5" w:rsidRDefault="000B5C96" w:rsidP="003F606A">
      <w:pPr>
        <w:pStyle w:val="BodyText"/>
        <w:rPr>
          <w:bCs/>
        </w:rPr>
      </w:pPr>
      <w:r w:rsidRPr="002F48A5">
        <w:t>This proposal would be expected to decrease both the fiscal and underlying cash balances by $</w:t>
      </w:r>
      <w:r w:rsidRPr="002F48A5">
        <w:rPr>
          <w:bCs/>
        </w:rPr>
        <w:t>790.6</w:t>
      </w:r>
      <w:r w:rsidRPr="002F48A5">
        <w:t xml:space="preserve"> million over the 2016-17 Budget forward estimates period.  This reflects an increase in</w:t>
      </w:r>
      <w:r w:rsidRPr="002F48A5">
        <w:rPr>
          <w:bCs/>
        </w:rPr>
        <w:t xml:space="preserve"> administered expenses of $655.5</w:t>
      </w:r>
      <w:r w:rsidRPr="002F48A5">
        <w:t xml:space="preserve"> million and an increase in departmental expenses of $</w:t>
      </w:r>
      <w:r w:rsidRPr="002F48A5">
        <w:rPr>
          <w:bCs/>
        </w:rPr>
        <w:t>135.1</w:t>
      </w:r>
      <w:r>
        <w:rPr>
          <w:bCs/>
        </w:rPr>
        <w:t> </w:t>
      </w:r>
      <w:r w:rsidRPr="002F48A5">
        <w:t>million over this period.</w:t>
      </w:r>
    </w:p>
    <w:p w:rsidR="000B5C96" w:rsidRPr="00D06071" w:rsidRDefault="000B5C96" w:rsidP="003F606A">
      <w:pPr>
        <w:pStyle w:val="BodyText"/>
        <w:rPr>
          <w:bCs/>
        </w:rPr>
      </w:pPr>
      <w:r w:rsidRPr="00D06071">
        <w:rPr>
          <w:bCs/>
        </w:rPr>
        <w:t xml:space="preserve">The proposal would not </w:t>
      </w:r>
      <w:r w:rsidRPr="00D06071">
        <w:t>have an ongoing</w:t>
      </w:r>
      <w:r w:rsidRPr="00D06071">
        <w:rPr>
          <w:bCs/>
        </w:rPr>
        <w:t xml:space="preserve"> </w:t>
      </w:r>
      <w:r w:rsidRPr="00D06071">
        <w:t>financial impact beyond the 2016-17 Budget forward estimates period except for the proposed</w:t>
      </w:r>
      <w:r w:rsidRPr="00D06071">
        <w:rPr>
          <w:bCs/>
        </w:rPr>
        <w:t xml:space="preserve"> $10 million per year in grants funding under component 4 (implement </w:t>
      </w:r>
      <w:r w:rsidRPr="00D06071">
        <w:rPr>
          <w:bCs/>
          <w:i/>
        </w:rPr>
        <w:t>Blueprint for Change</w:t>
      </w:r>
      <w:r w:rsidRPr="00D06071">
        <w:rPr>
          <w:bCs/>
        </w:rPr>
        <w:t>) in 2020-21.</w:t>
      </w:r>
    </w:p>
    <w:p w:rsidR="000B5C96" w:rsidRPr="00D06071" w:rsidRDefault="000B5C96" w:rsidP="003F606A">
      <w:pPr>
        <w:pStyle w:val="BodyText"/>
        <w:rPr>
          <w:bCs/>
        </w:rPr>
      </w:pPr>
      <w:r w:rsidRPr="00D06071">
        <w:rPr>
          <w:bCs/>
        </w:rPr>
        <w:t xml:space="preserve">Detailed financial implications of this proposal, including details about each component, are provided at </w:t>
      </w:r>
      <w:r w:rsidRPr="00D06071">
        <w:rPr>
          <w:bCs/>
          <w:u w:val="single"/>
        </w:rPr>
        <w:t>Attachment A</w:t>
      </w:r>
      <w:r w:rsidRPr="00D06071">
        <w:rPr>
          <w:bCs/>
        </w:rPr>
        <w:t>.</w:t>
      </w:r>
    </w:p>
    <w:p w:rsidR="000B5C96" w:rsidRPr="00D06071" w:rsidRDefault="000B5C96" w:rsidP="003F606A">
      <w:pPr>
        <w:pStyle w:val="BodyText"/>
      </w:pPr>
      <w:r w:rsidRPr="00D06071">
        <w:t>The departmental expense estimates in this costing are considered to be of high reliability as they are based on the costs of similar programs.</w:t>
      </w:r>
    </w:p>
    <w:p w:rsidR="000B5C96" w:rsidRPr="00D06071" w:rsidRDefault="000B5C96" w:rsidP="003F606A">
      <w:pPr>
        <w:pStyle w:val="BodyText"/>
        <w:rPr>
          <w:bCs/>
        </w:rPr>
      </w:pPr>
      <w:r w:rsidRPr="00D06071">
        <w:t>The administered expense estimates in this costing are considered to be of high reliability as the amounts are as specified in the request.</w:t>
      </w:r>
      <w:r w:rsidRPr="00D06071">
        <w:rPr>
          <w:bCs/>
        </w:rPr>
        <w:t xml:space="preserve">  </w:t>
      </w:r>
      <w:r w:rsidRPr="00D06071">
        <w:t>However, no analysis has been undertaken to determine the adequacy of the prescribed funding amounts to achieve the objectives of the proposal.</w:t>
      </w:r>
    </w:p>
    <w:p w:rsidR="000B5C96" w:rsidRPr="00D06071" w:rsidRDefault="000B5C96" w:rsidP="003F606A">
      <w:pPr>
        <w:pStyle w:val="Caption"/>
      </w:pPr>
      <w:r w:rsidRPr="00D06071">
        <w:t>Table 1: Financial implications (outturn prices)</w:t>
      </w:r>
      <w:r w:rsidRPr="00D06071">
        <w:rPr>
          <w:vertAlign w:val="superscript"/>
        </w:rPr>
        <w:t>(a)(b)</w:t>
      </w:r>
    </w:p>
    <w:tbl>
      <w:tblPr>
        <w:tblStyle w:val="TableGrid12"/>
        <w:tblW w:w="4993" w:type="pct"/>
        <w:tblLook w:val="04A0" w:firstRow="1" w:lastRow="0" w:firstColumn="1" w:lastColumn="0" w:noHBand="0" w:noVBand="1"/>
      </w:tblPr>
      <w:tblGrid>
        <w:gridCol w:w="2644"/>
        <w:gridCol w:w="1133"/>
        <w:gridCol w:w="1134"/>
        <w:gridCol w:w="1134"/>
        <w:gridCol w:w="1134"/>
        <w:gridCol w:w="1132"/>
      </w:tblGrid>
      <w:tr w:rsidR="000B5C96" w:rsidRPr="00D06071"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shd w:val="clear" w:color="auto" w:fill="D7DDE9" w:themeFill="accent3"/>
            <w:vAlign w:val="center"/>
            <w:hideMark/>
          </w:tcPr>
          <w:p w:rsidR="000B5C96" w:rsidRPr="00D06071" w:rsidRDefault="000B5C96" w:rsidP="000B5C96">
            <w:pPr>
              <w:numPr>
                <w:ilvl w:val="0"/>
                <w:numId w:val="116"/>
              </w:numPr>
              <w:spacing w:line="240" w:lineRule="auto"/>
              <w:ind w:left="57"/>
              <w:rPr>
                <w:rFonts w:asciiTheme="minorHAnsi" w:eastAsia="Calibri" w:hAnsiTheme="minorHAnsi"/>
              </w:rPr>
            </w:pPr>
            <w:r w:rsidRPr="00D06071">
              <w:rPr>
                <w:rFonts w:asciiTheme="minorHAnsi" w:eastAsia="Calibri" w:hAnsiTheme="minorHAnsi"/>
              </w:rPr>
              <w:t>Impact on ($m)</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D06071" w:rsidRDefault="000B5C96" w:rsidP="003F606A">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rPr>
            </w:pPr>
            <w:r w:rsidRPr="00D06071">
              <w:rPr>
                <w:rFonts w:asciiTheme="minorHAnsi" w:eastAsia="Calibri" w:hAnsiTheme="minorHAnsi"/>
              </w:rPr>
              <w:t>2016–17</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D06071" w:rsidRDefault="000B5C96" w:rsidP="003F606A">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rPr>
            </w:pPr>
            <w:r w:rsidRPr="00D06071">
              <w:rPr>
                <w:rFonts w:asciiTheme="minorHAnsi" w:eastAsia="Calibri" w:hAnsiTheme="minorHAnsi"/>
              </w:rPr>
              <w:t>2017–18</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D06071" w:rsidRDefault="000B5C96" w:rsidP="003F606A">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rPr>
            </w:pPr>
            <w:r w:rsidRPr="00D06071">
              <w:rPr>
                <w:rFonts w:asciiTheme="minorHAnsi" w:eastAsia="Calibri" w:hAnsiTheme="minorHAnsi"/>
              </w:rPr>
              <w:t>2018–19</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D06071" w:rsidRDefault="000B5C96" w:rsidP="003F606A">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rPr>
            </w:pPr>
            <w:r w:rsidRPr="00D06071">
              <w:rPr>
                <w:rFonts w:asciiTheme="minorHAnsi" w:eastAsia="Calibri" w:hAnsiTheme="minorHAnsi"/>
              </w:rPr>
              <w:t>2019–20</w:t>
            </w:r>
          </w:p>
        </w:tc>
        <w:tc>
          <w:tcPr>
            <w:tcW w:w="681" w:type="pct"/>
            <w:tcBorders>
              <w:top w:val="single" w:sz="4" w:space="0" w:color="808080"/>
              <w:left w:val="single" w:sz="4" w:space="0" w:color="808080"/>
              <w:bottom w:val="single" w:sz="4" w:space="0" w:color="808080"/>
              <w:right w:val="single" w:sz="4" w:space="0" w:color="808080"/>
            </w:tcBorders>
            <w:vAlign w:val="center"/>
            <w:hideMark/>
          </w:tcPr>
          <w:p w:rsidR="000B5C96" w:rsidRPr="00D06071" w:rsidRDefault="000B5C96" w:rsidP="003F606A">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rPr>
            </w:pPr>
            <w:r w:rsidRPr="00D06071">
              <w:rPr>
                <w:rFonts w:asciiTheme="minorHAnsi" w:eastAsia="Calibri" w:hAnsiTheme="minorHAnsi"/>
                <w:b/>
              </w:rPr>
              <w:t>Total</w:t>
            </w:r>
          </w:p>
        </w:tc>
      </w:tr>
      <w:tr w:rsidR="000B5C96" w:rsidRPr="00D06071"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Pr>
                <w:rFonts w:asciiTheme="minorHAnsi" w:hAnsiTheme="minorHAnsi"/>
              </w:rPr>
            </w:pPr>
            <w:r w:rsidRPr="00D06071">
              <w:rPr>
                <w:rFonts w:asciiTheme="minorHAnsi" w:hAnsiTheme="minorHAnsi"/>
              </w:rPr>
              <w:t>Fiscal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eastAsia="Calibri"/>
              </w:rPr>
            </w:pPr>
            <w:r w:rsidRPr="00D06071">
              <w:rPr>
                <w:rFonts w:eastAsia="Calibri"/>
              </w:rPr>
              <w:t xml:space="preserve">-194.5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eastAsia="Calibri"/>
              </w:rPr>
            </w:pPr>
            <w:r w:rsidRPr="00D06071">
              <w:rPr>
                <w:rFonts w:eastAsia="Calibri"/>
              </w:rPr>
              <w:t xml:space="preserve">-210.0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eastAsia="Calibri"/>
              </w:rPr>
            </w:pPr>
            <w:r w:rsidRPr="00D06071">
              <w:rPr>
                <w:rFonts w:eastAsia="Calibri"/>
              </w:rPr>
              <w:t xml:space="preserve">-194.5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eastAsia="Calibri"/>
              </w:rPr>
            </w:pPr>
            <w:r w:rsidRPr="00D06071">
              <w:rPr>
                <w:rFonts w:eastAsia="Calibri"/>
              </w:rPr>
              <w:t xml:space="preserve">-191.4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eastAsia="Calibri"/>
                <w:b/>
              </w:rPr>
            </w:pPr>
            <w:r w:rsidRPr="00D06071">
              <w:rPr>
                <w:rFonts w:eastAsia="Calibri"/>
                <w:b/>
              </w:rPr>
              <w:t xml:space="preserve">-790.6 </w:t>
            </w:r>
          </w:p>
        </w:tc>
      </w:tr>
      <w:tr w:rsidR="000B5C96" w:rsidRPr="00D06071"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Pr>
                <w:rFonts w:asciiTheme="minorHAnsi" w:hAnsiTheme="minorHAnsi"/>
              </w:rPr>
            </w:pPr>
            <w:r w:rsidRPr="00D06071">
              <w:rPr>
                <w:rFonts w:asciiTheme="minorHAnsi" w:hAnsiTheme="minorHAnsi"/>
              </w:rPr>
              <w:t>Underlying cash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rPr>
            </w:pPr>
            <w:r w:rsidRPr="00D06071">
              <w:rPr>
                <w:rFonts w:eastAsia="Calibri"/>
              </w:rPr>
              <w:t xml:space="preserve">-194.5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rPr>
            </w:pPr>
            <w:r w:rsidRPr="00D06071">
              <w:rPr>
                <w:rFonts w:eastAsia="Calibri"/>
              </w:rPr>
              <w:t xml:space="preserve">-210.0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rPr>
            </w:pPr>
            <w:r w:rsidRPr="00D06071">
              <w:rPr>
                <w:rFonts w:eastAsia="Calibri"/>
              </w:rPr>
              <w:t xml:space="preserve">-194.5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rPr>
            </w:pPr>
            <w:r w:rsidRPr="00D06071">
              <w:rPr>
                <w:rFonts w:eastAsia="Calibri"/>
              </w:rPr>
              <w:t xml:space="preserve">-191.4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D06071" w:rsidRDefault="000B5C96" w:rsidP="000B5C96">
            <w:pPr>
              <w:numPr>
                <w:ilvl w:val="0"/>
                <w:numId w:val="116"/>
              </w:num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rPr>
            </w:pPr>
            <w:r w:rsidRPr="00D06071">
              <w:rPr>
                <w:rFonts w:eastAsia="Calibri"/>
                <w:b/>
              </w:rPr>
              <w:t xml:space="preserve">-790.6 </w:t>
            </w:r>
          </w:p>
        </w:tc>
      </w:tr>
    </w:tbl>
    <w:p w:rsidR="000B5C96" w:rsidRPr="00D06071" w:rsidRDefault="000B5C96" w:rsidP="00EE4E1E">
      <w:pPr>
        <w:pStyle w:val="Footnotes"/>
        <w:numPr>
          <w:ilvl w:val="0"/>
          <w:numId w:val="226"/>
        </w:numPr>
        <w:ind w:left="284" w:hanging="284"/>
      </w:pPr>
      <w:r w:rsidRPr="00D06071">
        <w:rPr>
          <w:lang w:eastAsia="en-AU"/>
        </w:rPr>
        <w:t>A positive number indicates an increase in the relevant budget balance, a negative number a decrease</w:t>
      </w:r>
      <w:r w:rsidRPr="00EE4E1E">
        <w:rPr>
          <w:sz w:val="24"/>
          <w:szCs w:val="24"/>
          <w:lang w:eastAsia="en-AU"/>
        </w:rPr>
        <w:t>.</w:t>
      </w:r>
    </w:p>
    <w:p w:rsidR="000B5C96" w:rsidRPr="00D06071" w:rsidRDefault="000B5C96" w:rsidP="000B5C96">
      <w:pPr>
        <w:pStyle w:val="Footnotes"/>
        <w:numPr>
          <w:ilvl w:val="0"/>
          <w:numId w:val="7"/>
        </w:numPr>
        <w:ind w:left="284" w:hanging="284"/>
      </w:pPr>
      <w:r w:rsidRPr="00D06071">
        <w:t>Figures may not sum to totals due to rounding.</w:t>
      </w:r>
    </w:p>
    <w:p w:rsidR="000B5C96" w:rsidRPr="00D06071" w:rsidRDefault="000B5C96" w:rsidP="003F606A">
      <w:pPr>
        <w:pStyle w:val="CostingsH7"/>
      </w:pPr>
      <w:r w:rsidRPr="00D06071">
        <w:t>Key assumptions</w:t>
      </w:r>
    </w:p>
    <w:p w:rsidR="000B5C96" w:rsidRPr="00D06071" w:rsidRDefault="000B5C96" w:rsidP="003F606A">
      <w:pPr>
        <w:pStyle w:val="BodyText"/>
      </w:pPr>
      <w:r w:rsidRPr="00D06071">
        <w:t xml:space="preserve">It has been assumed that the implementation of the </w:t>
      </w:r>
      <w:r w:rsidRPr="00D06071">
        <w:rPr>
          <w:i/>
        </w:rPr>
        <w:t>Blueprint for Change</w:t>
      </w:r>
      <w:r w:rsidRPr="00D06071">
        <w:t xml:space="preserve"> strategy would be undertaken over a three year period.</w:t>
      </w:r>
    </w:p>
    <w:p w:rsidR="000B5C96" w:rsidRPr="00D06071" w:rsidRDefault="000B5C96" w:rsidP="003F606A">
      <w:pPr>
        <w:pStyle w:val="CostingsH7"/>
      </w:pPr>
      <w:r w:rsidRPr="00D06071">
        <w:t>Methodology</w:t>
      </w:r>
    </w:p>
    <w:p w:rsidR="000B5C96" w:rsidRPr="00D06071" w:rsidRDefault="000B5C96" w:rsidP="003F606A">
      <w:pPr>
        <w:pStyle w:val="BodyText"/>
      </w:pPr>
      <w:r w:rsidRPr="00D06071">
        <w:t>Administered expense estimates for program</w:t>
      </w:r>
      <w:r w:rsidRPr="00D06071">
        <w:rPr>
          <w:bCs/>
          <w:iCs/>
        </w:rPr>
        <w:t>s</w:t>
      </w:r>
      <w:r w:rsidRPr="00D06071">
        <w:t xml:space="preserve"> are as specified in the request.  Dep</w:t>
      </w:r>
      <w:r w:rsidRPr="00D06071">
        <w:rPr>
          <w:bCs/>
          <w:iCs/>
        </w:rPr>
        <w:t>artmental expense estimates</w:t>
      </w:r>
      <w:r w:rsidRPr="00D06071">
        <w:t xml:space="preserve"> are based on other like programs and account for the net effect of indexation parameters and the efficiency dividend, in accordance with the Department of Finance’s costing practices.</w:t>
      </w:r>
    </w:p>
    <w:p w:rsidR="000B5C96" w:rsidRPr="00D06071" w:rsidRDefault="000B5C96" w:rsidP="003F606A">
      <w:pPr>
        <w:pStyle w:val="CostingsH7"/>
      </w:pPr>
      <w:r w:rsidRPr="00D06071">
        <w:t>Data sources</w:t>
      </w:r>
    </w:p>
    <w:p w:rsidR="000B5C96" w:rsidRPr="00D06071" w:rsidRDefault="000B5C96" w:rsidP="000B5C96">
      <w:pPr>
        <w:pStyle w:val="ListBullet"/>
        <w:numPr>
          <w:ilvl w:val="0"/>
          <w:numId w:val="123"/>
        </w:numPr>
        <w:ind w:left="454" w:hanging="454"/>
        <w:rPr>
          <w:lang w:eastAsia="en-AU"/>
        </w:rPr>
      </w:pPr>
      <w:r w:rsidRPr="00D06071">
        <w:rPr>
          <w:lang w:eastAsia="en-AU"/>
        </w:rPr>
        <w:t>The Department of Finance provided indexation and efficiency dividend parameters in the 2016 Pre-Election Economic and Fiscal Outlook.</w:t>
      </w:r>
    </w:p>
    <w:p w:rsidR="000B5C96" w:rsidRDefault="000B5C96" w:rsidP="000B5C96">
      <w:pPr>
        <w:pStyle w:val="ListBullet"/>
        <w:numPr>
          <w:ilvl w:val="0"/>
          <w:numId w:val="123"/>
        </w:numPr>
        <w:ind w:left="454" w:hanging="454"/>
        <w:rPr>
          <w:rFonts w:eastAsia="Calibri"/>
          <w:spacing w:val="0"/>
        </w:rPr>
        <w:sectPr w:rsidR="000B5C96" w:rsidSect="003F606A">
          <w:headerReference w:type="even" r:id="rId508"/>
          <w:headerReference w:type="default" r:id="rId509"/>
          <w:footerReference w:type="even" r:id="rId510"/>
          <w:footerReference w:type="default" r:id="rId511"/>
          <w:pgSz w:w="11907" w:h="16839" w:code="9"/>
          <w:pgMar w:top="1361" w:right="1797" w:bottom="1474" w:left="1797" w:header="283" w:footer="454" w:gutter="0"/>
          <w:cols w:space="708"/>
          <w:docGrid w:linePitch="360"/>
        </w:sectPr>
      </w:pPr>
      <w:r w:rsidRPr="00D06071">
        <w:rPr>
          <w:rFonts w:eastAsia="Calibri"/>
          <w:spacing w:val="0"/>
        </w:rPr>
        <w:t>Budget 2014-15, Budget Paper No.2.</w:t>
      </w:r>
    </w:p>
    <w:p w:rsidR="000B5C96" w:rsidRDefault="000B5C96" w:rsidP="000B5C96">
      <w:pPr>
        <w:pStyle w:val="Heading6"/>
        <w:numPr>
          <w:ilvl w:val="0"/>
          <w:numId w:val="5"/>
        </w:numPr>
        <w:tabs>
          <w:tab w:val="right" w:pos="1418"/>
          <w:tab w:val="right" w:pos="1701"/>
          <w:tab w:val="right" w:pos="1985"/>
        </w:tabs>
      </w:pPr>
      <w:r>
        <w:t>Attachment A: Empowering and supporting Aboriginal and Torres Strait Islander peoples – financial implications</w:t>
      </w:r>
    </w:p>
    <w:p w:rsidR="000B5C96" w:rsidRPr="00D06071" w:rsidRDefault="000B5C96" w:rsidP="003F606A">
      <w:pPr>
        <w:pStyle w:val="Caption"/>
        <w:rPr>
          <w:vertAlign w:val="superscript"/>
        </w:rPr>
      </w:pPr>
      <w:r w:rsidRPr="00D06071">
        <w:t>Table A1: Empowering and supporting ATSI peoples—Financial implications (outturn prices)</w:t>
      </w:r>
      <w:r w:rsidRPr="00D06071">
        <w:rPr>
          <w:vertAlign w:val="superscript"/>
        </w:rPr>
        <w:t>(a)(b)</w:t>
      </w:r>
    </w:p>
    <w:tbl>
      <w:tblPr>
        <w:tblStyle w:val="TableGrid13"/>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D06071"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rPr>
                <w:rFonts w:asciiTheme="minorHAnsi" w:eastAsia="Calibri" w:hAnsiTheme="minorHAnsi"/>
                <w:b/>
              </w:rPr>
            </w:pPr>
            <w:r w:rsidRPr="00D06071">
              <w:rPr>
                <w:rFonts w:asciiTheme="minorHAnsi" w:eastAsia="Calibri" w:hAnsiTheme="minorHAnsi"/>
              </w:rPr>
              <w:t>($m)</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D06071">
              <w:rPr>
                <w:rFonts w:asciiTheme="minorHAnsi" w:hAnsiTheme="minorHAnsi"/>
              </w:rPr>
              <w:t>2016–17</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D06071">
              <w:rPr>
                <w:rFonts w:asciiTheme="minorHAnsi" w:hAnsiTheme="minorHAnsi"/>
              </w:rPr>
              <w:t>2017–18</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D06071">
              <w:rPr>
                <w:rFonts w:asciiTheme="minorHAnsi" w:hAnsiTheme="minorHAnsi"/>
              </w:rPr>
              <w:t>2018–19</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D06071">
              <w:rPr>
                <w:rFonts w:asciiTheme="minorHAnsi" w:hAnsiTheme="minorHAnsi"/>
              </w:rPr>
              <w:t>2019–20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ertAlign w:val="superscript"/>
              </w:rPr>
            </w:pPr>
            <w:r w:rsidRPr="00D06071">
              <w:rPr>
                <w:rFonts w:asciiTheme="minorHAnsi" w:hAnsiTheme="minorHAnsi"/>
                <w:b/>
              </w:rPr>
              <w:t>Total to 2019–20</w:t>
            </w:r>
          </w:p>
        </w:tc>
      </w:tr>
      <w:tr w:rsidR="000B5C96" w:rsidRPr="00D06071"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D06071" w:rsidRDefault="000B5C96" w:rsidP="003F606A">
            <w:pPr>
              <w:keepNext/>
              <w:keepLines/>
              <w:rPr>
                <w:rFonts w:asciiTheme="minorHAnsi" w:hAnsiTheme="minorHAnsi"/>
                <w:b/>
              </w:rPr>
            </w:pPr>
            <w:r w:rsidRPr="00D06071">
              <w:rPr>
                <w:rFonts w:asciiTheme="minorHAnsi" w:hAnsiTheme="minorHAnsi"/>
                <w:b/>
              </w:rPr>
              <w:t xml:space="preserve">Impact on fiscal and underlying cash balances </w:t>
            </w:r>
          </w:p>
        </w:tc>
      </w:tr>
      <w:tr w:rsidR="000B5C96" w:rsidRPr="00D06071"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rPr>
                <w:rFonts w:asciiTheme="minorHAnsi" w:hAnsiTheme="minorHAnsi"/>
              </w:rPr>
            </w:pPr>
            <w:r w:rsidRPr="00D06071">
              <w:rPr>
                <w:rFonts w:asciiTheme="minorHAnsi" w:hAnsiTheme="minorHAnsi"/>
              </w:rPr>
              <w:t>Expense</w:t>
            </w:r>
          </w:p>
        </w:tc>
        <w:tc>
          <w:tcPr>
            <w:tcW w:w="682" w:type="pct"/>
            <w:tcBorders>
              <w:top w:val="single" w:sz="4" w:space="0" w:color="788184"/>
              <w:left w:val="single" w:sz="4" w:space="0" w:color="788184"/>
              <w:bottom w:val="single" w:sz="4" w:space="0" w:color="788184"/>
              <w:right w:val="single" w:sz="4" w:space="0" w:color="788184"/>
            </w:tcBorders>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i/>
              </w:rPr>
            </w:pPr>
          </w:p>
        </w:tc>
      </w:tr>
      <w:tr w:rsidR="000B5C96" w:rsidRPr="00D06071"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rPr>
                <w:rFonts w:asciiTheme="minorHAnsi" w:eastAsia="Calibri" w:hAnsiTheme="minorHAnsi"/>
              </w:rPr>
            </w:pPr>
            <w:r w:rsidRPr="00D06071">
              <w:rPr>
                <w:rFonts w:asciiTheme="minorHAnsi" w:eastAsia="Calibri" w:hAnsiTheme="minorHAnsi"/>
              </w:rPr>
              <w:t>Administered</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rPr>
            </w:pPr>
            <w:r w:rsidRPr="00D06071">
              <w:rPr>
                <w:rFonts w:eastAsia="Calibri"/>
                <w:i/>
              </w:rPr>
              <w:t xml:space="preserve">-160.5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rPr>
            </w:pPr>
            <w:r w:rsidRPr="00D06071">
              <w:rPr>
                <w:rFonts w:eastAsia="Calibri"/>
                <w:i/>
              </w:rPr>
              <w:t xml:space="preserve">-175.5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rPr>
            </w:pPr>
            <w:r w:rsidRPr="00D06071">
              <w:rPr>
                <w:rFonts w:eastAsia="Calibri"/>
                <w:i/>
              </w:rPr>
              <w:t xml:space="preserve">-160.5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rPr>
            </w:pPr>
            <w:r w:rsidRPr="00D06071">
              <w:rPr>
                <w:rFonts w:eastAsia="Calibri"/>
                <w:i/>
              </w:rPr>
              <w:t xml:space="preserve">-159.0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i/>
              </w:rPr>
            </w:pPr>
            <w:r w:rsidRPr="00D06071">
              <w:rPr>
                <w:rFonts w:eastAsia="Calibri"/>
                <w:b/>
                <w:i/>
              </w:rPr>
              <w:t xml:space="preserve">-655.5 </w:t>
            </w:r>
          </w:p>
        </w:tc>
      </w:tr>
      <w:tr w:rsidR="000B5C96" w:rsidRPr="00D06071"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rPr>
                <w:rFonts w:asciiTheme="minorHAnsi" w:eastAsia="Calibri" w:hAnsiTheme="minorHAnsi"/>
              </w:rPr>
            </w:pPr>
            <w:r w:rsidRPr="00D06071">
              <w:rPr>
                <w:rFonts w:asciiTheme="minorHAnsi" w:eastAsia="Calibri" w:hAnsiTheme="minorHAnsi"/>
              </w:rPr>
              <w:t>Departmental</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r w:rsidRPr="00D06071">
              <w:rPr>
                <w:rFonts w:eastAsia="Calibri"/>
                <w:i/>
              </w:rPr>
              <w:t xml:space="preserve">-34.0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r w:rsidRPr="00D06071">
              <w:rPr>
                <w:rFonts w:eastAsia="Calibri"/>
                <w:i/>
              </w:rPr>
              <w:t xml:space="preserve">-34.5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r w:rsidRPr="00D06071">
              <w:rPr>
                <w:rFonts w:eastAsia="Calibri"/>
                <w:i/>
              </w:rPr>
              <w:t xml:space="preserve">-34.0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r w:rsidRPr="00D06071">
              <w:rPr>
                <w:rFonts w:eastAsia="Calibri"/>
                <w:i/>
              </w:rPr>
              <w:t xml:space="preserve">-32.4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i/>
              </w:rPr>
            </w:pPr>
            <w:r w:rsidRPr="00D06071">
              <w:rPr>
                <w:rFonts w:eastAsia="Calibri"/>
                <w:b/>
                <w:i/>
              </w:rPr>
              <w:t xml:space="preserve">-135.1 </w:t>
            </w:r>
          </w:p>
        </w:tc>
      </w:tr>
      <w:tr w:rsidR="000B5C96" w:rsidRPr="00D06071"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keepNext/>
              <w:keepLines/>
              <w:rPr>
                <w:rFonts w:asciiTheme="minorHAnsi" w:hAnsiTheme="minorHAnsi"/>
                <w:b/>
              </w:rPr>
            </w:pPr>
            <w:r w:rsidRPr="00D06071">
              <w:rPr>
                <w:rFonts w:asciiTheme="minorHAnsi" w:hAnsiTheme="minorHAnsi"/>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rPr>
            </w:pPr>
            <w:r w:rsidRPr="00D06071">
              <w:rPr>
                <w:rFonts w:eastAsia="Calibri"/>
                <w:b/>
              </w:rPr>
              <w:t xml:space="preserve">-194.5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rPr>
            </w:pPr>
            <w:r w:rsidRPr="00D06071">
              <w:rPr>
                <w:rFonts w:eastAsia="Calibri"/>
                <w:b/>
              </w:rPr>
              <w:t xml:space="preserve">-210.0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rPr>
            </w:pPr>
            <w:r w:rsidRPr="00D06071">
              <w:rPr>
                <w:rFonts w:eastAsia="Calibri"/>
                <w:b/>
              </w:rPr>
              <w:t xml:space="preserve">-194.5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rPr>
            </w:pPr>
            <w:r w:rsidRPr="00D06071">
              <w:rPr>
                <w:rFonts w:eastAsia="Calibri"/>
                <w:b/>
              </w:rPr>
              <w:t xml:space="preserve">-191.4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rPr>
            </w:pPr>
            <w:r w:rsidRPr="00D06071">
              <w:rPr>
                <w:rFonts w:eastAsia="Calibri"/>
                <w:b/>
              </w:rPr>
              <w:t xml:space="preserve">-790.6 </w:t>
            </w:r>
          </w:p>
        </w:tc>
      </w:tr>
    </w:tbl>
    <w:p w:rsidR="000B5C96" w:rsidRDefault="000B5C96" w:rsidP="00EE4E1E">
      <w:pPr>
        <w:pStyle w:val="Footnotes"/>
        <w:numPr>
          <w:ilvl w:val="0"/>
          <w:numId w:val="227"/>
        </w:numPr>
        <w:ind w:left="284" w:hanging="284"/>
      </w:pPr>
      <w:r w:rsidRPr="00D06071">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D06071" w:rsidRDefault="000B5C96" w:rsidP="000B5C96">
      <w:pPr>
        <w:pStyle w:val="Footnotes"/>
        <w:numPr>
          <w:ilvl w:val="0"/>
          <w:numId w:val="7"/>
        </w:numPr>
        <w:ind w:left="284" w:hanging="284"/>
      </w:pPr>
      <w:r w:rsidRPr="00D06071">
        <w:t>Figures may not sum to totals due to rounding.</w:t>
      </w:r>
    </w:p>
    <w:p w:rsidR="000B5C96" w:rsidRPr="00D06071" w:rsidRDefault="000B5C96" w:rsidP="003F606A">
      <w:pPr>
        <w:pStyle w:val="Caption"/>
        <w:rPr>
          <w:vertAlign w:val="superscript"/>
        </w:rPr>
      </w:pPr>
      <w:r w:rsidRPr="00D06071">
        <w:t>Table A2: Component 1: Sovereignty and treaty—Financial implications (outturn prices)</w:t>
      </w:r>
      <w:r w:rsidRPr="00D06071">
        <w:rPr>
          <w:vertAlign w:val="superscript"/>
        </w:rPr>
        <w:t>(a)(b)</w:t>
      </w:r>
    </w:p>
    <w:tbl>
      <w:tblPr>
        <w:tblStyle w:val="TableGrid13"/>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D06071"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rPr>
                <w:rFonts w:asciiTheme="minorHAnsi" w:eastAsia="Calibri" w:hAnsiTheme="minorHAnsi"/>
                <w:b/>
              </w:rPr>
            </w:pPr>
            <w:r w:rsidRPr="00D06071">
              <w:rPr>
                <w:rFonts w:asciiTheme="minorHAnsi" w:eastAsia="Calibri" w:hAnsiTheme="minorHAnsi"/>
              </w:rPr>
              <w:t>($m)</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D06071">
              <w:rPr>
                <w:rFonts w:asciiTheme="minorHAnsi" w:hAnsiTheme="minorHAnsi"/>
              </w:rPr>
              <w:t>2016–17</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D06071">
              <w:rPr>
                <w:rFonts w:asciiTheme="minorHAnsi" w:hAnsiTheme="minorHAnsi"/>
              </w:rPr>
              <w:t>2017–18</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D06071">
              <w:rPr>
                <w:rFonts w:asciiTheme="minorHAnsi" w:hAnsiTheme="minorHAnsi"/>
              </w:rPr>
              <w:t>2018–19</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D06071">
              <w:rPr>
                <w:rFonts w:asciiTheme="minorHAnsi" w:hAnsiTheme="minorHAnsi"/>
              </w:rPr>
              <w:t>2019–20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ertAlign w:val="superscript"/>
              </w:rPr>
            </w:pPr>
            <w:r w:rsidRPr="00D06071">
              <w:rPr>
                <w:rFonts w:asciiTheme="minorHAnsi" w:hAnsiTheme="minorHAnsi"/>
                <w:b/>
              </w:rPr>
              <w:t>Total to 2019–20</w:t>
            </w:r>
          </w:p>
        </w:tc>
      </w:tr>
      <w:tr w:rsidR="000B5C96" w:rsidRPr="00D06071"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D06071" w:rsidRDefault="000B5C96" w:rsidP="003F606A">
            <w:pPr>
              <w:keepNext/>
              <w:keepLines/>
              <w:rPr>
                <w:rFonts w:asciiTheme="minorHAnsi" w:hAnsiTheme="minorHAnsi"/>
                <w:b/>
              </w:rPr>
            </w:pPr>
            <w:r w:rsidRPr="00D06071">
              <w:rPr>
                <w:rFonts w:asciiTheme="minorHAnsi" w:hAnsiTheme="minorHAnsi"/>
                <w:b/>
              </w:rPr>
              <w:t xml:space="preserve">Impact on fiscal and underlying cash balances </w:t>
            </w:r>
          </w:p>
        </w:tc>
      </w:tr>
      <w:tr w:rsidR="000B5C96" w:rsidRPr="00D06071"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rPr>
                <w:rFonts w:asciiTheme="minorHAnsi" w:eastAsia="Calibri" w:hAnsiTheme="minorHAnsi"/>
              </w:rPr>
            </w:pPr>
            <w:r w:rsidRPr="00D06071">
              <w:rPr>
                <w:rFonts w:asciiTheme="minorHAnsi" w:eastAsia="Calibri" w:hAnsiTheme="minorHAnsi"/>
              </w:rPr>
              <w:t>Expense</w:t>
            </w:r>
          </w:p>
        </w:tc>
        <w:tc>
          <w:tcPr>
            <w:tcW w:w="682" w:type="pct"/>
            <w:tcBorders>
              <w:top w:val="single" w:sz="4" w:space="0" w:color="788184"/>
              <w:left w:val="single" w:sz="4" w:space="0" w:color="788184"/>
              <w:bottom w:val="single" w:sz="4" w:space="0" w:color="788184"/>
              <w:right w:val="single" w:sz="4" w:space="0" w:color="788184"/>
            </w:tcBorders>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i/>
              </w:rPr>
            </w:pPr>
          </w:p>
        </w:tc>
      </w:tr>
      <w:tr w:rsidR="000B5C96" w:rsidRPr="00D06071"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rPr>
                <w:rFonts w:asciiTheme="minorHAnsi" w:eastAsia="Calibri" w:hAnsiTheme="minorHAnsi"/>
              </w:rPr>
            </w:pPr>
            <w:r w:rsidRPr="00D06071">
              <w:rPr>
                <w:rFonts w:asciiTheme="minorHAnsi" w:eastAsia="Calibri" w:hAnsiTheme="minorHAnsi"/>
              </w:rPr>
              <w:t>Administered</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rPr>
            </w:pPr>
            <w:r w:rsidRPr="00D06071">
              <w:rPr>
                <w:rFonts w:eastAsia="Calibri"/>
                <w:i/>
              </w:rPr>
              <w:t xml:space="preserve">-15.0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rPr>
            </w:pPr>
            <w:r w:rsidRPr="00D06071">
              <w:rPr>
                <w:rFonts w:eastAsia="Calibri"/>
                <w:i/>
              </w:rPr>
              <w:t xml:space="preserve">-15.0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rPr>
            </w:pPr>
            <w:r w:rsidRPr="00D06071">
              <w:rPr>
                <w:rFonts w:eastAsia="Calibri"/>
                <w:i/>
              </w:rPr>
              <w:t xml:space="preserve"> -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rPr>
            </w:pPr>
            <w:r w:rsidRPr="00D06071">
              <w:rPr>
                <w:rFonts w:eastAsia="Calibri"/>
                <w:i/>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i/>
              </w:rPr>
            </w:pPr>
            <w:r w:rsidRPr="00D06071">
              <w:rPr>
                <w:rFonts w:eastAsia="Calibri"/>
                <w:b/>
                <w:i/>
              </w:rPr>
              <w:t xml:space="preserve">-30.0 </w:t>
            </w:r>
          </w:p>
        </w:tc>
      </w:tr>
      <w:tr w:rsidR="000B5C96" w:rsidRPr="00D06071"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rPr>
                <w:rFonts w:asciiTheme="minorHAnsi" w:eastAsia="Calibri" w:hAnsiTheme="minorHAnsi"/>
              </w:rPr>
            </w:pPr>
            <w:r w:rsidRPr="00D06071">
              <w:rPr>
                <w:rFonts w:asciiTheme="minorHAnsi" w:eastAsia="Calibri" w:hAnsiTheme="minorHAnsi"/>
              </w:rPr>
              <w:t>Departmental</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r w:rsidRPr="00D06071">
              <w:rPr>
                <w:rFonts w:eastAsia="Calibri"/>
                <w:i/>
              </w:rPr>
              <w:t xml:space="preserve">-0.5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r w:rsidRPr="00D06071">
              <w:rPr>
                <w:rFonts w:eastAsia="Calibri"/>
                <w:i/>
              </w:rPr>
              <w:t xml:space="preserve">-0.5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r w:rsidRPr="00D06071">
              <w:rPr>
                <w:rFonts w:eastAsia="Calibri"/>
                <w:i/>
              </w:rPr>
              <w:t xml:space="preserve"> -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rPr>
            </w:pPr>
            <w:r w:rsidRPr="00D06071">
              <w:rPr>
                <w:rFonts w:eastAsia="Calibri"/>
                <w:i/>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D06071"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i/>
              </w:rPr>
            </w:pPr>
            <w:r w:rsidRPr="00D06071">
              <w:rPr>
                <w:rFonts w:eastAsia="Calibri"/>
                <w:b/>
                <w:i/>
              </w:rPr>
              <w:t xml:space="preserve">-1.0 </w:t>
            </w:r>
          </w:p>
        </w:tc>
      </w:tr>
      <w:tr w:rsidR="000B5C96" w:rsidRPr="00D06071"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keepNext/>
              <w:keepLines/>
              <w:rPr>
                <w:rFonts w:asciiTheme="minorHAnsi" w:hAnsiTheme="minorHAnsi"/>
                <w:b/>
              </w:rPr>
            </w:pPr>
            <w:r w:rsidRPr="00D06071">
              <w:rPr>
                <w:rFonts w:asciiTheme="minorHAnsi" w:hAnsiTheme="minorHAnsi"/>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rPr>
            </w:pPr>
            <w:r w:rsidRPr="00D06071">
              <w:rPr>
                <w:rFonts w:eastAsia="Calibri"/>
                <w:b/>
              </w:rPr>
              <w:t xml:space="preserve">-15.5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rPr>
            </w:pPr>
            <w:r w:rsidRPr="00D06071">
              <w:rPr>
                <w:rFonts w:eastAsia="Calibri"/>
                <w:b/>
              </w:rPr>
              <w:t xml:space="preserve">-15.5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rPr>
            </w:pPr>
            <w:r w:rsidRPr="00D06071">
              <w:rPr>
                <w:rFonts w:eastAsia="Calibri"/>
                <w:b/>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rPr>
            </w:pPr>
            <w:r w:rsidRPr="00D06071">
              <w:rPr>
                <w:rFonts w:eastAsia="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D06071"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rPr>
            </w:pPr>
            <w:r w:rsidRPr="00D06071">
              <w:rPr>
                <w:rFonts w:eastAsia="Calibri"/>
                <w:b/>
              </w:rPr>
              <w:t xml:space="preserve">-31.0 </w:t>
            </w:r>
          </w:p>
        </w:tc>
      </w:tr>
    </w:tbl>
    <w:p w:rsidR="000B5C96" w:rsidRDefault="000B5C96" w:rsidP="00EE4E1E">
      <w:pPr>
        <w:pStyle w:val="Footnotes"/>
        <w:numPr>
          <w:ilvl w:val="0"/>
          <w:numId w:val="228"/>
        </w:numPr>
        <w:ind w:left="284" w:hanging="284"/>
      </w:pPr>
      <w:r w:rsidRPr="00D06071">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D06071" w:rsidRDefault="000B5C96" w:rsidP="000B5C96">
      <w:pPr>
        <w:pStyle w:val="Footnotes"/>
        <w:numPr>
          <w:ilvl w:val="0"/>
          <w:numId w:val="7"/>
        </w:numPr>
        <w:ind w:left="284" w:hanging="284"/>
      </w:pPr>
      <w:r w:rsidRPr="00D06071">
        <w:t>Figures may not sum to totals due to rounding.</w:t>
      </w:r>
    </w:p>
    <w:p w:rsidR="000B5C96" w:rsidRPr="00D06071" w:rsidRDefault="000B5C96" w:rsidP="000B5C96">
      <w:pPr>
        <w:pStyle w:val="Footnotes"/>
        <w:numPr>
          <w:ilvl w:val="0"/>
          <w:numId w:val="115"/>
        </w:numPr>
        <w:ind w:left="284" w:hanging="284"/>
      </w:pPr>
      <w:r w:rsidRPr="00D06071">
        <w:tab/>
        <w:t>Indicates nil.</w:t>
      </w:r>
    </w:p>
    <w:p w:rsidR="000B5C96" w:rsidRPr="00665A09" w:rsidRDefault="000B5C96" w:rsidP="003F606A">
      <w:pPr>
        <w:pStyle w:val="Caption"/>
        <w:rPr>
          <w:vertAlign w:val="superscript"/>
        </w:rPr>
      </w:pPr>
      <w:r w:rsidRPr="00665A09">
        <w:t>Table A3: Component 2: Implement the UNDRIP—Financial implications (outturn prices)</w:t>
      </w:r>
      <w:r w:rsidRPr="00665A09">
        <w:rPr>
          <w:vertAlign w:val="superscript"/>
        </w:rPr>
        <w:t>(a)(b)</w:t>
      </w:r>
    </w:p>
    <w:tbl>
      <w:tblPr>
        <w:tblStyle w:val="TableGrid1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665A0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rPr>
                <w:b/>
                <w:szCs w:val="20"/>
              </w:rPr>
            </w:pPr>
            <w:r w:rsidRPr="00665A09">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665A09">
              <w:rPr>
                <w:b/>
              </w:rPr>
              <w:t>Total</w:t>
            </w:r>
            <w:r w:rsidRPr="00665A09">
              <w:rPr>
                <w:b/>
                <w:szCs w:val="20"/>
              </w:rPr>
              <w:t xml:space="preserve"> to 2019–20</w:t>
            </w:r>
          </w:p>
        </w:tc>
      </w:tr>
      <w:tr w:rsidR="000B5C96" w:rsidRPr="00665A0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keepNext/>
              <w:keepLines/>
              <w:ind w:left="57" w:right="57"/>
              <w:rPr>
                <w:b/>
              </w:rPr>
            </w:pPr>
            <w:r w:rsidRPr="00665A09">
              <w:rPr>
                <w:b/>
              </w:rPr>
              <w:t xml:space="preserve">Impact on fiscal and underlying cash balances </w:t>
            </w:r>
          </w:p>
        </w:tc>
      </w:tr>
      <w:tr w:rsidR="000B5C96" w:rsidRPr="00665A0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ind w:left="57" w:right="57"/>
              <w:rPr>
                <w:szCs w:val="20"/>
              </w:rPr>
            </w:pPr>
            <w:r w:rsidRPr="00665A09">
              <w:rPr>
                <w:szCs w:val="20"/>
              </w:rPr>
              <w:t>Expense</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p>
        </w:tc>
      </w:tr>
      <w:tr w:rsidR="000B5C96" w:rsidRPr="00665A0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ind w:left="57" w:right="57"/>
              <w:rPr>
                <w:i/>
              </w:rPr>
            </w:pPr>
            <w:r w:rsidRPr="00665A09">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-5.0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-5.0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-5.0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-5.0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665A09">
              <w:rPr>
                <w:rFonts w:ascii="Calibri" w:hAnsi="Calibri"/>
                <w:b/>
                <w:i/>
              </w:rPr>
              <w:t xml:space="preserve">-20.0 </w:t>
            </w:r>
          </w:p>
        </w:tc>
      </w:tr>
      <w:tr w:rsidR="000B5C96" w:rsidRPr="00665A0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ind w:left="57" w:right="57"/>
              <w:rPr>
                <w:i/>
              </w:rPr>
            </w:pPr>
            <w:r w:rsidRPr="00665A09">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-0.3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-0.3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-0.3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-0.3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665A09">
              <w:rPr>
                <w:rFonts w:ascii="Calibri" w:hAnsi="Calibri"/>
                <w:b/>
                <w:i/>
              </w:rPr>
              <w:t xml:space="preserve">-1.3 </w:t>
            </w:r>
          </w:p>
        </w:tc>
      </w:tr>
      <w:tr w:rsidR="000B5C96" w:rsidRPr="00665A0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keepNext/>
              <w:keepLines/>
              <w:ind w:left="57" w:right="57"/>
              <w:rPr>
                <w:b/>
                <w:szCs w:val="20"/>
              </w:rPr>
            </w:pPr>
            <w:r w:rsidRPr="00665A09">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rPr>
              <w:t xml:space="preserve">-5.3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rPr>
              <w:t xml:space="preserve">-5.3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rPr>
              <w:t xml:space="preserve">-5.3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rPr>
              <w:t xml:space="preserve">-5.3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rPr>
              <w:t xml:space="preserve">-21.3 </w:t>
            </w:r>
          </w:p>
        </w:tc>
      </w:tr>
    </w:tbl>
    <w:p w:rsidR="000B5C96" w:rsidRDefault="000B5C96" w:rsidP="00EE4E1E">
      <w:pPr>
        <w:pStyle w:val="Footnotes"/>
        <w:numPr>
          <w:ilvl w:val="0"/>
          <w:numId w:val="229"/>
        </w:numPr>
        <w:ind w:left="284" w:hanging="284"/>
      </w:pPr>
      <w:r w:rsidRPr="004E2F47">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4E2F47" w:rsidRDefault="000B5C96" w:rsidP="000B5C96">
      <w:pPr>
        <w:pStyle w:val="Footnotes"/>
        <w:numPr>
          <w:ilvl w:val="0"/>
          <w:numId w:val="7"/>
        </w:numPr>
        <w:ind w:left="284" w:hanging="284"/>
      </w:pPr>
      <w:r w:rsidRPr="004E2F47">
        <w:t>Figures may not sum to totals due to rounding.</w:t>
      </w:r>
    </w:p>
    <w:p w:rsidR="000B5C96" w:rsidRPr="00665A09" w:rsidRDefault="000B5C96" w:rsidP="003F606A">
      <w:pPr>
        <w:pStyle w:val="Caption"/>
        <w:rPr>
          <w:vertAlign w:val="superscript"/>
        </w:rPr>
      </w:pPr>
      <w:r w:rsidRPr="00665A09">
        <w:t>Table A4: Component 3: Offset Coalition cuts—Financial implications (outturn prices)</w:t>
      </w:r>
      <w:r w:rsidRPr="00665A09">
        <w:rPr>
          <w:vertAlign w:val="superscript"/>
        </w:rPr>
        <w:t>(a)(b)</w:t>
      </w:r>
    </w:p>
    <w:tbl>
      <w:tblPr>
        <w:tblStyle w:val="TableGrid1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665A0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rPr>
                <w:b/>
                <w:szCs w:val="20"/>
              </w:rPr>
            </w:pPr>
            <w:r w:rsidRPr="00665A09">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665A09">
              <w:rPr>
                <w:b/>
              </w:rPr>
              <w:t>Total</w:t>
            </w:r>
            <w:r w:rsidRPr="00665A09">
              <w:rPr>
                <w:b/>
                <w:szCs w:val="20"/>
              </w:rPr>
              <w:t xml:space="preserve"> to 2019–20</w:t>
            </w:r>
          </w:p>
        </w:tc>
      </w:tr>
      <w:tr w:rsidR="000B5C96" w:rsidRPr="00665A0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keepNext/>
              <w:keepLines/>
              <w:ind w:left="57" w:right="57"/>
              <w:rPr>
                <w:b/>
              </w:rPr>
            </w:pPr>
            <w:r w:rsidRPr="00665A09">
              <w:rPr>
                <w:b/>
              </w:rPr>
              <w:t xml:space="preserve">Impact on fiscal and underlying cash balances </w:t>
            </w:r>
          </w:p>
        </w:tc>
      </w:tr>
      <w:tr w:rsidR="000B5C96" w:rsidRPr="00665A0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keepNext/>
              <w:keepLines/>
              <w:ind w:left="57" w:right="57"/>
              <w:rPr>
                <w:szCs w:val="20"/>
              </w:rPr>
            </w:pPr>
            <w:r w:rsidRPr="00665A09">
              <w:rPr>
                <w:szCs w:val="20"/>
              </w:rPr>
              <w:t>Administered expense</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-139.0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-144.0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-144.0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-144.0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665A09">
              <w:rPr>
                <w:rFonts w:ascii="Calibri" w:hAnsi="Calibri"/>
                <w:b/>
                <w:i/>
              </w:rPr>
              <w:t xml:space="preserve">-571.0 </w:t>
            </w:r>
          </w:p>
        </w:tc>
      </w:tr>
      <w:tr w:rsidR="000B5C96" w:rsidRPr="00665A0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ind w:left="57" w:right="57"/>
              <w:rPr>
                <w:i/>
              </w:rPr>
            </w:pPr>
            <w:r w:rsidRPr="00665A09">
              <w:rPr>
                <w:i/>
                <w:szCs w:val="20"/>
              </w:rPr>
              <w:t>National Congress of Australia’s First Peoples</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-5.0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-5.0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-5.0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665A09">
              <w:rPr>
                <w:rFonts w:ascii="Calibri" w:hAnsi="Calibri"/>
                <w:b/>
                <w:i/>
              </w:rPr>
              <w:t xml:space="preserve">-15.0 </w:t>
            </w:r>
          </w:p>
        </w:tc>
      </w:tr>
      <w:tr w:rsidR="000B5C96" w:rsidRPr="00665A0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ind w:left="57" w:right="57"/>
              <w:rPr>
                <w:i/>
              </w:rPr>
            </w:pPr>
            <w:r w:rsidRPr="00665A09">
              <w:rPr>
                <w:i/>
                <w:szCs w:val="20"/>
              </w:rPr>
              <w:t>Indigenous Advancement Strategy</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-139.0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-139.0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-139.0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-139.0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665A09">
              <w:rPr>
                <w:rFonts w:ascii="Calibri" w:hAnsi="Calibri"/>
                <w:b/>
                <w:i/>
              </w:rPr>
              <w:t xml:space="preserve">-556.0 </w:t>
            </w:r>
          </w:p>
        </w:tc>
      </w:tr>
      <w:tr w:rsidR="000B5C96" w:rsidRPr="00665A0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keepNext/>
              <w:keepLines/>
              <w:ind w:left="57" w:right="57"/>
              <w:rPr>
                <w:szCs w:val="20"/>
              </w:rPr>
            </w:pPr>
            <w:r w:rsidRPr="00665A09">
              <w:rPr>
                <w:szCs w:val="20"/>
              </w:rPr>
              <w:t>Departmental expense</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-32.0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-32.0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-32.0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-32.0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665A09">
              <w:rPr>
                <w:rFonts w:ascii="Calibri" w:hAnsi="Calibri"/>
                <w:b/>
                <w:i/>
              </w:rPr>
              <w:t xml:space="preserve">-128.0 </w:t>
            </w:r>
          </w:p>
        </w:tc>
      </w:tr>
      <w:tr w:rsidR="000B5C96" w:rsidRPr="00665A0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ind w:left="57" w:right="57"/>
              <w:rPr>
                <w:i/>
              </w:rPr>
            </w:pPr>
            <w:r w:rsidRPr="00665A09">
              <w:rPr>
                <w:i/>
                <w:szCs w:val="20"/>
              </w:rPr>
              <w:t>Indigenous Advancement Strategy</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-32.0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-32.0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-32.0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-32.0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665A09">
              <w:rPr>
                <w:rFonts w:ascii="Calibri" w:hAnsi="Calibri"/>
                <w:b/>
                <w:i/>
              </w:rPr>
              <w:t xml:space="preserve">-128.0 </w:t>
            </w:r>
          </w:p>
        </w:tc>
      </w:tr>
      <w:tr w:rsidR="000B5C96" w:rsidRPr="00665A0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keepNext/>
              <w:keepLines/>
              <w:ind w:left="57" w:right="57"/>
              <w:rPr>
                <w:b/>
                <w:szCs w:val="20"/>
              </w:rPr>
            </w:pPr>
            <w:r w:rsidRPr="00665A09">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rPr>
              <w:t>-171.0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rPr>
              <w:t>-176.0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rPr>
              <w:t>-176.0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rPr>
              <w:t>-176.0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rPr>
              <w:t>-699.0</w:t>
            </w:r>
          </w:p>
        </w:tc>
      </w:tr>
    </w:tbl>
    <w:p w:rsidR="000B5C96" w:rsidRDefault="000B5C96" w:rsidP="00EE4E1E">
      <w:pPr>
        <w:pStyle w:val="Footnotes"/>
        <w:numPr>
          <w:ilvl w:val="0"/>
          <w:numId w:val="230"/>
        </w:numPr>
        <w:ind w:left="284" w:hanging="284"/>
      </w:pPr>
      <w:r w:rsidRPr="004E2F47">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4E2F47" w:rsidRDefault="000B5C96" w:rsidP="000B5C96">
      <w:pPr>
        <w:pStyle w:val="Footnotes"/>
        <w:numPr>
          <w:ilvl w:val="0"/>
          <w:numId w:val="7"/>
        </w:numPr>
        <w:ind w:left="284" w:hanging="284"/>
      </w:pPr>
      <w:r w:rsidRPr="004E2F47">
        <w:t>Figures may not sum to totals due to rounding.</w:t>
      </w:r>
    </w:p>
    <w:p w:rsidR="000B5C96" w:rsidRPr="00665A09" w:rsidRDefault="000B5C96" w:rsidP="000B5C96">
      <w:pPr>
        <w:pStyle w:val="Footnotes"/>
        <w:numPr>
          <w:ilvl w:val="0"/>
          <w:numId w:val="115"/>
        </w:numPr>
        <w:ind w:left="284" w:hanging="284"/>
      </w:pPr>
      <w:r w:rsidRPr="00665A09">
        <w:t>Indicates nil.</w:t>
      </w:r>
    </w:p>
    <w:p w:rsidR="000B5C96" w:rsidRPr="00665A09" w:rsidRDefault="000B5C96" w:rsidP="003F606A">
      <w:pPr>
        <w:pStyle w:val="Caption"/>
        <w:rPr>
          <w:vertAlign w:val="superscript"/>
        </w:rPr>
      </w:pPr>
      <w:r w:rsidRPr="00665A09">
        <w:t xml:space="preserve">Table A5: Component 4: Implement </w:t>
      </w:r>
      <w:r w:rsidRPr="00665A09">
        <w:rPr>
          <w:i/>
        </w:rPr>
        <w:t>Blueprint for Change</w:t>
      </w:r>
      <w:r w:rsidRPr="00665A09">
        <w:t>—Financial implications (outturn prices)</w:t>
      </w:r>
      <w:r w:rsidRPr="00665A09">
        <w:rPr>
          <w:vertAlign w:val="superscript"/>
        </w:rPr>
        <w:t>(a)(b)</w:t>
      </w:r>
    </w:p>
    <w:tbl>
      <w:tblPr>
        <w:tblStyle w:val="TableGrid1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665A0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rPr>
                <w:b/>
                <w:szCs w:val="20"/>
              </w:rPr>
            </w:pPr>
            <w:r w:rsidRPr="00665A09">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665A09">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665A0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665A09">
              <w:rPr>
                <w:b/>
              </w:rPr>
              <w:t>Total</w:t>
            </w:r>
            <w:r w:rsidRPr="00665A09">
              <w:rPr>
                <w:b/>
                <w:szCs w:val="20"/>
              </w:rPr>
              <w:t xml:space="preserve"> to 2019–20</w:t>
            </w:r>
          </w:p>
        </w:tc>
      </w:tr>
      <w:tr w:rsidR="000B5C96" w:rsidRPr="00665A0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keepNext/>
              <w:keepLines/>
              <w:ind w:left="57" w:right="57"/>
              <w:rPr>
                <w:b/>
              </w:rPr>
            </w:pPr>
            <w:r w:rsidRPr="00665A09">
              <w:rPr>
                <w:b/>
              </w:rPr>
              <w:t xml:space="preserve">Impact on fiscal and underlying cash balances </w:t>
            </w:r>
          </w:p>
        </w:tc>
      </w:tr>
      <w:tr w:rsidR="000B5C96" w:rsidRPr="00665A0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keepNext/>
              <w:keepLines/>
              <w:ind w:left="57" w:right="57"/>
              <w:rPr>
                <w:szCs w:val="20"/>
              </w:rPr>
            </w:pPr>
            <w:r w:rsidRPr="00665A09">
              <w:rPr>
                <w:szCs w:val="20"/>
              </w:rPr>
              <w:t>Administered expense</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65A09">
              <w:rPr>
                <w:rFonts w:ascii="Calibri" w:hAnsi="Calibri"/>
              </w:rPr>
              <w:t xml:space="preserve">-1.5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65A09">
              <w:rPr>
                <w:rFonts w:ascii="Calibri" w:hAnsi="Calibri"/>
              </w:rPr>
              <w:t xml:space="preserve">-11.5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65A09">
              <w:rPr>
                <w:rFonts w:ascii="Calibri" w:hAnsi="Calibri"/>
              </w:rPr>
              <w:t xml:space="preserve">-11.5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65A09">
              <w:rPr>
                <w:rFonts w:ascii="Calibri" w:hAnsi="Calibri"/>
              </w:rPr>
              <w:t xml:space="preserve">-10.0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65A09">
              <w:rPr>
                <w:rFonts w:ascii="Calibri" w:hAnsi="Calibri"/>
                <w:b/>
              </w:rPr>
              <w:t xml:space="preserve">-34.5 </w:t>
            </w:r>
          </w:p>
        </w:tc>
      </w:tr>
      <w:tr w:rsidR="000B5C96" w:rsidRPr="00665A0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ind w:left="57" w:right="57"/>
              <w:rPr>
                <w:i/>
                <w:szCs w:val="20"/>
              </w:rPr>
            </w:pPr>
            <w:r w:rsidRPr="00665A09">
              <w:rPr>
                <w:i/>
                <w:szCs w:val="20"/>
              </w:rPr>
              <w:t>Independent review of laws, policies and strategies</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665A09">
              <w:rPr>
                <w:rFonts w:ascii="Calibri" w:hAnsi="Calibri"/>
                <w:i/>
              </w:rPr>
              <w:t xml:space="preserve">-1.5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665A09">
              <w:rPr>
                <w:rFonts w:ascii="Calibri" w:hAnsi="Calibri"/>
                <w:i/>
              </w:rPr>
              <w:t xml:space="preserve">-1.5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665A09">
              <w:rPr>
                <w:rFonts w:ascii="Calibri" w:hAnsi="Calibri"/>
                <w:i/>
              </w:rPr>
              <w:t xml:space="preserve">-1.5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665A09">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i/>
              </w:rPr>
              <w:t xml:space="preserve">-4.5 </w:t>
            </w:r>
          </w:p>
        </w:tc>
      </w:tr>
      <w:tr w:rsidR="000B5C96" w:rsidRPr="00665A0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keepNext/>
              <w:keepLines/>
              <w:ind w:left="57" w:right="57"/>
              <w:rPr>
                <w:i/>
                <w:szCs w:val="20"/>
              </w:rPr>
            </w:pPr>
            <w:r w:rsidRPr="00665A09">
              <w:rPr>
                <w:i/>
                <w:szCs w:val="20"/>
              </w:rPr>
              <w:t>Grants for projects to help reduce incarceration rate</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65A09">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65A09">
              <w:rPr>
                <w:rFonts w:ascii="Calibri" w:hAnsi="Calibri"/>
                <w:i/>
              </w:rPr>
              <w:t xml:space="preserve">-10.0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65A09">
              <w:rPr>
                <w:rFonts w:ascii="Calibri" w:hAnsi="Calibri"/>
                <w:i/>
              </w:rPr>
              <w:t xml:space="preserve">-10.0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665A09">
              <w:rPr>
                <w:rFonts w:ascii="Calibri" w:hAnsi="Calibri"/>
                <w:i/>
              </w:rPr>
              <w:t xml:space="preserve">-10.0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65A09">
              <w:rPr>
                <w:rFonts w:ascii="Calibri" w:hAnsi="Calibri"/>
                <w:b/>
                <w:i/>
              </w:rPr>
              <w:t xml:space="preserve">-30.0 </w:t>
            </w:r>
          </w:p>
        </w:tc>
      </w:tr>
      <w:tr w:rsidR="000B5C96" w:rsidRPr="00665A0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keepNext/>
              <w:keepLines/>
              <w:ind w:left="57" w:right="57"/>
              <w:rPr>
                <w:szCs w:val="20"/>
              </w:rPr>
            </w:pPr>
            <w:r w:rsidRPr="00665A09">
              <w:rPr>
                <w:szCs w:val="20"/>
              </w:rPr>
              <w:t>Departmental expense</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665A09">
              <w:rPr>
                <w:rFonts w:ascii="Calibri" w:hAnsi="Calibri"/>
              </w:rPr>
              <w:t xml:space="preserve">-1.2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665A09">
              <w:rPr>
                <w:rFonts w:ascii="Calibri" w:hAnsi="Calibri"/>
              </w:rPr>
              <w:t xml:space="preserve">-1.7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665A09">
              <w:rPr>
                <w:rFonts w:ascii="Calibri" w:hAnsi="Calibri"/>
              </w:rPr>
              <w:t xml:space="preserve">-1.7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665A09">
              <w:rPr>
                <w:rFonts w:ascii="Calibri" w:hAnsi="Calibri"/>
              </w:rPr>
              <w:t xml:space="preserve">-0.1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665A09">
              <w:rPr>
                <w:rFonts w:ascii="Calibri" w:hAnsi="Calibri"/>
                <w:b/>
              </w:rPr>
              <w:t xml:space="preserve">-4.9 </w:t>
            </w:r>
          </w:p>
        </w:tc>
      </w:tr>
      <w:tr w:rsidR="000B5C96" w:rsidRPr="00665A0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ind w:left="57" w:right="57"/>
              <w:rPr>
                <w:i/>
              </w:rPr>
            </w:pPr>
            <w:r w:rsidRPr="00665A09">
              <w:rPr>
                <w:i/>
              </w:rPr>
              <w:t>Whole of Government strategy, negotiations for a national target, improved data collection – PM&amp;C</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-1.2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-1.6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-1.6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665A09">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665A09">
              <w:rPr>
                <w:rFonts w:ascii="Calibri" w:hAnsi="Calibri"/>
                <w:b/>
                <w:i/>
              </w:rPr>
              <w:t xml:space="preserve">-4.5 </w:t>
            </w:r>
          </w:p>
        </w:tc>
      </w:tr>
      <w:tr w:rsidR="000B5C96" w:rsidRPr="00665A0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ind w:left="57" w:right="57"/>
              <w:rPr>
                <w:i/>
              </w:rPr>
            </w:pPr>
            <w:r w:rsidRPr="00665A09">
              <w:rPr>
                <w:i/>
                <w:szCs w:val="20"/>
              </w:rPr>
              <w:t>Grants for projects to help reduce incarceration rate</w:t>
            </w:r>
            <w:r w:rsidRPr="00665A09" w:rsidDel="00CF22B6">
              <w:t xml:space="preserve"> </w:t>
            </w:r>
            <w:r w:rsidRPr="00665A09">
              <w:rPr>
                <w:i/>
              </w:rPr>
              <w:t>– PM&amp;C</w:t>
            </w:r>
            <w:r w:rsidRPr="00665A09" w:rsidDel="00CF22B6">
              <w:t xml:space="preserve">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-0.1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-0.1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665A09">
              <w:rPr>
                <w:rFonts w:ascii="Calibri" w:hAnsi="Calibri"/>
                <w:i/>
              </w:rPr>
              <w:t xml:space="preserve">-0.1 </w:t>
            </w:r>
          </w:p>
        </w:tc>
        <w:tc>
          <w:tcPr>
            <w:tcW w:w="682" w:type="pct"/>
            <w:tcBorders>
              <w:top w:val="single" w:sz="4" w:space="0" w:color="788184"/>
              <w:left w:val="single" w:sz="4" w:space="0" w:color="788184"/>
              <w:bottom w:val="single" w:sz="4" w:space="0" w:color="788184"/>
              <w:right w:val="single" w:sz="4" w:space="0" w:color="788184"/>
            </w:tcBorders>
          </w:tcPr>
          <w:p w:rsidR="000B5C96" w:rsidRPr="00665A0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665A09">
              <w:rPr>
                <w:rFonts w:ascii="Calibri" w:hAnsi="Calibri"/>
                <w:b/>
                <w:i/>
              </w:rPr>
              <w:t xml:space="preserve">-0.4 </w:t>
            </w:r>
          </w:p>
        </w:tc>
      </w:tr>
      <w:tr w:rsidR="000B5C96" w:rsidRPr="00665A0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keepNext/>
              <w:keepLines/>
              <w:ind w:left="57" w:right="57"/>
              <w:rPr>
                <w:b/>
                <w:szCs w:val="20"/>
              </w:rPr>
            </w:pPr>
            <w:r w:rsidRPr="00665A09">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65A09">
              <w:rPr>
                <w:rFonts w:ascii="Calibri" w:hAnsi="Calibri"/>
                <w:b/>
              </w:rPr>
              <w:t xml:space="preserve">-2.7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65A09">
              <w:rPr>
                <w:rFonts w:ascii="Calibri" w:hAnsi="Calibri"/>
                <w:b/>
              </w:rPr>
              <w:t xml:space="preserve">-13.3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65A09">
              <w:rPr>
                <w:rFonts w:ascii="Calibri" w:hAnsi="Calibri"/>
                <w:b/>
              </w:rPr>
              <w:t xml:space="preserve">-13.3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65A09">
              <w:rPr>
                <w:rFonts w:ascii="Calibri" w:hAnsi="Calibri"/>
                <w:b/>
              </w:rPr>
              <w:t xml:space="preserve">-10.1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665A0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665A09">
              <w:rPr>
                <w:rFonts w:ascii="Calibri" w:hAnsi="Calibri"/>
                <w:b/>
              </w:rPr>
              <w:t xml:space="preserve">-39.4 </w:t>
            </w:r>
          </w:p>
        </w:tc>
      </w:tr>
    </w:tbl>
    <w:p w:rsidR="000B5C96" w:rsidRDefault="000B5C96" w:rsidP="00EE4E1E">
      <w:pPr>
        <w:pStyle w:val="Footnotes"/>
        <w:numPr>
          <w:ilvl w:val="0"/>
          <w:numId w:val="231"/>
        </w:numPr>
        <w:ind w:left="284" w:hanging="284"/>
      </w:pPr>
      <w:r w:rsidRPr="00CC6F98">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665A09" w:rsidRDefault="000B5C96" w:rsidP="000B5C96">
      <w:pPr>
        <w:pStyle w:val="Footnotes"/>
        <w:numPr>
          <w:ilvl w:val="0"/>
          <w:numId w:val="7"/>
        </w:numPr>
        <w:ind w:left="284" w:hanging="284"/>
      </w:pPr>
      <w:r w:rsidRPr="00665A09">
        <w:t>Figures may not sum to totals due to rounding.</w:t>
      </w:r>
    </w:p>
    <w:p w:rsidR="000B5C96" w:rsidRPr="00665A09" w:rsidRDefault="000B5C96" w:rsidP="000B5C96">
      <w:pPr>
        <w:pStyle w:val="Footnotes"/>
        <w:numPr>
          <w:ilvl w:val="0"/>
          <w:numId w:val="115"/>
        </w:numPr>
        <w:ind w:left="284" w:hanging="284"/>
      </w:pPr>
      <w:r w:rsidRPr="00665A09">
        <w:tab/>
        <w:t>Indicates nil.</w:t>
      </w:r>
    </w:p>
    <w:p w:rsidR="000B5C96" w:rsidRPr="00EC7C68" w:rsidRDefault="000B5C96" w:rsidP="003F606A">
      <w:pPr>
        <w:pStyle w:val="BodyText"/>
      </w:pPr>
    </w:p>
    <w:p w:rsidR="000B5C96" w:rsidRDefault="000B5C96" w:rsidP="003F606A">
      <w:pPr>
        <w:pStyle w:val="Heading5"/>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69" w:name="_Toc458001964"/>
      <w:bookmarkStart w:id="170" w:name="_Toc458069449"/>
      <w:r>
        <w:t>GRN055: Sustainable Research Excellence Grants</w:t>
      </w:r>
      <w:bookmarkEnd w:id="169"/>
      <w:bookmarkEnd w:id="170"/>
    </w:p>
    <w:p w:rsidR="000B5C96" w:rsidRDefault="000B5C96" w:rsidP="003F606A">
      <w:pPr>
        <w:pStyle w:val="BodyText"/>
      </w:pPr>
      <w:r>
        <w:rPr>
          <w:noProof/>
          <w:lang w:eastAsia="en-AU"/>
        </w:rPr>
        <w:drawing>
          <wp:inline distT="0" distB="0" distL="0" distR="0" wp14:anchorId="568B9771" wp14:editId="443DB725">
            <wp:extent cx="2696845" cy="572135"/>
            <wp:effectExtent l="0" t="0" r="8255" b="0"/>
            <wp:docPr id="465" name="Picture 46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98479A" w:rsidRDefault="000B5C96" w:rsidP="000B5C96">
      <w:pPr>
        <w:pStyle w:val="Heading6"/>
        <w:numPr>
          <w:ilvl w:val="0"/>
          <w:numId w:val="5"/>
        </w:numPr>
        <w:tabs>
          <w:tab w:val="right" w:pos="1418"/>
          <w:tab w:val="right" w:pos="1701"/>
          <w:tab w:val="right" w:pos="1985"/>
        </w:tabs>
      </w:pPr>
      <w:r w:rsidRPr="0098479A">
        <w:t>Policy costing—during the caretaker period for the 2016 general election</w:t>
      </w:r>
    </w:p>
    <w:tbl>
      <w:tblPr>
        <w:tblStyle w:val="Style15"/>
        <w:tblW w:w="8340" w:type="dxa"/>
        <w:tblLook w:val="04A0" w:firstRow="1" w:lastRow="0" w:firstColumn="1" w:lastColumn="0" w:noHBand="0" w:noVBand="1"/>
      </w:tblPr>
      <w:tblGrid>
        <w:gridCol w:w="3005"/>
        <w:gridCol w:w="5335"/>
      </w:tblGrid>
      <w:tr w:rsidR="000B5C96" w:rsidRPr="002E51A9" w:rsidTr="009C7B5B">
        <w:trPr>
          <w:cnfStyle w:val="100000000000" w:firstRow="1" w:lastRow="0" w:firstColumn="0" w:lastColumn="0" w:oddVBand="0" w:evenVBand="0" w:oddHBand="0" w:evenHBand="0" w:firstRowFirstColumn="0" w:firstRowLastColumn="0" w:lastRowFirstColumn="0" w:lastRowLastColumn="0"/>
        </w:trPr>
        <w:tc>
          <w:tcPr>
            <w:tcW w:w="3005" w:type="dxa"/>
            <w:hideMark/>
          </w:tcPr>
          <w:p w:rsidR="000B5C96" w:rsidRPr="002E51A9" w:rsidRDefault="000B5C96" w:rsidP="003F606A">
            <w:pPr>
              <w:pStyle w:val="PullOutBoxHeading"/>
              <w:spacing w:before="113" w:after="113"/>
              <w:rPr>
                <w:rFonts w:eastAsia="Calibri"/>
                <w:b w:val="0"/>
              </w:rPr>
            </w:pPr>
            <w:r w:rsidRPr="002E51A9">
              <w:rPr>
                <w:rFonts w:eastAsia="Calibri"/>
              </w:rPr>
              <w:t>Name of proposal:</w:t>
            </w:r>
          </w:p>
        </w:tc>
        <w:tc>
          <w:tcPr>
            <w:tcW w:w="5335" w:type="dxa"/>
            <w:hideMark/>
          </w:tcPr>
          <w:p w:rsidR="000B5C96" w:rsidRPr="002E51A9" w:rsidRDefault="000B5C96" w:rsidP="003F606A">
            <w:pPr>
              <w:pStyle w:val="PullOutBoxHeading"/>
              <w:spacing w:before="113" w:after="113"/>
              <w:rPr>
                <w:rFonts w:eastAsia="Calibri"/>
                <w:b w:val="0"/>
              </w:rPr>
            </w:pPr>
            <w:r w:rsidRPr="002E51A9">
              <w:rPr>
                <w:rFonts w:eastAsia="Calibri"/>
              </w:rPr>
              <w:t>Sustainable Research Excellence Grants</w:t>
            </w:r>
          </w:p>
        </w:tc>
      </w:tr>
      <w:tr w:rsidR="000B5C96" w:rsidRPr="0098479A" w:rsidTr="009C7B5B">
        <w:tc>
          <w:tcPr>
            <w:tcW w:w="3005" w:type="dxa"/>
            <w:hideMark/>
          </w:tcPr>
          <w:p w:rsidR="000B5C96" w:rsidRPr="0098479A" w:rsidRDefault="000B5C96" w:rsidP="003F606A">
            <w:pPr>
              <w:pStyle w:val="PullOutBoxBodyText"/>
              <w:rPr>
                <w:rFonts w:eastAsia="Calibri"/>
              </w:rPr>
            </w:pPr>
            <w:r w:rsidRPr="0098479A">
              <w:rPr>
                <w:rFonts w:eastAsia="Calibri"/>
              </w:rPr>
              <w:t>Summary of proposal:</w:t>
            </w:r>
          </w:p>
        </w:tc>
        <w:tc>
          <w:tcPr>
            <w:tcW w:w="5335" w:type="dxa"/>
            <w:hideMark/>
          </w:tcPr>
          <w:p w:rsidR="000B5C96" w:rsidRPr="0098479A" w:rsidRDefault="000B5C96" w:rsidP="003F606A">
            <w:pPr>
              <w:pStyle w:val="PullOutBoxBodyText"/>
            </w:pPr>
            <w:r w:rsidRPr="0098479A">
              <w:rPr>
                <w:rFonts w:eastAsia="Calibri"/>
              </w:rPr>
              <w:t>The proposal would lift the funds available to the Sustainable Research Excellence (SRE) grant program to a level where the combined amount from the SRE and the Research Infrastructure Block Grants (RIBG) is equal to 50 per cent of the total amount of competitive research grants awarded.</w:t>
            </w:r>
          </w:p>
          <w:p w:rsidR="000B5C96" w:rsidRPr="0098479A" w:rsidRDefault="000B5C96" w:rsidP="003F606A">
            <w:pPr>
              <w:pStyle w:val="PullOutBoxBodyText"/>
              <w:rPr>
                <w:rFonts w:eastAsia="Calibri"/>
              </w:rPr>
            </w:pPr>
            <w:r w:rsidRPr="0098479A">
              <w:rPr>
                <w:rFonts w:eastAsia="Calibri"/>
              </w:rPr>
              <w:t>The proposal would take effect from 1 September 2016.</w:t>
            </w:r>
          </w:p>
        </w:tc>
      </w:tr>
      <w:tr w:rsidR="000B5C96" w:rsidRPr="0098479A" w:rsidTr="009C7B5B">
        <w:tc>
          <w:tcPr>
            <w:tcW w:w="3005" w:type="dxa"/>
            <w:hideMark/>
          </w:tcPr>
          <w:p w:rsidR="000B5C96" w:rsidRPr="0098479A" w:rsidRDefault="000B5C96" w:rsidP="003F606A">
            <w:pPr>
              <w:pStyle w:val="PullOutBoxBodyText"/>
              <w:rPr>
                <w:rFonts w:eastAsia="Calibri"/>
              </w:rPr>
            </w:pPr>
            <w:r w:rsidRPr="0098479A">
              <w:rPr>
                <w:rFonts w:eastAsia="Calibri"/>
              </w:rPr>
              <w:t>Person/party requesting costing:</w:t>
            </w:r>
          </w:p>
        </w:tc>
        <w:tc>
          <w:tcPr>
            <w:tcW w:w="5335" w:type="dxa"/>
            <w:hideMark/>
          </w:tcPr>
          <w:p w:rsidR="000B5C96" w:rsidRPr="0098479A" w:rsidRDefault="000B5C96" w:rsidP="003F606A">
            <w:pPr>
              <w:pStyle w:val="PullOutBoxBodyText"/>
              <w:rPr>
                <w:rFonts w:eastAsia="Calibri"/>
              </w:rPr>
            </w:pPr>
            <w:r w:rsidRPr="0098479A">
              <w:rPr>
                <w:rFonts w:eastAsia="Calibri"/>
              </w:rPr>
              <w:t>Senator Richard Di Natale, Australian Greens</w:t>
            </w:r>
          </w:p>
        </w:tc>
      </w:tr>
      <w:tr w:rsidR="000B5C96" w:rsidRPr="0098479A" w:rsidTr="009C7B5B">
        <w:tc>
          <w:tcPr>
            <w:tcW w:w="3005" w:type="dxa"/>
            <w:hideMark/>
          </w:tcPr>
          <w:p w:rsidR="000B5C96" w:rsidRPr="0098479A" w:rsidRDefault="000B5C96" w:rsidP="003F606A">
            <w:pPr>
              <w:pStyle w:val="PullOutBoxBodyText"/>
              <w:rPr>
                <w:rFonts w:eastAsia="Calibri"/>
              </w:rPr>
            </w:pPr>
            <w:r w:rsidRPr="0098479A">
              <w:rPr>
                <w:rFonts w:eastAsia="Calibri"/>
              </w:rPr>
              <w:t>Date of public release of policy:</w:t>
            </w:r>
          </w:p>
        </w:tc>
        <w:tc>
          <w:tcPr>
            <w:tcW w:w="5335" w:type="dxa"/>
            <w:hideMark/>
          </w:tcPr>
          <w:p w:rsidR="000B5C96" w:rsidRPr="0098479A" w:rsidRDefault="000B5C96" w:rsidP="003F606A">
            <w:pPr>
              <w:pStyle w:val="PullOutBoxBodyText"/>
            </w:pPr>
            <w:r w:rsidRPr="0098479A">
              <w:rPr>
                <w:rFonts w:eastAsia="Calibri"/>
              </w:rPr>
              <w:t>23 May 2016</w:t>
            </w:r>
          </w:p>
          <w:p w:rsidR="000B5C96" w:rsidRPr="0098479A" w:rsidRDefault="00E46526" w:rsidP="003F606A">
            <w:pPr>
              <w:pStyle w:val="PullOutBoxBodyText"/>
              <w:rPr>
                <w:rFonts w:eastAsia="Calibri"/>
              </w:rPr>
            </w:pPr>
            <w:hyperlink r:id="rId512" w:history="1">
              <w:r w:rsidR="000B5C96" w:rsidRPr="0098479A">
                <w:rPr>
                  <w:rFonts w:eastAsia="Calibri"/>
                  <w:color w:val="0000FF"/>
                  <w:u w:val="single"/>
                </w:rPr>
                <w:t>http://greens.org.au/research</w:t>
              </w:r>
            </w:hyperlink>
          </w:p>
        </w:tc>
      </w:tr>
      <w:tr w:rsidR="000B5C96" w:rsidRPr="0098479A" w:rsidTr="009C7B5B">
        <w:tc>
          <w:tcPr>
            <w:tcW w:w="3005" w:type="dxa"/>
            <w:hideMark/>
          </w:tcPr>
          <w:p w:rsidR="000B5C96" w:rsidRPr="0098479A" w:rsidRDefault="000B5C96" w:rsidP="003F606A">
            <w:pPr>
              <w:pStyle w:val="PullOutBoxBodyText"/>
              <w:rPr>
                <w:rFonts w:eastAsia="Calibri"/>
              </w:rPr>
            </w:pPr>
            <w:r w:rsidRPr="0098479A">
              <w:rPr>
                <w:rFonts w:eastAsia="Calibri"/>
              </w:rPr>
              <w:t>Date costing request received:</w:t>
            </w:r>
          </w:p>
        </w:tc>
        <w:tc>
          <w:tcPr>
            <w:tcW w:w="5335" w:type="dxa"/>
            <w:hideMark/>
          </w:tcPr>
          <w:p w:rsidR="000B5C96" w:rsidRPr="0098479A" w:rsidRDefault="000B5C96" w:rsidP="003F606A">
            <w:pPr>
              <w:pStyle w:val="PullOutBoxBodyText"/>
              <w:rPr>
                <w:rFonts w:eastAsia="Calibri"/>
              </w:rPr>
            </w:pPr>
            <w:r w:rsidRPr="0098479A">
              <w:rPr>
                <w:rFonts w:eastAsia="Calibri"/>
              </w:rPr>
              <w:t>30 June 2016</w:t>
            </w:r>
          </w:p>
        </w:tc>
      </w:tr>
      <w:tr w:rsidR="000B5C96" w:rsidRPr="0098479A" w:rsidTr="009C7B5B">
        <w:tc>
          <w:tcPr>
            <w:tcW w:w="3005" w:type="dxa"/>
            <w:hideMark/>
          </w:tcPr>
          <w:p w:rsidR="000B5C96" w:rsidRPr="0098479A" w:rsidRDefault="000B5C96" w:rsidP="003F606A">
            <w:pPr>
              <w:pStyle w:val="PullOutBoxBodyText"/>
              <w:rPr>
                <w:rFonts w:eastAsia="Calibri"/>
              </w:rPr>
            </w:pPr>
            <w:r w:rsidRPr="0098479A">
              <w:rPr>
                <w:rFonts w:eastAsia="Calibri"/>
              </w:rPr>
              <w:t>Date costing completed:</w:t>
            </w:r>
          </w:p>
        </w:tc>
        <w:tc>
          <w:tcPr>
            <w:tcW w:w="5335" w:type="dxa"/>
            <w:hideMark/>
          </w:tcPr>
          <w:p w:rsidR="000B5C96" w:rsidRPr="0098479A" w:rsidRDefault="000B5C96" w:rsidP="003F606A">
            <w:pPr>
              <w:pStyle w:val="PullOutBoxBodyText"/>
              <w:rPr>
                <w:rFonts w:eastAsia="Calibri"/>
              </w:rPr>
            </w:pPr>
            <w:r w:rsidRPr="0098479A">
              <w:rPr>
                <w:rFonts w:eastAsia="Calibri"/>
              </w:rPr>
              <w:t>30 June 2016</w:t>
            </w:r>
          </w:p>
        </w:tc>
      </w:tr>
      <w:tr w:rsidR="000B5C96" w:rsidRPr="0098479A" w:rsidTr="009C7B5B">
        <w:tc>
          <w:tcPr>
            <w:tcW w:w="3005" w:type="dxa"/>
            <w:hideMark/>
          </w:tcPr>
          <w:p w:rsidR="000B5C96" w:rsidRPr="0098479A" w:rsidRDefault="000B5C96" w:rsidP="003F606A">
            <w:pPr>
              <w:pStyle w:val="PullOutBoxBodyText"/>
              <w:rPr>
                <w:rFonts w:eastAsia="Calibri"/>
              </w:rPr>
            </w:pPr>
            <w:r w:rsidRPr="0098479A">
              <w:rPr>
                <w:rFonts w:eastAsia="Calibri"/>
              </w:rPr>
              <w:t>Expiry date for the costing:</w:t>
            </w:r>
          </w:p>
        </w:tc>
        <w:tc>
          <w:tcPr>
            <w:tcW w:w="5335" w:type="dxa"/>
            <w:hideMark/>
          </w:tcPr>
          <w:p w:rsidR="000B5C96" w:rsidRPr="0098479A" w:rsidRDefault="000B5C96" w:rsidP="003F606A">
            <w:pPr>
              <w:pStyle w:val="PullOutBoxBodyText"/>
              <w:rPr>
                <w:rFonts w:eastAsia="Calibri"/>
              </w:rPr>
            </w:pPr>
            <w:r w:rsidRPr="0098479A">
              <w:rPr>
                <w:rFonts w:eastAsia="Calibri"/>
              </w:rPr>
              <w:t>Release of the next economic and fiscal outlook report</w:t>
            </w:r>
          </w:p>
        </w:tc>
      </w:tr>
    </w:tbl>
    <w:p w:rsidR="000B5C96" w:rsidRPr="0098479A" w:rsidRDefault="000B5C96" w:rsidP="003F606A">
      <w:pPr>
        <w:pStyle w:val="CostingsH7"/>
      </w:pPr>
      <w:r w:rsidRPr="0098479A">
        <w:t>Costing overview</w:t>
      </w:r>
    </w:p>
    <w:p w:rsidR="000B5C96" w:rsidRPr="0098479A" w:rsidRDefault="000B5C96" w:rsidP="003F606A">
      <w:pPr>
        <w:pStyle w:val="BodyText"/>
      </w:pPr>
      <w:r w:rsidRPr="0098479A">
        <w:t>This proposal would be expected to decrease the fiscal and underlying cash balances by $1,430.4 million over the 2016-17 Budget forward estimates period.  This impact is entirely due to an increase in administered expenses.  The proposal would not have an impact beyond the 2016</w:t>
      </w:r>
      <w:r w:rsidRPr="0098479A">
        <w:noBreakHyphen/>
        <w:t>17 Budget forward estimates period as the proposed funding increase would terminate in 2019-20.</w:t>
      </w:r>
    </w:p>
    <w:p w:rsidR="000B5C96" w:rsidRPr="0098479A" w:rsidRDefault="000B5C96" w:rsidP="003F606A">
      <w:pPr>
        <w:pStyle w:val="BodyText"/>
      </w:pPr>
      <w:r w:rsidRPr="0098479A">
        <w:t>The proposal would not be expected to involve additional departmental expenses, as the proposal relates to increasing existing payments under an existing program.</w:t>
      </w:r>
    </w:p>
    <w:p w:rsidR="000B5C96" w:rsidRDefault="000B5C96" w:rsidP="003F606A">
      <w:pPr>
        <w:pStyle w:val="BodyText"/>
        <w:rPr>
          <w:lang w:eastAsia="en-AU"/>
        </w:rPr>
      </w:pPr>
      <w:r w:rsidRPr="0098479A">
        <w:rPr>
          <w:lang w:eastAsia="en-AU"/>
        </w:rPr>
        <w:t>This costing is considered to be of high reliability as it is based on a specified increase in administered expenses.</w:t>
      </w:r>
    </w:p>
    <w:p w:rsidR="000B5C96" w:rsidRPr="004E2F47" w:rsidRDefault="000B5C96" w:rsidP="003F606A">
      <w:pPr>
        <w:pStyle w:val="Caption"/>
      </w:pPr>
      <w:r w:rsidRPr="004E2F47">
        <w:t>Table 1: Financial implications (outturn prices)</w:t>
      </w:r>
      <w:r w:rsidRPr="004E2F47">
        <w:rPr>
          <w:vertAlign w:val="superscript"/>
        </w:rPr>
        <w:t>(a)(b)</w:t>
      </w:r>
    </w:p>
    <w:tbl>
      <w:tblPr>
        <w:tblStyle w:val="TableGrid16"/>
        <w:tblW w:w="4993" w:type="pct"/>
        <w:tblLook w:val="04A0" w:firstRow="1" w:lastRow="0" w:firstColumn="1" w:lastColumn="0" w:noHBand="0" w:noVBand="1"/>
      </w:tblPr>
      <w:tblGrid>
        <w:gridCol w:w="2644"/>
        <w:gridCol w:w="1133"/>
        <w:gridCol w:w="1134"/>
        <w:gridCol w:w="1134"/>
        <w:gridCol w:w="1134"/>
        <w:gridCol w:w="1132"/>
      </w:tblGrid>
      <w:tr w:rsidR="000B5C96" w:rsidRPr="004E2F47"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keepNext/>
              <w:keepLines/>
              <w:spacing w:line="240" w:lineRule="auto"/>
              <w:ind w:left="57" w:right="57"/>
              <w:rPr>
                <w:rFonts w:asciiTheme="minorHAnsi" w:eastAsia="Calibri" w:hAnsiTheme="minorHAnsi"/>
                <w:szCs w:val="20"/>
              </w:rPr>
            </w:pPr>
            <w:r w:rsidRPr="004E2F47">
              <w:rPr>
                <w:rFonts w:asciiTheme="minorHAnsi" w:eastAsia="Calibri" w:hAnsiTheme="minorHAnsi"/>
                <w:szCs w:val="20"/>
              </w:rPr>
              <w:t>Impact on ($m)</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Cs w:val="20"/>
              </w:rPr>
            </w:pPr>
            <w:r w:rsidRPr="004E2F47">
              <w:rPr>
                <w:rFonts w:asciiTheme="minorHAnsi" w:eastAsia="Calibri" w:hAnsiTheme="minorHAnsi"/>
                <w:szCs w:val="20"/>
              </w:rPr>
              <w:t>2016–17</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Cs w:val="20"/>
              </w:rPr>
            </w:pPr>
            <w:r w:rsidRPr="004E2F47">
              <w:rPr>
                <w:rFonts w:asciiTheme="minorHAnsi" w:eastAsia="Calibri" w:hAnsiTheme="minorHAnsi"/>
                <w:szCs w:val="20"/>
              </w:rPr>
              <w:t>2017–18</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Cs w:val="20"/>
              </w:rPr>
            </w:pPr>
            <w:r w:rsidRPr="004E2F47">
              <w:rPr>
                <w:rFonts w:asciiTheme="minorHAnsi" w:eastAsia="Calibri" w:hAnsiTheme="minorHAnsi"/>
                <w:szCs w:val="20"/>
              </w:rPr>
              <w:t>2018–19</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Cs w:val="20"/>
              </w:rPr>
            </w:pPr>
            <w:r w:rsidRPr="004E2F47">
              <w:rPr>
                <w:rFonts w:asciiTheme="minorHAnsi" w:eastAsia="Calibri" w:hAnsiTheme="minorHAnsi"/>
                <w:szCs w:val="20"/>
              </w:rPr>
              <w:t>2019–20</w:t>
            </w:r>
          </w:p>
        </w:tc>
        <w:tc>
          <w:tcPr>
            <w:tcW w:w="681"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Cs w:val="20"/>
              </w:rPr>
            </w:pPr>
            <w:r w:rsidRPr="004E2F47">
              <w:rPr>
                <w:rFonts w:asciiTheme="minorHAnsi" w:eastAsia="Calibri" w:hAnsiTheme="minorHAnsi"/>
                <w:szCs w:val="20"/>
              </w:rPr>
              <w:t>Total</w:t>
            </w:r>
          </w:p>
        </w:tc>
      </w:tr>
      <w:tr w:rsidR="000B5C96" w:rsidRPr="004E2F4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keepNext/>
              <w:keepLines/>
              <w:ind w:left="57" w:right="57"/>
              <w:rPr>
                <w:rFonts w:asciiTheme="minorHAnsi" w:hAnsiTheme="minorHAnsi"/>
                <w:szCs w:val="20"/>
              </w:rPr>
            </w:pPr>
            <w:r w:rsidRPr="004E2F47">
              <w:rPr>
                <w:rFonts w:asciiTheme="minorHAnsi" w:hAnsiTheme="minorHAnsi"/>
                <w:szCs w:val="20"/>
              </w:rPr>
              <w:t>Fiscal balance</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szCs w:val="20"/>
              </w:rPr>
            </w:pPr>
            <w:r w:rsidRPr="004E2F47">
              <w:rPr>
                <w:rFonts w:eastAsia="Calibri"/>
                <w:szCs w:val="20"/>
              </w:rPr>
              <w:t>-311.0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szCs w:val="20"/>
              </w:rPr>
            </w:pPr>
            <w:r w:rsidRPr="004E2F47">
              <w:rPr>
                <w:rFonts w:eastAsia="Calibri"/>
                <w:szCs w:val="20"/>
              </w:rPr>
              <w:t>-373.1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szCs w:val="20"/>
              </w:rPr>
            </w:pPr>
            <w:r w:rsidRPr="004E2F47">
              <w:rPr>
                <w:rFonts w:eastAsia="Calibri"/>
                <w:szCs w:val="20"/>
              </w:rPr>
              <w:t>-373.1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szCs w:val="20"/>
              </w:rPr>
            </w:pPr>
            <w:r w:rsidRPr="004E2F47">
              <w:rPr>
                <w:rFonts w:eastAsia="Calibri"/>
                <w:szCs w:val="20"/>
              </w:rPr>
              <w:t>-373.1</w:t>
            </w:r>
          </w:p>
        </w:tc>
        <w:tc>
          <w:tcPr>
            <w:tcW w:w="681"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szCs w:val="20"/>
              </w:rPr>
            </w:pPr>
            <w:r w:rsidRPr="004E2F47">
              <w:rPr>
                <w:rFonts w:eastAsia="Calibri"/>
                <w:b/>
                <w:szCs w:val="20"/>
              </w:rPr>
              <w:t>-1,430.4</w:t>
            </w:r>
          </w:p>
        </w:tc>
      </w:tr>
      <w:tr w:rsidR="000B5C96" w:rsidRPr="004E2F47"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keepNext/>
              <w:keepLines/>
              <w:ind w:left="57" w:right="57"/>
              <w:rPr>
                <w:rFonts w:asciiTheme="minorHAnsi" w:hAnsiTheme="minorHAnsi"/>
                <w:szCs w:val="20"/>
              </w:rPr>
            </w:pPr>
            <w:r w:rsidRPr="004E2F47">
              <w:rPr>
                <w:rFonts w:asciiTheme="minorHAnsi" w:hAnsiTheme="minorHAnsi"/>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szCs w:val="20"/>
              </w:rPr>
            </w:pPr>
            <w:r w:rsidRPr="004E2F47">
              <w:rPr>
                <w:rFonts w:eastAsia="Calibri"/>
                <w:szCs w:val="20"/>
              </w:rPr>
              <w:t>-311.0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szCs w:val="20"/>
              </w:rPr>
            </w:pPr>
            <w:r w:rsidRPr="004E2F47">
              <w:rPr>
                <w:rFonts w:eastAsia="Calibri"/>
                <w:szCs w:val="20"/>
              </w:rPr>
              <w:t>-373.1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szCs w:val="20"/>
              </w:rPr>
            </w:pPr>
            <w:r w:rsidRPr="004E2F47">
              <w:rPr>
                <w:rFonts w:eastAsia="Calibri"/>
                <w:szCs w:val="20"/>
              </w:rPr>
              <w:t>-373.1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szCs w:val="20"/>
              </w:rPr>
            </w:pPr>
            <w:r w:rsidRPr="004E2F47">
              <w:rPr>
                <w:rFonts w:eastAsia="Calibri"/>
                <w:szCs w:val="20"/>
              </w:rPr>
              <w:t>-373.1</w:t>
            </w:r>
          </w:p>
        </w:tc>
        <w:tc>
          <w:tcPr>
            <w:tcW w:w="681" w:type="pct"/>
            <w:tcBorders>
              <w:top w:val="single" w:sz="4" w:space="0" w:color="788184"/>
              <w:left w:val="single" w:sz="4" w:space="0" w:color="788184"/>
              <w:bottom w:val="single" w:sz="4" w:space="0" w:color="788184"/>
              <w:right w:val="single" w:sz="4" w:space="0" w:color="788184"/>
            </w:tcBorders>
            <w:hideMark/>
          </w:tcPr>
          <w:p w:rsidR="000B5C96" w:rsidRPr="004E2F4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4E2F47">
              <w:rPr>
                <w:rFonts w:eastAsia="Calibri"/>
                <w:b/>
                <w:szCs w:val="20"/>
              </w:rPr>
              <w:t>-1,430.4</w:t>
            </w:r>
          </w:p>
        </w:tc>
      </w:tr>
    </w:tbl>
    <w:p w:rsidR="000B5C96" w:rsidRDefault="000B5C96" w:rsidP="009C7B5B">
      <w:pPr>
        <w:pStyle w:val="Footnotes"/>
        <w:numPr>
          <w:ilvl w:val="0"/>
          <w:numId w:val="232"/>
        </w:numPr>
        <w:ind w:left="284" w:hanging="284"/>
      </w:pPr>
      <w:r w:rsidRPr="00AC35FC">
        <w:t>A positive number indicates an increase in the relevant budget balance, a negative number a decrease.</w:t>
      </w:r>
    </w:p>
    <w:p w:rsidR="000B5C96" w:rsidRPr="00AC35FC" w:rsidRDefault="000B5C96" w:rsidP="000B5C96">
      <w:pPr>
        <w:pStyle w:val="Footnotes"/>
        <w:numPr>
          <w:ilvl w:val="0"/>
          <w:numId w:val="7"/>
        </w:numPr>
        <w:ind w:left="284" w:hanging="284"/>
      </w:pPr>
      <w:r>
        <w:t>Figures may not sum to totals due to rounding.</w:t>
      </w:r>
    </w:p>
    <w:p w:rsidR="000B5C96" w:rsidRPr="004E2F47" w:rsidRDefault="000B5C96" w:rsidP="003F606A">
      <w:pPr>
        <w:pStyle w:val="CostingsH7"/>
      </w:pPr>
      <w:r w:rsidRPr="004E2F47">
        <w:t>Key assumptions</w:t>
      </w:r>
    </w:p>
    <w:p w:rsidR="000B5C96" w:rsidRPr="004E2F47" w:rsidRDefault="000B5C96" w:rsidP="003F606A">
      <w:pPr>
        <w:pStyle w:val="BodyText"/>
      </w:pPr>
      <w:r w:rsidRPr="004E2F47">
        <w:t>In costing this proposal it has been assumed that the first year impact would reflect the remainder of 2016-17 from 1 September 2016.</w:t>
      </w:r>
    </w:p>
    <w:p w:rsidR="000B5C96" w:rsidRPr="0098479A" w:rsidRDefault="000B5C96" w:rsidP="003F606A">
      <w:pPr>
        <w:spacing w:before="114" w:after="114"/>
        <w:rPr>
          <w:rFonts w:ascii="Calibri" w:eastAsia="Calibri" w:hAnsi="Calibri" w:cs="Times New Roman"/>
        </w:rPr>
      </w:pPr>
    </w:p>
    <w:p w:rsidR="000B5C96" w:rsidRPr="0098479A" w:rsidRDefault="000B5C96" w:rsidP="003F606A">
      <w:pPr>
        <w:pStyle w:val="BodyText"/>
        <w:sectPr w:rsidR="000B5C96" w:rsidRPr="0098479A"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71" w:name="_Toc458001965"/>
      <w:bookmarkStart w:id="172" w:name="_Toc458069450"/>
      <w:r>
        <w:t>GRN056: Supporting our Videogame Creators</w:t>
      </w:r>
      <w:bookmarkEnd w:id="171"/>
      <w:bookmarkEnd w:id="172"/>
    </w:p>
    <w:p w:rsidR="000B5C96" w:rsidRDefault="000B5C96" w:rsidP="003F606A">
      <w:pPr>
        <w:pStyle w:val="BodyText"/>
      </w:pPr>
      <w:r>
        <w:rPr>
          <w:noProof/>
          <w:lang w:eastAsia="en-AU"/>
        </w:rPr>
        <w:drawing>
          <wp:inline distT="0" distB="0" distL="0" distR="0" wp14:anchorId="0EA7F244" wp14:editId="5C05DCCA">
            <wp:extent cx="2696845" cy="572135"/>
            <wp:effectExtent l="0" t="0" r="8255" b="0"/>
            <wp:docPr id="467" name="Picture 46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1A6EE2" w:rsidRDefault="000B5C96" w:rsidP="000B5C96">
      <w:pPr>
        <w:pStyle w:val="Heading6"/>
        <w:numPr>
          <w:ilvl w:val="0"/>
          <w:numId w:val="5"/>
        </w:numPr>
        <w:tabs>
          <w:tab w:val="right" w:pos="1418"/>
          <w:tab w:val="right" w:pos="1701"/>
          <w:tab w:val="right" w:pos="1985"/>
        </w:tabs>
      </w:pPr>
      <w:r w:rsidRPr="001A6EE2">
        <w:t>Policy costing—during the caretaker period for the 2016 general election</w:t>
      </w:r>
    </w:p>
    <w:tbl>
      <w:tblPr>
        <w:tblStyle w:val="Style12"/>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Name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Supporting our Australian Videogames Industry</w:t>
            </w:r>
          </w:p>
        </w:tc>
      </w:tr>
      <w:tr w:rsidR="000B5C96" w:rsidRPr="001A6EE2"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Summary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The proposal has three components that would provide support for Australia’s videogames industry by:</w:t>
            </w:r>
          </w:p>
          <w:p w:rsidR="000B5C96" w:rsidRPr="001A6EE2" w:rsidRDefault="000B5C96" w:rsidP="003F606A">
            <w:pPr>
              <w:pStyle w:val="PullOutBoxBodyText"/>
              <w:rPr>
                <w:u w:val="single"/>
              </w:rPr>
            </w:pPr>
            <w:r w:rsidRPr="001A6EE2">
              <w:rPr>
                <w:u w:val="single"/>
              </w:rPr>
              <w:t>Component 1: Reinstating the Australian Interactive Games Fund (AIGF)</w:t>
            </w:r>
          </w:p>
          <w:p w:rsidR="000B5C96" w:rsidRPr="00564A0F" w:rsidRDefault="000B5C96" w:rsidP="000B5C96">
            <w:pPr>
              <w:pStyle w:val="PullOutBoxBullet"/>
              <w:numPr>
                <w:ilvl w:val="0"/>
                <w:numId w:val="2"/>
              </w:numPr>
              <w:ind w:left="397"/>
            </w:pPr>
            <w:r w:rsidRPr="00564A0F">
              <w:t xml:space="preserve">reinstating the AIGF with $20 million of funding, and include within this a special stream to foster female involvement in the industry </w:t>
            </w:r>
          </w:p>
          <w:p w:rsidR="000B5C96" w:rsidRPr="002E51A9" w:rsidRDefault="000B5C96" w:rsidP="003F606A">
            <w:pPr>
              <w:pStyle w:val="PullOutBoxBodyText"/>
              <w:rPr>
                <w:u w:val="single"/>
              </w:rPr>
            </w:pPr>
            <w:r w:rsidRPr="002E51A9">
              <w:rPr>
                <w:u w:val="single"/>
              </w:rPr>
              <w:t>Component 2: Extending access to the Producer Tax Offset</w:t>
            </w:r>
          </w:p>
          <w:p w:rsidR="000B5C96" w:rsidRPr="00564A0F" w:rsidRDefault="000B5C96" w:rsidP="000B5C96">
            <w:pPr>
              <w:pStyle w:val="PullOutBoxBullet"/>
              <w:numPr>
                <w:ilvl w:val="0"/>
                <w:numId w:val="2"/>
              </w:numPr>
              <w:ind w:left="397"/>
            </w:pPr>
            <w:r w:rsidRPr="00564A0F">
              <w:t>extending access to the Producer Tax Offset to game producers at 40 per cent of eligible expenditure</w:t>
            </w:r>
          </w:p>
          <w:p w:rsidR="000B5C96" w:rsidRPr="002E51A9" w:rsidRDefault="000B5C96" w:rsidP="003F606A">
            <w:pPr>
              <w:pStyle w:val="PullOutBoxBodyText"/>
              <w:rPr>
                <w:u w:val="single"/>
              </w:rPr>
            </w:pPr>
            <w:r w:rsidRPr="002E51A9">
              <w:rPr>
                <w:u w:val="single"/>
              </w:rPr>
              <w:t>Component 3: Establishing shared working spaces</w:t>
            </w:r>
          </w:p>
          <w:p w:rsidR="000B5C96" w:rsidRPr="00564A0F" w:rsidRDefault="000B5C96" w:rsidP="000B5C96">
            <w:pPr>
              <w:pStyle w:val="PullOutBoxBullet"/>
              <w:numPr>
                <w:ilvl w:val="0"/>
                <w:numId w:val="2"/>
              </w:numPr>
              <w:ind w:left="397"/>
            </w:pPr>
            <w:r w:rsidRPr="00564A0F">
              <w:t>providing $5 million to establish shared working spaces for developers and publishers.</w:t>
            </w:r>
          </w:p>
          <w:p w:rsidR="000B5C96" w:rsidRPr="00564A0F" w:rsidRDefault="000B5C96" w:rsidP="003F606A">
            <w:pPr>
              <w:pStyle w:val="PullOutBoxBodyText"/>
            </w:pPr>
            <w:r w:rsidRPr="00564A0F">
              <w:t>Components 1 and 3 would have effect from 1 July 2017, component 2 would have effect from 1 September 2016.</w:t>
            </w:r>
          </w:p>
        </w:tc>
      </w:tr>
      <w:tr w:rsidR="000B5C96" w:rsidRPr="001A6EE2"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Person/party requesting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Senator Di Natale, Australian Greens</w:t>
            </w:r>
          </w:p>
        </w:tc>
      </w:tr>
      <w:tr w:rsidR="000B5C96" w:rsidRPr="001A6EE2"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Date of public release of policy:</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28 June 2016</w:t>
            </w:r>
          </w:p>
          <w:p w:rsidR="000B5C96" w:rsidRPr="001A6EE2" w:rsidRDefault="00E46526" w:rsidP="003F606A">
            <w:pPr>
              <w:pStyle w:val="PullOutBoxBodyText"/>
            </w:pPr>
            <w:hyperlink r:id="rId513" w:history="1">
              <w:r w:rsidR="000B5C96" w:rsidRPr="001A6EE2">
                <w:rPr>
                  <w:color w:val="0000FF"/>
                  <w:u w:val="single"/>
                </w:rPr>
                <w:t>http://greensmps.org.au/content/media-releases/1up-greens-announce-initiative-invest-videogames-industry</w:t>
              </w:r>
            </w:hyperlink>
          </w:p>
        </w:tc>
      </w:tr>
      <w:tr w:rsidR="000B5C96" w:rsidRPr="001A6EE2"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Date costing request received: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30 June 2016</w:t>
            </w:r>
          </w:p>
        </w:tc>
      </w:tr>
      <w:tr w:rsidR="000B5C96" w:rsidRPr="001A6EE2"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Date costing completed: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30 June 2016</w:t>
            </w:r>
          </w:p>
        </w:tc>
      </w:tr>
      <w:tr w:rsidR="000B5C96" w:rsidRPr="001A6EE2"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Expiry date for the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1A6EE2" w:rsidRDefault="000B5C96" w:rsidP="003F606A">
            <w:pPr>
              <w:pStyle w:val="PullOutBoxBodyText"/>
            </w:pPr>
            <w:r w:rsidRPr="001A6EE2">
              <w:t>Release of the next economic and fiscal outlook report</w:t>
            </w:r>
          </w:p>
        </w:tc>
      </w:tr>
    </w:tbl>
    <w:p w:rsidR="000B5C96" w:rsidRDefault="000B5C96" w:rsidP="003F606A">
      <w:pPr>
        <w:pStyle w:val="Heading5"/>
        <w:sectPr w:rsidR="000B5C96" w:rsidSect="008430E8">
          <w:pgSz w:w="11907" w:h="16839" w:code="9"/>
          <w:pgMar w:top="1361" w:right="1797" w:bottom="1474" w:left="1797" w:header="283" w:footer="454" w:gutter="0"/>
          <w:cols w:space="708"/>
          <w:docGrid w:linePitch="360"/>
        </w:sectPr>
      </w:pPr>
    </w:p>
    <w:p w:rsidR="000B5C96" w:rsidRPr="001A6EE2" w:rsidRDefault="000B5C96" w:rsidP="003F606A">
      <w:pPr>
        <w:pStyle w:val="CostingsH7"/>
      </w:pPr>
      <w:r w:rsidRPr="001A6EE2">
        <w:t>Costing overview</w:t>
      </w:r>
    </w:p>
    <w:p w:rsidR="000B5C96" w:rsidRPr="001A6EE2" w:rsidRDefault="000B5C96" w:rsidP="003F606A">
      <w:pPr>
        <w:pStyle w:val="BodyText"/>
      </w:pPr>
      <w:r w:rsidRPr="001A6EE2">
        <w:t>This proposal would be expected to decrease the fiscal balance by $194 million and decrease the underlying cash balance by $149 million over the 2016</w:t>
      </w:r>
      <w:r w:rsidRPr="001A6EE2">
        <w:noBreakHyphen/>
        <w:t xml:space="preserve">17 Budget forward estimates period.  This impact wholly reflects an increase in expenses.  A detailed breakdown of the impact of this proposal is presented at </w:t>
      </w:r>
      <w:r w:rsidRPr="001A6EE2">
        <w:rPr>
          <w:u w:val="single"/>
        </w:rPr>
        <w:t>Attachment A</w:t>
      </w:r>
      <w:r w:rsidRPr="001A6EE2">
        <w:t>.</w:t>
      </w:r>
    </w:p>
    <w:p w:rsidR="000B5C96" w:rsidRPr="001A6EE2" w:rsidRDefault="000B5C96" w:rsidP="003F606A">
      <w:pPr>
        <w:pStyle w:val="BodyText"/>
      </w:pPr>
      <w:r w:rsidRPr="001A6EE2">
        <w:t>The underlying cash balance impact of these proposals differs from the fiscal balance impact because of a timing difference between when videogame productions become eligible to receive the Offset and when the Offset is paid through lodgement of an income tax return to the Australian Taxation Office.</w:t>
      </w:r>
    </w:p>
    <w:p w:rsidR="000B5C96" w:rsidRPr="001A6EE2" w:rsidRDefault="000B5C96" w:rsidP="003F606A">
      <w:pPr>
        <w:pStyle w:val="BodyText"/>
      </w:pPr>
      <w:r w:rsidRPr="001A6EE2">
        <w:t>This proposal would have an ongoing impact that extends beyond the 2016-17 Budget forward estimates period for impacts on the Producer Tax Offset only.</w:t>
      </w:r>
    </w:p>
    <w:p w:rsidR="000B5C96" w:rsidRPr="001A6EE2" w:rsidRDefault="000B5C96" w:rsidP="003F606A">
      <w:pPr>
        <w:pStyle w:val="BodyText"/>
      </w:pPr>
      <w:r w:rsidRPr="001A6EE2">
        <w:t>Departmental expenses arising from reinstating the AIGF and establishing shared work spaces are not expected to be significant and have not been included in this costing.  Departmental expenses arising from extending the Producer Tax Offset to videogame producers have been estimated at $1 million per annum.</w:t>
      </w:r>
    </w:p>
    <w:p w:rsidR="000B5C96" w:rsidRPr="001A6EE2" w:rsidRDefault="000B5C96" w:rsidP="003F606A">
      <w:pPr>
        <w:pStyle w:val="BodyText"/>
        <w:rPr>
          <w:lang w:eastAsia="en-AU"/>
        </w:rPr>
      </w:pPr>
      <w:r w:rsidRPr="001A6EE2">
        <w:rPr>
          <w:lang w:eastAsia="en-AU"/>
        </w:rPr>
        <w:t>The Producer Tax Offset component of this costing is considered to be of low reliability due to a lack of historical data and uncertainty surrounding behavioural assumptions.</w:t>
      </w:r>
    </w:p>
    <w:p w:rsidR="000B5C96" w:rsidRPr="001A6EE2" w:rsidRDefault="000B5C96" w:rsidP="003F606A">
      <w:pPr>
        <w:pStyle w:val="BodyText"/>
      </w:pPr>
      <w:r w:rsidRPr="001A6EE2">
        <w:rPr>
          <w:lang w:eastAsia="en-AU"/>
        </w:rPr>
        <w:t>The AIGF and support for shared workspaces components of this costing are considered to be of high reliability as the amounts of funding are fixed.  However, no analysis has been undertaken to determine the adequacy of the prescribed funding amounts to achieve the objective of the proposal.</w:t>
      </w:r>
    </w:p>
    <w:p w:rsidR="000B5C96" w:rsidRPr="001A6EE2" w:rsidRDefault="000B5C96" w:rsidP="003F606A">
      <w:pPr>
        <w:pStyle w:val="Caption"/>
      </w:pPr>
      <w:r w:rsidRPr="001A6EE2">
        <w:t>Table 1: Financial implications (outturn prices)</w:t>
      </w:r>
      <w:r w:rsidRPr="001A6EE2">
        <w:rPr>
          <w:vertAlign w:val="superscript"/>
        </w:rPr>
        <w:t>(a)(b)</w:t>
      </w:r>
    </w:p>
    <w:tbl>
      <w:tblPr>
        <w:tblStyle w:val="TableGrid17"/>
        <w:tblW w:w="4993" w:type="pct"/>
        <w:tblLook w:val="04A0" w:firstRow="1" w:lastRow="0" w:firstColumn="1" w:lastColumn="0" w:noHBand="0" w:noVBand="1"/>
      </w:tblPr>
      <w:tblGrid>
        <w:gridCol w:w="2644"/>
        <w:gridCol w:w="1133"/>
        <w:gridCol w:w="1134"/>
        <w:gridCol w:w="1134"/>
        <w:gridCol w:w="1134"/>
        <w:gridCol w:w="1132"/>
      </w:tblGrid>
      <w:tr w:rsidR="000B5C96" w:rsidRPr="00564A0F"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ind w:left="57" w:right="57"/>
              <w:rPr>
                <w:rFonts w:asciiTheme="minorHAnsi" w:eastAsia="Calibri" w:hAnsiTheme="minorHAnsi"/>
              </w:rPr>
            </w:pPr>
            <w:r w:rsidRPr="00564A0F">
              <w:rPr>
                <w:rFonts w:asciiTheme="minorHAnsi" w:eastAsia="Calibri" w:hAnsiTheme="minorHAnsi"/>
              </w:rPr>
              <w:t>Impact on ($m)</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rPr>
            </w:pPr>
            <w:r w:rsidRPr="00564A0F">
              <w:rPr>
                <w:rFonts w:asciiTheme="minorHAnsi" w:eastAsia="Calibri" w:hAnsiTheme="minorHAnsi"/>
              </w:rPr>
              <w:t>2016–17</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rPr>
            </w:pPr>
            <w:r w:rsidRPr="00564A0F">
              <w:rPr>
                <w:rFonts w:asciiTheme="minorHAnsi" w:eastAsia="Calibri" w:hAnsiTheme="minorHAnsi"/>
              </w:rPr>
              <w:t>2017–18</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rPr>
            </w:pPr>
            <w:r w:rsidRPr="00564A0F">
              <w:rPr>
                <w:rFonts w:asciiTheme="minorHAnsi" w:eastAsia="Calibri" w:hAnsiTheme="minorHAnsi"/>
              </w:rPr>
              <w:t>2018–19</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rPr>
            </w:pPr>
            <w:r w:rsidRPr="00564A0F">
              <w:rPr>
                <w:rFonts w:asciiTheme="minorHAnsi" w:eastAsia="Calibri" w:hAnsiTheme="minorHAnsi"/>
              </w:rPr>
              <w:t>2019–20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rPr>
            </w:pPr>
            <w:r w:rsidRPr="00564A0F">
              <w:rPr>
                <w:rFonts w:asciiTheme="minorHAnsi" w:eastAsia="Calibri" w:hAnsiTheme="minorHAnsi"/>
              </w:rPr>
              <w:t>Total</w:t>
            </w:r>
          </w:p>
        </w:tc>
      </w:tr>
      <w:tr w:rsidR="000B5C96" w:rsidRPr="00564A0F"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ind w:left="57" w:right="57"/>
            </w:pPr>
            <w:r w:rsidRPr="00564A0F">
              <w:t>Fiscal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jc w:val="right"/>
              <w:cnfStyle w:val="000000100000" w:firstRow="0" w:lastRow="0" w:firstColumn="0" w:lastColumn="0" w:oddVBand="0" w:evenVBand="0" w:oddHBand="1" w:evenHBand="0" w:firstRowFirstColumn="0" w:firstRowLastColumn="0" w:lastRowFirstColumn="0" w:lastRowLastColumn="0"/>
              <w:rPr>
                <w:szCs w:val="20"/>
              </w:rPr>
            </w:pPr>
            <w:r w:rsidRPr="00564A0F">
              <w:rPr>
                <w:szCs w:val="20"/>
              </w:rPr>
              <w:t>-36.0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jc w:val="right"/>
              <w:cnfStyle w:val="000000100000" w:firstRow="0" w:lastRow="0" w:firstColumn="0" w:lastColumn="0" w:oddVBand="0" w:evenVBand="0" w:oddHBand="1" w:evenHBand="0" w:firstRowFirstColumn="0" w:firstRowLastColumn="0" w:lastRowFirstColumn="0" w:lastRowLastColumn="0"/>
              <w:rPr>
                <w:szCs w:val="20"/>
              </w:rPr>
            </w:pPr>
            <w:r w:rsidRPr="00564A0F">
              <w:rPr>
                <w:szCs w:val="20"/>
              </w:rPr>
              <w:t>-53.0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jc w:val="right"/>
              <w:cnfStyle w:val="000000100000" w:firstRow="0" w:lastRow="0" w:firstColumn="0" w:lastColumn="0" w:oddVBand="0" w:evenVBand="0" w:oddHBand="1" w:evenHBand="0" w:firstRowFirstColumn="0" w:firstRowLastColumn="0" w:lastRowFirstColumn="0" w:lastRowLastColumn="0"/>
              <w:rPr>
                <w:szCs w:val="20"/>
              </w:rPr>
            </w:pPr>
            <w:r w:rsidRPr="00564A0F">
              <w:rPr>
                <w:szCs w:val="20"/>
              </w:rPr>
              <w:t>-53.0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jc w:val="right"/>
              <w:cnfStyle w:val="000000100000" w:firstRow="0" w:lastRow="0" w:firstColumn="0" w:lastColumn="0" w:oddVBand="0" w:evenVBand="0" w:oddHBand="1" w:evenHBand="0" w:firstRowFirstColumn="0" w:firstRowLastColumn="0" w:lastRowFirstColumn="0" w:lastRowLastColumn="0"/>
              <w:rPr>
                <w:szCs w:val="20"/>
              </w:rPr>
            </w:pPr>
            <w:r w:rsidRPr="00564A0F">
              <w:rPr>
                <w:szCs w:val="20"/>
              </w:rPr>
              <w:t>-52.0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jc w:val="right"/>
              <w:cnfStyle w:val="000000100000" w:firstRow="0" w:lastRow="0" w:firstColumn="0" w:lastColumn="0" w:oddVBand="0" w:evenVBand="0" w:oddHBand="1" w:evenHBand="0" w:firstRowFirstColumn="0" w:firstRowLastColumn="0" w:lastRowFirstColumn="0" w:lastRowLastColumn="0"/>
              <w:rPr>
                <w:b/>
                <w:szCs w:val="20"/>
              </w:rPr>
            </w:pPr>
            <w:r w:rsidRPr="00564A0F">
              <w:rPr>
                <w:b/>
                <w:szCs w:val="20"/>
              </w:rPr>
              <w:t>-194.0</w:t>
            </w:r>
          </w:p>
        </w:tc>
      </w:tr>
      <w:tr w:rsidR="000B5C96" w:rsidRPr="00564A0F"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ind w:left="57" w:right="57"/>
            </w:pPr>
            <w:r w:rsidRPr="00564A0F">
              <w:t>Underlying cash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jc w:val="right"/>
              <w:cnfStyle w:val="000000000000" w:firstRow="0" w:lastRow="0" w:firstColumn="0" w:lastColumn="0" w:oddVBand="0" w:evenVBand="0" w:oddHBand="0" w:evenHBand="0" w:firstRowFirstColumn="0" w:firstRowLastColumn="0" w:lastRowFirstColumn="0" w:lastRowLastColumn="0"/>
              <w:rPr>
                <w:szCs w:val="20"/>
              </w:rPr>
            </w:pPr>
            <w:r w:rsidRPr="00564A0F">
              <w:rPr>
                <w:szCs w:val="20"/>
              </w:rPr>
              <w:t>-1.0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jc w:val="right"/>
              <w:cnfStyle w:val="000000000000" w:firstRow="0" w:lastRow="0" w:firstColumn="0" w:lastColumn="0" w:oddVBand="0" w:evenVBand="0" w:oddHBand="0" w:evenHBand="0" w:firstRowFirstColumn="0" w:firstRowLastColumn="0" w:lastRowFirstColumn="0" w:lastRowLastColumn="0"/>
              <w:rPr>
                <w:szCs w:val="20"/>
              </w:rPr>
            </w:pPr>
            <w:r w:rsidRPr="00564A0F">
              <w:rPr>
                <w:szCs w:val="20"/>
              </w:rPr>
              <w:t>-48.0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jc w:val="right"/>
              <w:cnfStyle w:val="000000000000" w:firstRow="0" w:lastRow="0" w:firstColumn="0" w:lastColumn="0" w:oddVBand="0" w:evenVBand="0" w:oddHBand="0" w:evenHBand="0" w:firstRowFirstColumn="0" w:firstRowLastColumn="0" w:lastRowFirstColumn="0" w:lastRowLastColumn="0"/>
              <w:rPr>
                <w:szCs w:val="20"/>
              </w:rPr>
            </w:pPr>
            <w:r w:rsidRPr="00564A0F">
              <w:rPr>
                <w:szCs w:val="20"/>
              </w:rPr>
              <w:t>-48.0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jc w:val="right"/>
              <w:cnfStyle w:val="000000000000" w:firstRow="0" w:lastRow="0" w:firstColumn="0" w:lastColumn="0" w:oddVBand="0" w:evenVBand="0" w:oddHBand="0" w:evenHBand="0" w:firstRowFirstColumn="0" w:firstRowLastColumn="0" w:lastRowFirstColumn="0" w:lastRowLastColumn="0"/>
              <w:rPr>
                <w:szCs w:val="20"/>
              </w:rPr>
            </w:pPr>
            <w:r w:rsidRPr="00564A0F">
              <w:rPr>
                <w:szCs w:val="20"/>
              </w:rPr>
              <w:t>-52.0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564A0F" w:rsidRDefault="000B5C96" w:rsidP="003F606A">
            <w:pPr>
              <w:keepNext/>
              <w:keepLines/>
              <w:spacing w:line="300" w:lineRule="auto"/>
              <w:jc w:val="right"/>
              <w:cnfStyle w:val="000000000000" w:firstRow="0" w:lastRow="0" w:firstColumn="0" w:lastColumn="0" w:oddVBand="0" w:evenVBand="0" w:oddHBand="0" w:evenHBand="0" w:firstRowFirstColumn="0" w:firstRowLastColumn="0" w:lastRowFirstColumn="0" w:lastRowLastColumn="0"/>
              <w:rPr>
                <w:b/>
                <w:szCs w:val="20"/>
              </w:rPr>
            </w:pPr>
            <w:r w:rsidRPr="00564A0F">
              <w:rPr>
                <w:b/>
                <w:szCs w:val="20"/>
              </w:rPr>
              <w:t>-149.0</w:t>
            </w:r>
          </w:p>
        </w:tc>
      </w:tr>
    </w:tbl>
    <w:p w:rsidR="000B5C96" w:rsidRDefault="000B5C96" w:rsidP="00EF0AB6">
      <w:pPr>
        <w:pStyle w:val="Footnotes"/>
        <w:numPr>
          <w:ilvl w:val="0"/>
          <w:numId w:val="233"/>
        </w:numPr>
        <w:ind w:left="284" w:hanging="284"/>
      </w:pPr>
      <w:r w:rsidRPr="000D479A">
        <w:t>A positive number indicates an increase in the relevant budget balance, a negative number a decrease.</w:t>
      </w:r>
    </w:p>
    <w:p w:rsidR="000B5C96" w:rsidRPr="000D479A" w:rsidRDefault="000B5C96" w:rsidP="000B5C96">
      <w:pPr>
        <w:pStyle w:val="Footnotes"/>
        <w:numPr>
          <w:ilvl w:val="0"/>
          <w:numId w:val="7"/>
        </w:numPr>
        <w:ind w:left="284" w:hanging="284"/>
      </w:pPr>
      <w:r w:rsidRPr="000D479A">
        <w:t>Figures may not sum to totals due to rounding.</w:t>
      </w:r>
    </w:p>
    <w:p w:rsidR="000B5C96" w:rsidRPr="001A6EE2" w:rsidRDefault="000B5C96" w:rsidP="003F606A">
      <w:pPr>
        <w:pStyle w:val="CostingsH7"/>
      </w:pPr>
      <w:r w:rsidRPr="001A6EE2">
        <w:t>Key assumptions</w:t>
      </w:r>
    </w:p>
    <w:p w:rsidR="000B5C96" w:rsidRPr="001A6EE2" w:rsidRDefault="000B5C96" w:rsidP="003F606A">
      <w:pPr>
        <w:pStyle w:val="BodyText"/>
        <w:keepNext/>
        <w:keepLines/>
      </w:pPr>
      <w:r w:rsidRPr="001A6EE2">
        <w:t>The Parliamentary Budget Office has made the following assumptions regarding this proposal:</w:t>
      </w:r>
    </w:p>
    <w:p w:rsidR="000B5C96" w:rsidRPr="001A6EE2" w:rsidRDefault="000B5C96" w:rsidP="003F606A">
      <w:pPr>
        <w:pStyle w:val="CostingsH8"/>
        <w:rPr>
          <w:rFonts w:eastAsia="Calibri"/>
        </w:rPr>
      </w:pPr>
      <w:r w:rsidRPr="001A6EE2">
        <w:rPr>
          <w:rFonts w:eastAsia="Calibri"/>
        </w:rPr>
        <w:t>Extend the Producer Tax Offset to videogames</w:t>
      </w:r>
    </w:p>
    <w:p w:rsidR="000B5C96" w:rsidRPr="001A6EE2" w:rsidRDefault="000B5C96" w:rsidP="000B5C96">
      <w:pPr>
        <w:pStyle w:val="ListBullet"/>
        <w:keepNext/>
        <w:numPr>
          <w:ilvl w:val="0"/>
          <w:numId w:val="123"/>
        </w:numPr>
        <w:ind w:left="454" w:hanging="454"/>
        <w:rPr>
          <w:lang w:eastAsia="en-AU"/>
        </w:rPr>
      </w:pPr>
      <w:r w:rsidRPr="001A6EE2">
        <w:rPr>
          <w:lang w:eastAsia="en-AU"/>
        </w:rPr>
        <w:t>All expenditure made in Australia by videogame producers will be eligible for the Offset.</w:t>
      </w:r>
    </w:p>
    <w:p w:rsidR="000B5C96" w:rsidRPr="001A6EE2" w:rsidRDefault="000B5C96" w:rsidP="000B5C96">
      <w:pPr>
        <w:pStyle w:val="ListBullet"/>
        <w:keepNext/>
        <w:numPr>
          <w:ilvl w:val="0"/>
          <w:numId w:val="123"/>
        </w:numPr>
        <w:ind w:left="454" w:hanging="454"/>
        <w:rPr>
          <w:lang w:eastAsia="en-AU"/>
        </w:rPr>
      </w:pPr>
      <w:r w:rsidRPr="001A6EE2">
        <w:rPr>
          <w:lang w:eastAsia="en-AU"/>
        </w:rPr>
        <w:t>The value of qualifying expenditure on videogame production is assumed to grow at the same rate as the consumer price index.</w:t>
      </w:r>
    </w:p>
    <w:p w:rsidR="000B5C96" w:rsidRPr="001A6EE2" w:rsidRDefault="000B5C96" w:rsidP="000B5C96">
      <w:pPr>
        <w:pStyle w:val="ListBullet"/>
        <w:numPr>
          <w:ilvl w:val="0"/>
          <w:numId w:val="123"/>
        </w:numPr>
        <w:ind w:left="454" w:hanging="454"/>
        <w:rPr>
          <w:lang w:eastAsia="en-AU"/>
        </w:rPr>
      </w:pPr>
      <w:r w:rsidRPr="001A6EE2">
        <w:rPr>
          <w:lang w:eastAsia="en-AU"/>
        </w:rPr>
        <w:t>Offset amounts are assumed to be claimed by companies in the year following the completion of production.</w:t>
      </w:r>
    </w:p>
    <w:p w:rsidR="000B5C96" w:rsidRPr="001A6EE2" w:rsidRDefault="000B5C96" w:rsidP="000B5C96">
      <w:pPr>
        <w:pStyle w:val="ListBullet"/>
        <w:numPr>
          <w:ilvl w:val="0"/>
          <w:numId w:val="123"/>
        </w:numPr>
        <w:ind w:left="454" w:hanging="454"/>
        <w:rPr>
          <w:lang w:eastAsia="en-AU"/>
        </w:rPr>
      </w:pPr>
      <w:r w:rsidRPr="001A6EE2">
        <w:rPr>
          <w:lang w:eastAsia="en-AU"/>
        </w:rPr>
        <w:t xml:space="preserve">A behavioural response to the proposal is assumed to increase the amount of qualifying expenditure on videogame production.  This response is based on the effective fall in production costs as a result of this proposal.  </w:t>
      </w:r>
    </w:p>
    <w:p w:rsidR="000B5C96" w:rsidRPr="001A6EE2" w:rsidRDefault="000B5C96" w:rsidP="000B5C96">
      <w:pPr>
        <w:pStyle w:val="ListBullet"/>
        <w:numPr>
          <w:ilvl w:val="0"/>
          <w:numId w:val="123"/>
        </w:numPr>
        <w:ind w:left="454" w:hanging="454"/>
        <w:rPr>
          <w:lang w:eastAsia="en-AU"/>
        </w:rPr>
      </w:pPr>
      <w:r w:rsidRPr="001A6EE2">
        <w:rPr>
          <w:lang w:eastAsia="en-AU"/>
        </w:rPr>
        <w:t xml:space="preserve">It has been assumed that the Producer Tax Offset for videogames will be administered in a similar way to the current Producer Tax Offset for feature films.  </w:t>
      </w:r>
    </w:p>
    <w:p w:rsidR="000B5C96" w:rsidRPr="001A6EE2" w:rsidRDefault="000B5C96" w:rsidP="003F606A">
      <w:pPr>
        <w:pStyle w:val="CostingsH7"/>
      </w:pPr>
      <w:r w:rsidRPr="001A6EE2">
        <w:t>Methodology</w:t>
      </w:r>
    </w:p>
    <w:p w:rsidR="000B5C96" w:rsidRPr="001A6EE2" w:rsidRDefault="000B5C96" w:rsidP="003F606A">
      <w:pPr>
        <w:pStyle w:val="BodyText"/>
      </w:pPr>
      <w:r w:rsidRPr="001A6EE2">
        <w:t>Increased expenditure on the Producer Tax Offset was calculated by applying the proposed rate to estimated expenditure on videogame production in Australia, adjusted to take into account the behavioural response.</w:t>
      </w:r>
    </w:p>
    <w:p w:rsidR="000B5C96" w:rsidRPr="001A6EE2" w:rsidRDefault="000B5C96" w:rsidP="003F606A">
      <w:pPr>
        <w:pStyle w:val="BodyText"/>
      </w:pPr>
      <w:r w:rsidRPr="001A6EE2">
        <w:t>AIGF funding is equal to the amount specified in the request, divided equally from the start date of the policy to the end of the forward estimates period.  The funding for shared workspaces is a one</w:t>
      </w:r>
      <w:r w:rsidRPr="001A6EE2">
        <w:noBreakHyphen/>
        <w:t>off impact in the first year of the proposal.</w:t>
      </w:r>
    </w:p>
    <w:p w:rsidR="000B5C96" w:rsidRPr="001A6EE2" w:rsidRDefault="000B5C96" w:rsidP="003F606A">
      <w:pPr>
        <w:pStyle w:val="BodyText"/>
      </w:pPr>
      <w:r w:rsidRPr="001A6EE2">
        <w:t>Producer Tax Offset estimates are rounded to the nearest $5 million; AIGF funding and funding for shared work spaces are rounded to the nearest $1 million.</w:t>
      </w:r>
    </w:p>
    <w:p w:rsidR="000B5C96" w:rsidRPr="001A6EE2" w:rsidRDefault="000B5C96" w:rsidP="003F606A">
      <w:pPr>
        <w:pStyle w:val="CostingsH7"/>
      </w:pPr>
      <w:r w:rsidRPr="001A6EE2">
        <w:t>Data sources</w:t>
      </w:r>
    </w:p>
    <w:p w:rsidR="000B5C96" w:rsidRPr="001A6EE2" w:rsidRDefault="000B5C96" w:rsidP="003F606A">
      <w:pPr>
        <w:pStyle w:val="BodyText"/>
      </w:pPr>
      <w:r w:rsidRPr="001A6EE2">
        <w:t>Australian Bureau of Statistics, 8679 – Film, Television and Digital Games 2011-12.</w:t>
      </w:r>
    </w:p>
    <w:p w:rsidR="000B5C96" w:rsidRPr="001A6EE2" w:rsidRDefault="000B5C96" w:rsidP="003F606A">
      <w:pPr>
        <w:pStyle w:val="BodyText"/>
      </w:pP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Pr="008F76A4" w:rsidRDefault="000B5C96" w:rsidP="000B5C96">
      <w:pPr>
        <w:pStyle w:val="Heading6"/>
        <w:numPr>
          <w:ilvl w:val="0"/>
          <w:numId w:val="5"/>
        </w:numPr>
        <w:tabs>
          <w:tab w:val="right" w:pos="1418"/>
          <w:tab w:val="right" w:pos="1701"/>
          <w:tab w:val="right" w:pos="1985"/>
        </w:tabs>
      </w:pPr>
      <w:r w:rsidRPr="008F76A4">
        <w:t>Attachment A: Supporting our Australian Videogames Industry—financial implications</w:t>
      </w:r>
    </w:p>
    <w:p w:rsidR="000B5C96" w:rsidRPr="008F76A4" w:rsidRDefault="000B5C96" w:rsidP="003F606A">
      <w:pPr>
        <w:pStyle w:val="BodyText"/>
      </w:pPr>
      <w:r w:rsidRPr="008F76A4">
        <w:t>The following tables provide a breakdown of the estimated financial impacts of the proposal over the forward estimates period on an underlying cash and fiscal balance basis.</w:t>
      </w:r>
    </w:p>
    <w:p w:rsidR="000B5C96" w:rsidRPr="008F76A4" w:rsidRDefault="000B5C96" w:rsidP="003F606A">
      <w:pPr>
        <w:pStyle w:val="Caption"/>
        <w:rPr>
          <w:vertAlign w:val="superscript"/>
        </w:rPr>
      </w:pPr>
      <w:r w:rsidRPr="008F76A4">
        <w:t>Table A1: Supporting our Australian Videogames Industry—Fiscal balance</w:t>
      </w:r>
      <w:r w:rsidRPr="008F76A4">
        <w:rPr>
          <w:vertAlign w:val="superscript"/>
        </w:rPr>
        <w:t>(a)(b)</w:t>
      </w:r>
    </w:p>
    <w:tbl>
      <w:tblPr>
        <w:tblStyle w:val="TableGrid18"/>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8F76A4"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spacing w:line="240" w:lineRule="auto"/>
              <w:ind w:left="57" w:right="57"/>
              <w:rPr>
                <w:rFonts w:asciiTheme="minorHAnsi" w:eastAsia="Calibri" w:hAnsiTheme="minorHAnsi"/>
                <w:b/>
              </w:rPr>
            </w:pPr>
            <w:r w:rsidRPr="008F76A4">
              <w:rPr>
                <w:rFonts w:asciiTheme="minorHAnsi" w:eastAsia="Calibri" w:hAnsiTheme="minorHAnsi"/>
              </w:rPr>
              <w:t>Impact arising from ($m)</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8F76A4">
              <w:rPr>
                <w:rFonts w:asciiTheme="minorHAnsi" w:hAnsiTheme="minorHAnsi"/>
              </w:rPr>
              <w:t>2016–17</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8F76A4">
              <w:rPr>
                <w:rFonts w:asciiTheme="minorHAnsi" w:hAnsiTheme="minorHAnsi"/>
              </w:rPr>
              <w:t>2017–18</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8F76A4">
              <w:rPr>
                <w:rFonts w:asciiTheme="minorHAnsi" w:hAnsiTheme="minorHAnsi"/>
              </w:rPr>
              <w:t>2018–19</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8F76A4">
              <w:rPr>
                <w:rFonts w:asciiTheme="minorHAnsi" w:hAnsiTheme="minorHAnsi"/>
              </w:rPr>
              <w:t>2019–20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hAnsiTheme="minorHAnsi"/>
                <w:b/>
                <w:vertAlign w:val="superscript"/>
              </w:rPr>
            </w:pPr>
            <w:r w:rsidRPr="008F76A4">
              <w:rPr>
                <w:rFonts w:asciiTheme="minorHAnsi" w:hAnsiTheme="minorHAnsi"/>
                <w:b/>
              </w:rPr>
              <w:t>Total to 2019–20</w:t>
            </w:r>
          </w:p>
        </w:tc>
      </w:tr>
      <w:tr w:rsidR="000B5C96" w:rsidRPr="008F76A4"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8F76A4" w:rsidRDefault="000B5C96" w:rsidP="003F606A">
            <w:pPr>
              <w:ind w:left="57" w:right="57"/>
              <w:rPr>
                <w:rFonts w:asciiTheme="minorHAnsi" w:eastAsia="Calibri" w:hAnsiTheme="minorHAnsi"/>
                <w:b/>
                <w:i/>
              </w:rPr>
            </w:pPr>
            <w:r w:rsidRPr="008F76A4">
              <w:rPr>
                <w:rFonts w:asciiTheme="minorHAnsi" w:eastAsia="Calibri" w:hAnsiTheme="minorHAnsi"/>
                <w:i/>
              </w:rPr>
              <w:t>Expenses</w:t>
            </w:r>
          </w:p>
        </w:tc>
      </w:tr>
      <w:tr w:rsidR="000B5C96" w:rsidRPr="008F76A4"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rPr>
                <w:rFonts w:asciiTheme="minorHAnsi" w:hAnsiTheme="minorHAnsi"/>
                <w:b/>
              </w:rPr>
            </w:pPr>
            <w:r w:rsidRPr="008F76A4">
              <w:rPr>
                <w:rFonts w:asciiTheme="minorHAnsi" w:hAnsiTheme="minorHAnsi"/>
                <w:b/>
              </w:rPr>
              <w:t>Administered</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-35.0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-52.0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-52.0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-51.0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-190.0</w:t>
            </w:r>
          </w:p>
        </w:tc>
      </w:tr>
      <w:tr w:rsidR="000B5C96" w:rsidRPr="008F76A4"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rPr>
                <w:rFonts w:asciiTheme="minorHAnsi" w:hAnsiTheme="minorHAnsi"/>
                <w:i/>
              </w:rPr>
            </w:pPr>
            <w:r w:rsidRPr="008F76A4">
              <w:rPr>
                <w:rFonts w:asciiTheme="minorHAnsi" w:hAnsiTheme="minorHAnsi"/>
                <w:i/>
              </w:rPr>
              <w:t>Reinstating the AIGF</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-7.0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-7.0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-6.0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i/>
                <w:szCs w:val="20"/>
              </w:rPr>
            </w:pPr>
            <w:r w:rsidRPr="008F76A4">
              <w:rPr>
                <w:rFonts w:eastAsia="Calibri"/>
                <w:b/>
                <w:i/>
                <w:szCs w:val="20"/>
              </w:rPr>
              <w:t>-20.0</w:t>
            </w:r>
          </w:p>
        </w:tc>
      </w:tr>
      <w:tr w:rsidR="000B5C96" w:rsidRPr="008F76A4"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rPr>
                <w:rFonts w:asciiTheme="minorHAnsi" w:hAnsiTheme="minorHAnsi"/>
                <w:i/>
              </w:rPr>
            </w:pPr>
            <w:r w:rsidRPr="008F76A4">
              <w:rPr>
                <w:rFonts w:asciiTheme="minorHAnsi" w:hAnsiTheme="minorHAnsi"/>
                <w:i/>
              </w:rPr>
              <w:t>Extending the Producer Tax Offset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szCs w:val="20"/>
              </w:rPr>
            </w:pPr>
            <w:r w:rsidRPr="008F76A4">
              <w:rPr>
                <w:rFonts w:eastAsia="Calibri"/>
                <w:i/>
                <w:szCs w:val="20"/>
              </w:rPr>
              <w:t>-35.0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szCs w:val="20"/>
              </w:rPr>
            </w:pPr>
            <w:r w:rsidRPr="008F76A4">
              <w:rPr>
                <w:rFonts w:eastAsia="Calibri"/>
                <w:i/>
                <w:szCs w:val="20"/>
              </w:rPr>
              <w:t>-40.0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szCs w:val="20"/>
              </w:rPr>
            </w:pPr>
            <w:r w:rsidRPr="008F76A4">
              <w:rPr>
                <w:rFonts w:eastAsia="Calibri"/>
                <w:i/>
                <w:szCs w:val="20"/>
              </w:rPr>
              <w:t>-45.0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szCs w:val="20"/>
              </w:rPr>
            </w:pPr>
            <w:r w:rsidRPr="008F76A4">
              <w:rPr>
                <w:rFonts w:eastAsia="Calibri"/>
                <w:i/>
                <w:szCs w:val="20"/>
              </w:rPr>
              <w:t>-45.0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i/>
                <w:szCs w:val="20"/>
              </w:rPr>
            </w:pPr>
            <w:r w:rsidRPr="008F76A4">
              <w:rPr>
                <w:rFonts w:eastAsia="Calibri"/>
                <w:b/>
                <w:i/>
                <w:szCs w:val="20"/>
              </w:rPr>
              <w:t>-165.0</w:t>
            </w:r>
          </w:p>
        </w:tc>
      </w:tr>
      <w:tr w:rsidR="000B5C96" w:rsidRPr="008F76A4"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rPr>
                <w:rFonts w:asciiTheme="minorHAnsi" w:hAnsiTheme="minorHAnsi"/>
                <w:i/>
              </w:rPr>
            </w:pPr>
            <w:r w:rsidRPr="008F76A4">
              <w:rPr>
                <w:rFonts w:asciiTheme="minorHAnsi" w:hAnsiTheme="minorHAnsi"/>
                <w:i/>
              </w:rPr>
              <w:t>Establishing shared working spaces</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-5.0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i/>
                <w:szCs w:val="20"/>
              </w:rPr>
            </w:pPr>
            <w:r w:rsidRPr="008F76A4">
              <w:rPr>
                <w:rFonts w:eastAsia="Calibri"/>
                <w:b/>
                <w:i/>
                <w:szCs w:val="20"/>
              </w:rPr>
              <w:t>-5.0</w:t>
            </w:r>
          </w:p>
        </w:tc>
      </w:tr>
      <w:tr w:rsidR="000B5C96" w:rsidRPr="008F76A4"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rPr>
                <w:rFonts w:asciiTheme="minorHAnsi" w:hAnsiTheme="minorHAnsi"/>
                <w:b/>
              </w:rPr>
            </w:pPr>
            <w:r w:rsidRPr="008F76A4">
              <w:rPr>
                <w:rFonts w:asciiTheme="minorHAnsi" w:hAnsiTheme="minorHAnsi"/>
                <w:b/>
              </w:rPr>
              <w:t>Departmental</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-4.0</w:t>
            </w:r>
          </w:p>
        </w:tc>
      </w:tr>
      <w:tr w:rsidR="000B5C96" w:rsidRPr="008F76A4"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rPr>
                <w:rFonts w:asciiTheme="minorHAnsi" w:hAnsiTheme="minorHAnsi"/>
              </w:rPr>
            </w:pPr>
            <w:r w:rsidRPr="008F76A4">
              <w:rPr>
                <w:rFonts w:asciiTheme="minorHAnsi" w:hAnsiTheme="minorHAnsi"/>
                <w:i/>
              </w:rPr>
              <w:t>Extending the Producer Tax Offset</w:t>
            </w:r>
            <w:r w:rsidRPr="008F76A4">
              <w:rPr>
                <w:rFonts w:asciiTheme="minorHAnsi" w:hAnsiTheme="minorHAnsi"/>
              </w:rPr>
              <w:t xml:space="preserve">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szCs w:val="20"/>
              </w:rPr>
            </w:pPr>
            <w:r w:rsidRPr="008F76A4">
              <w:rPr>
                <w:rFonts w:eastAsia="Calibri"/>
                <w:i/>
                <w:szCs w:val="20"/>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i/>
                <w:szCs w:val="20"/>
              </w:rPr>
            </w:pPr>
            <w:r w:rsidRPr="008F76A4">
              <w:rPr>
                <w:rFonts w:eastAsia="Calibri"/>
                <w:b/>
                <w:i/>
                <w:szCs w:val="20"/>
              </w:rPr>
              <w:t>-4.0</w:t>
            </w:r>
          </w:p>
        </w:tc>
      </w:tr>
      <w:tr w:rsidR="000B5C96" w:rsidRPr="008F76A4"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keepNext/>
              <w:keepLines/>
              <w:ind w:left="57" w:right="57"/>
              <w:rPr>
                <w:rFonts w:asciiTheme="minorHAnsi" w:hAnsiTheme="minorHAnsi"/>
                <w:b/>
              </w:rPr>
            </w:pPr>
            <w:r w:rsidRPr="008F76A4">
              <w:rPr>
                <w:rFonts w:asciiTheme="minorHAnsi" w:hAnsiTheme="minorHAnsi"/>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-36.0</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-53.0</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-53.0</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-52.0</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szCs w:val="20"/>
              </w:rPr>
            </w:pPr>
            <w:r w:rsidRPr="008F76A4">
              <w:rPr>
                <w:rFonts w:eastAsia="Calibri"/>
                <w:b/>
                <w:szCs w:val="20"/>
              </w:rPr>
              <w:t>-194.0</w:t>
            </w:r>
          </w:p>
        </w:tc>
      </w:tr>
    </w:tbl>
    <w:p w:rsidR="000B5C96" w:rsidRDefault="000B5C96" w:rsidP="00733F3C">
      <w:pPr>
        <w:pStyle w:val="Footnotes"/>
        <w:numPr>
          <w:ilvl w:val="0"/>
          <w:numId w:val="234"/>
        </w:numPr>
        <w:ind w:left="284" w:hanging="284"/>
      </w:pPr>
      <w:r w:rsidRPr="00F018D0">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F018D0" w:rsidRDefault="000B5C96" w:rsidP="000B5C96">
      <w:pPr>
        <w:pStyle w:val="Footnotes"/>
        <w:numPr>
          <w:ilvl w:val="0"/>
          <w:numId w:val="7"/>
        </w:numPr>
        <w:ind w:left="284" w:hanging="284"/>
      </w:pPr>
      <w:r w:rsidRPr="00F018D0">
        <w:t>Figures may not sum to totals due to rounding.</w:t>
      </w:r>
    </w:p>
    <w:p w:rsidR="000B5C96" w:rsidRPr="008F76A4" w:rsidRDefault="000B5C96" w:rsidP="003F606A">
      <w:pPr>
        <w:pStyle w:val="Caption"/>
        <w:rPr>
          <w:vertAlign w:val="superscript"/>
        </w:rPr>
      </w:pPr>
      <w:r w:rsidRPr="008F76A4">
        <w:t>Table A2: Supporting our Australian Videogames Industry—Underlying cash balance</w:t>
      </w:r>
      <w:r w:rsidRPr="008F76A4">
        <w:rPr>
          <w:vertAlign w:val="superscript"/>
        </w:rPr>
        <w:t>(a)(b)</w:t>
      </w:r>
    </w:p>
    <w:tbl>
      <w:tblPr>
        <w:tblStyle w:val="TableGrid19"/>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8F76A4"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hideMark/>
          </w:tcPr>
          <w:p w:rsidR="000B5C96" w:rsidRPr="008F76A4" w:rsidRDefault="000B5C96" w:rsidP="003F606A">
            <w:pPr>
              <w:keepNext/>
              <w:keepLines/>
              <w:spacing w:line="240" w:lineRule="auto"/>
              <w:ind w:left="57" w:right="57"/>
              <w:rPr>
                <w:rFonts w:asciiTheme="minorHAnsi" w:eastAsia="Calibri" w:hAnsiTheme="minorHAnsi"/>
                <w:b w:val="0"/>
              </w:rPr>
            </w:pPr>
            <w:r w:rsidRPr="008F76A4">
              <w:rPr>
                <w:rFonts w:asciiTheme="minorHAnsi" w:eastAsia="Calibri" w:hAnsiTheme="minorHAnsi"/>
              </w:rPr>
              <w:t>Impact arising from ($m)</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8F76A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F76A4">
              <w:rPr>
                <w:rFonts w:asciiTheme="minorHAnsi" w:hAnsiTheme="minorHAnsi"/>
              </w:rPr>
              <w:t>2016–17</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8F76A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F76A4">
              <w:rPr>
                <w:rFonts w:asciiTheme="minorHAnsi" w:hAnsiTheme="minorHAnsi"/>
              </w:rPr>
              <w:t>2017–18</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8F76A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F76A4">
              <w:rPr>
                <w:rFonts w:asciiTheme="minorHAnsi" w:hAnsiTheme="minorHAnsi"/>
              </w:rPr>
              <w:t>2018–19</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8F76A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F76A4">
              <w:rPr>
                <w:rFonts w:asciiTheme="minorHAnsi" w:hAnsiTheme="minorHAnsi"/>
              </w:rPr>
              <w:t>2019–20</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8F76A4"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hAnsiTheme="minorHAnsi"/>
                <w:b w:val="0"/>
                <w:vertAlign w:val="superscript"/>
              </w:rPr>
            </w:pPr>
            <w:r w:rsidRPr="008F76A4">
              <w:rPr>
                <w:rFonts w:asciiTheme="minorHAnsi" w:hAnsiTheme="minorHAnsi"/>
              </w:rPr>
              <w:t>Total to 2019–20</w:t>
            </w:r>
          </w:p>
        </w:tc>
      </w:tr>
      <w:tr w:rsidR="000B5C96" w:rsidRPr="008F76A4"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8F76A4" w:rsidRDefault="000B5C96" w:rsidP="003F606A">
            <w:pPr>
              <w:keepNext/>
              <w:keepLines/>
              <w:ind w:left="57" w:right="57"/>
              <w:rPr>
                <w:rFonts w:eastAsia="Calibri"/>
                <w:b/>
                <w:i/>
              </w:rPr>
            </w:pPr>
            <w:r w:rsidRPr="008F76A4">
              <w:rPr>
                <w:rFonts w:eastAsia="Calibri"/>
                <w:i/>
              </w:rPr>
              <w:t>Outlays</w:t>
            </w:r>
          </w:p>
        </w:tc>
      </w:tr>
      <w:tr w:rsidR="000B5C96" w:rsidRPr="008F76A4"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rPr>
                <w:b/>
              </w:rPr>
            </w:pPr>
            <w:r w:rsidRPr="008F76A4">
              <w:rPr>
                <w:b/>
              </w:rPr>
              <w:t>Administered</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-47.0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-47.0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-51.0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-145.0</w:t>
            </w:r>
          </w:p>
        </w:tc>
      </w:tr>
      <w:tr w:rsidR="000B5C96" w:rsidRPr="008F76A4"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rPr>
                <w:i/>
              </w:rPr>
            </w:pPr>
            <w:r w:rsidRPr="008F76A4">
              <w:rPr>
                <w:i/>
              </w:rPr>
              <w:t>Reinstating the AIGF</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-7.0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-7.0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-6.0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b/>
                <w:i/>
              </w:rPr>
            </w:pPr>
            <w:r w:rsidRPr="008F76A4">
              <w:rPr>
                <w:rFonts w:eastAsia="Calibri"/>
                <w:b/>
                <w:i/>
              </w:rPr>
              <w:t>-20.0</w:t>
            </w:r>
          </w:p>
        </w:tc>
      </w:tr>
      <w:tr w:rsidR="000B5C96" w:rsidRPr="008F76A4"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rPr>
                <w:i/>
              </w:rPr>
            </w:pPr>
            <w:r w:rsidRPr="008F76A4">
              <w:rPr>
                <w:i/>
              </w:rPr>
              <w:t>Extending the Producer Tax Offset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i/>
              </w:rPr>
            </w:pPr>
            <w:r w:rsidRPr="008F76A4">
              <w:rPr>
                <w:rFonts w:eastAsia="Calibri"/>
                <w:i/>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i/>
              </w:rPr>
            </w:pPr>
            <w:r w:rsidRPr="008F76A4">
              <w:rPr>
                <w:rFonts w:eastAsia="Calibri"/>
                <w:i/>
              </w:rPr>
              <w:t>-35.0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i/>
              </w:rPr>
            </w:pPr>
            <w:r w:rsidRPr="008F76A4">
              <w:rPr>
                <w:rFonts w:eastAsia="Calibri"/>
                <w:i/>
              </w:rPr>
              <w:t>-40.0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i/>
              </w:rPr>
            </w:pPr>
            <w:r w:rsidRPr="008F76A4">
              <w:rPr>
                <w:rFonts w:eastAsia="Calibri"/>
                <w:i/>
              </w:rPr>
              <w:t>-45.0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i/>
              </w:rPr>
            </w:pPr>
            <w:r w:rsidRPr="008F76A4">
              <w:rPr>
                <w:rFonts w:eastAsia="Calibri"/>
                <w:b/>
                <w:i/>
              </w:rPr>
              <w:t>-120.0</w:t>
            </w:r>
          </w:p>
        </w:tc>
      </w:tr>
      <w:tr w:rsidR="000B5C96" w:rsidRPr="008F76A4"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rPr>
                <w:i/>
              </w:rPr>
            </w:pPr>
            <w:r w:rsidRPr="008F76A4">
              <w:rPr>
                <w:i/>
              </w:rPr>
              <w:t>Establishing shared working spaces</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-5.0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b/>
                <w:i/>
              </w:rPr>
            </w:pPr>
            <w:r w:rsidRPr="008F76A4">
              <w:rPr>
                <w:rFonts w:eastAsia="Calibri"/>
                <w:b/>
                <w:i/>
              </w:rPr>
              <w:t>-5.0</w:t>
            </w:r>
          </w:p>
        </w:tc>
      </w:tr>
      <w:tr w:rsidR="000B5C96" w:rsidRPr="008F76A4"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rPr>
                <w:b/>
              </w:rPr>
            </w:pPr>
            <w:r w:rsidRPr="008F76A4">
              <w:rPr>
                <w:b/>
              </w:rPr>
              <w:t>Departmental</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-4.0</w:t>
            </w:r>
          </w:p>
        </w:tc>
      </w:tr>
      <w:tr w:rsidR="000B5C96" w:rsidRPr="008F76A4"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ind w:left="57" w:right="57"/>
            </w:pPr>
            <w:r w:rsidRPr="008F76A4">
              <w:rPr>
                <w:i/>
              </w:rPr>
              <w:t>Extending the Producer Tax Offset</w:t>
            </w:r>
            <w:r w:rsidRPr="008F76A4">
              <w:t xml:space="preserve">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i/>
              </w:rPr>
            </w:pPr>
            <w:r w:rsidRPr="008F76A4">
              <w:rPr>
                <w:rFonts w:eastAsia="Calibri"/>
                <w:i/>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8F76A4"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eastAsia="Calibri"/>
                <w:b/>
                <w:i/>
              </w:rPr>
            </w:pPr>
            <w:r w:rsidRPr="008F76A4">
              <w:rPr>
                <w:rFonts w:eastAsia="Calibri"/>
                <w:b/>
                <w:i/>
              </w:rPr>
              <w:t>-4.0</w:t>
            </w:r>
          </w:p>
        </w:tc>
      </w:tr>
      <w:tr w:rsidR="000B5C96" w:rsidRPr="008F76A4"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keepNext/>
              <w:keepLines/>
              <w:ind w:left="57" w:right="57"/>
              <w:rPr>
                <w:b/>
              </w:rPr>
            </w:pPr>
            <w:r w:rsidRPr="008F76A4">
              <w:rPr>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-1.0</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-48.0</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-48.0</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-52.0</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8F76A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eastAsia="Calibri"/>
                <w:b/>
              </w:rPr>
            </w:pPr>
            <w:r w:rsidRPr="008F76A4">
              <w:rPr>
                <w:rFonts w:eastAsia="Calibri"/>
                <w:b/>
              </w:rPr>
              <w:t>-149.0</w:t>
            </w:r>
          </w:p>
        </w:tc>
      </w:tr>
    </w:tbl>
    <w:p w:rsidR="000B5C96" w:rsidRDefault="000B5C96" w:rsidP="00733F3C">
      <w:pPr>
        <w:pStyle w:val="Footnotes"/>
        <w:keepNext/>
        <w:keepLines/>
        <w:numPr>
          <w:ilvl w:val="0"/>
          <w:numId w:val="235"/>
        </w:numPr>
        <w:ind w:left="284" w:hanging="284"/>
      </w:pPr>
      <w:r w:rsidRPr="00F018D0">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F018D0" w:rsidRDefault="000B5C96" w:rsidP="000B5C96">
      <w:pPr>
        <w:pStyle w:val="Footnotes"/>
        <w:keepNext/>
        <w:keepLines/>
        <w:numPr>
          <w:ilvl w:val="0"/>
          <w:numId w:val="7"/>
        </w:numPr>
        <w:ind w:left="284" w:hanging="284"/>
      </w:pPr>
      <w:r w:rsidRPr="00F018D0">
        <w:t>Figures may not sum to totals due to rounding.</w:t>
      </w:r>
    </w:p>
    <w:p w:rsidR="000B5C96" w:rsidRPr="00F018D0" w:rsidRDefault="000B5C96" w:rsidP="000B5C96">
      <w:pPr>
        <w:pStyle w:val="Footnotes"/>
        <w:numPr>
          <w:ilvl w:val="0"/>
          <w:numId w:val="115"/>
        </w:numPr>
        <w:ind w:left="284" w:hanging="284"/>
      </w:pPr>
      <w:r w:rsidRPr="00F018D0">
        <w:t>Indicates nil.</w:t>
      </w:r>
    </w:p>
    <w:p w:rsidR="000B5C96" w:rsidRPr="008F76A4" w:rsidRDefault="000B5C96" w:rsidP="003F606A">
      <w:pPr>
        <w:pStyle w:val="Footnotes"/>
        <w:numPr>
          <w:ilvl w:val="0"/>
          <w:numId w:val="0"/>
        </w:numPr>
        <w:spacing w:after="114"/>
        <w:ind w:left="284" w:hanging="284"/>
        <w:rPr>
          <w:rFonts w:ascii="Calibri" w:eastAsia="Calibri" w:hAnsi="Calibri" w:cs="Times New Roman"/>
        </w:rPr>
      </w:pPr>
    </w:p>
    <w:p w:rsidR="000B5C96" w:rsidRPr="001A6EE2" w:rsidRDefault="000B5C96" w:rsidP="003F606A">
      <w:pPr>
        <w:pStyle w:val="Heading5"/>
        <w:rPr>
          <w:rFonts w:asciiTheme="minorHAnsi" w:hAnsiTheme="minorHAnsi"/>
        </w:rPr>
        <w:sectPr w:rsidR="000B5C96" w:rsidRPr="001A6EE2"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73" w:name="_Toc458001966"/>
      <w:bookmarkStart w:id="174" w:name="_Toc458069451"/>
      <w:r>
        <w:t>GRN057: Independent Office of Animal Welfare</w:t>
      </w:r>
      <w:bookmarkEnd w:id="173"/>
      <w:bookmarkEnd w:id="174"/>
    </w:p>
    <w:p w:rsidR="000B5C96" w:rsidRDefault="000B5C96" w:rsidP="003F606A">
      <w:pPr>
        <w:pStyle w:val="BodyText"/>
        <w:rPr>
          <w:rFonts w:ascii="Georgia" w:eastAsia="Calibri" w:hAnsi="Georgia"/>
          <w:color w:val="2B3B5F"/>
          <w:spacing w:val="-6"/>
          <w:kern w:val="32"/>
          <w:sz w:val="32"/>
          <w:szCs w:val="32"/>
        </w:rPr>
      </w:pPr>
      <w:r>
        <w:rPr>
          <w:noProof/>
          <w:lang w:eastAsia="en-AU"/>
        </w:rPr>
        <w:drawing>
          <wp:inline distT="0" distB="0" distL="0" distR="0" wp14:anchorId="67F4132A" wp14:editId="19900DAC">
            <wp:extent cx="2696845" cy="572135"/>
            <wp:effectExtent l="0" t="0" r="8255" b="0"/>
            <wp:docPr id="469" name="Picture 46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3E13CC" w:rsidRDefault="000B5C96" w:rsidP="000B5C96">
      <w:pPr>
        <w:pStyle w:val="Heading6"/>
        <w:numPr>
          <w:ilvl w:val="0"/>
          <w:numId w:val="5"/>
        </w:numPr>
        <w:tabs>
          <w:tab w:val="right" w:pos="1418"/>
          <w:tab w:val="right" w:pos="1701"/>
          <w:tab w:val="right" w:pos="1985"/>
        </w:tabs>
        <w:rPr>
          <w:rFonts w:asciiTheme="minorHAnsi" w:hAnsiTheme="minorHAnsi"/>
          <w:color w:val="auto"/>
          <w:spacing w:val="-1"/>
          <w:sz w:val="22"/>
        </w:rPr>
      </w:pPr>
      <w:r w:rsidRPr="003E13CC">
        <w:t>Policy costing—during the caretaker period for the 2016 general election</w:t>
      </w:r>
    </w:p>
    <w:tbl>
      <w:tblPr>
        <w:tblStyle w:val="Style13"/>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Independent Office of Animal Welfare</w:t>
            </w:r>
          </w:p>
        </w:tc>
      </w:tr>
      <w:tr w:rsidR="000B5C96" w:rsidRPr="003E13CC" w:rsidTr="003F606A">
        <w:tc>
          <w:tcPr>
            <w:tcW w:w="3005" w:type="dxa"/>
          </w:tcPr>
          <w:p w:rsidR="000B5C96" w:rsidRPr="003E13CC" w:rsidRDefault="000B5C96" w:rsidP="003F606A">
            <w:pPr>
              <w:pStyle w:val="PullOutBoxBodyText"/>
            </w:pPr>
            <w:r w:rsidRPr="003E13CC">
              <w:t>Summary of proposal:</w:t>
            </w:r>
          </w:p>
        </w:tc>
        <w:tc>
          <w:tcPr>
            <w:tcW w:w="5335" w:type="dxa"/>
          </w:tcPr>
          <w:p w:rsidR="000B5C96" w:rsidRPr="003E13CC" w:rsidRDefault="000B5C96" w:rsidP="003F606A">
            <w:pPr>
              <w:pStyle w:val="PullOutBoxBodyText"/>
            </w:pPr>
            <w:r w:rsidRPr="003E13CC">
              <w:t>The proposal would establish an independent Office of Animal Welfare (the Office) to provide independent and expert advice to government about animal welfare issues; to promote and oversee animal welfare; to investigate complaints; and work to harmonise and improve animal welfare laws across Australia.</w:t>
            </w:r>
          </w:p>
          <w:p w:rsidR="000B5C96" w:rsidRPr="003E13CC" w:rsidRDefault="000B5C96" w:rsidP="003F606A">
            <w:pPr>
              <w:pStyle w:val="PullOutBoxBodyText"/>
            </w:pPr>
            <w:r w:rsidRPr="003E13CC">
              <w:t>Funding for the Office would be offset by an annual reduction of $1 million for existing animal welfare funding within the Department of Agriculture and Water Resources (DAWR).</w:t>
            </w:r>
          </w:p>
          <w:p w:rsidR="000B5C96" w:rsidRPr="003E13CC" w:rsidRDefault="000B5C96" w:rsidP="003F606A">
            <w:pPr>
              <w:pStyle w:val="PullOutBoxBodyText"/>
            </w:pPr>
            <w:r w:rsidRPr="003E13CC">
              <w:t>The proposal would have effect from 1 September 2016.</w:t>
            </w:r>
          </w:p>
        </w:tc>
      </w:tr>
      <w:tr w:rsidR="000B5C96" w:rsidRPr="003E13CC" w:rsidTr="003F606A">
        <w:tc>
          <w:tcPr>
            <w:tcW w:w="3005" w:type="dxa"/>
          </w:tcPr>
          <w:p w:rsidR="000B5C96" w:rsidRPr="003E13CC" w:rsidRDefault="000B5C96" w:rsidP="003F606A">
            <w:pPr>
              <w:pStyle w:val="PullOutBoxBodyText"/>
            </w:pPr>
            <w:r w:rsidRPr="003E13CC">
              <w:t>Person/party requesting costing:</w:t>
            </w:r>
          </w:p>
        </w:tc>
        <w:tc>
          <w:tcPr>
            <w:tcW w:w="5335" w:type="dxa"/>
          </w:tcPr>
          <w:p w:rsidR="000B5C96" w:rsidRPr="003E13CC" w:rsidRDefault="000B5C96" w:rsidP="003F606A">
            <w:pPr>
              <w:pStyle w:val="PullOutBoxBodyText"/>
            </w:pPr>
            <w:r w:rsidRPr="003E13CC">
              <w:t>Senator Richard Di Natale, Australian Greens</w:t>
            </w:r>
          </w:p>
        </w:tc>
      </w:tr>
      <w:tr w:rsidR="000B5C96" w:rsidRPr="003E13CC" w:rsidTr="003F606A">
        <w:tc>
          <w:tcPr>
            <w:tcW w:w="3005" w:type="dxa"/>
          </w:tcPr>
          <w:p w:rsidR="000B5C96" w:rsidRPr="003E13CC" w:rsidRDefault="000B5C96" w:rsidP="003F606A">
            <w:pPr>
              <w:pStyle w:val="PullOutBoxBodyText"/>
            </w:pPr>
            <w:r w:rsidRPr="003E13CC">
              <w:t>Date of public release of policy:</w:t>
            </w:r>
          </w:p>
        </w:tc>
        <w:tc>
          <w:tcPr>
            <w:tcW w:w="5335" w:type="dxa"/>
          </w:tcPr>
          <w:p w:rsidR="000B5C96" w:rsidRPr="003E13CC" w:rsidRDefault="000B5C96" w:rsidP="003F606A">
            <w:pPr>
              <w:pStyle w:val="PullOutBoxBodyText"/>
            </w:pPr>
            <w:r w:rsidRPr="003E13CC">
              <w:t>26 May 2016</w:t>
            </w:r>
          </w:p>
          <w:p w:rsidR="000B5C96" w:rsidRPr="003E13CC" w:rsidRDefault="00E46526" w:rsidP="003F606A">
            <w:pPr>
              <w:pStyle w:val="PullOutBoxBodyText"/>
            </w:pPr>
            <w:hyperlink r:id="rId514" w:history="1">
              <w:r w:rsidR="000B5C96" w:rsidRPr="003E13CC">
                <w:rPr>
                  <w:color w:val="0000FF"/>
                  <w:u w:val="single"/>
                </w:rPr>
                <w:t>http://greens.org.au/animal-welfare</w:t>
              </w:r>
            </w:hyperlink>
          </w:p>
        </w:tc>
      </w:tr>
      <w:tr w:rsidR="000B5C96" w:rsidRPr="003E13CC" w:rsidTr="003F606A">
        <w:tc>
          <w:tcPr>
            <w:tcW w:w="3005" w:type="dxa"/>
          </w:tcPr>
          <w:p w:rsidR="000B5C96" w:rsidRPr="003E13CC" w:rsidRDefault="000B5C96" w:rsidP="003F606A">
            <w:pPr>
              <w:pStyle w:val="PullOutBoxBodyText"/>
            </w:pPr>
            <w:r w:rsidRPr="003E13CC">
              <w:t>Date costing request received:</w:t>
            </w:r>
          </w:p>
        </w:tc>
        <w:tc>
          <w:tcPr>
            <w:tcW w:w="5335" w:type="dxa"/>
          </w:tcPr>
          <w:p w:rsidR="000B5C96" w:rsidRPr="003E13CC" w:rsidRDefault="000B5C96" w:rsidP="003F606A">
            <w:pPr>
              <w:pStyle w:val="PullOutBoxBodyText"/>
            </w:pPr>
            <w:r w:rsidRPr="003E13CC">
              <w:t>30 June 2016</w:t>
            </w:r>
          </w:p>
        </w:tc>
      </w:tr>
      <w:tr w:rsidR="000B5C96" w:rsidRPr="003E13CC" w:rsidTr="003F606A">
        <w:tc>
          <w:tcPr>
            <w:tcW w:w="3005" w:type="dxa"/>
          </w:tcPr>
          <w:p w:rsidR="000B5C96" w:rsidRPr="003E13CC" w:rsidRDefault="000B5C96" w:rsidP="003F606A">
            <w:pPr>
              <w:pStyle w:val="PullOutBoxBodyText"/>
            </w:pPr>
            <w:r w:rsidRPr="003E13CC">
              <w:t>Date costing completed:</w:t>
            </w:r>
          </w:p>
        </w:tc>
        <w:tc>
          <w:tcPr>
            <w:tcW w:w="5335" w:type="dxa"/>
          </w:tcPr>
          <w:p w:rsidR="000B5C96" w:rsidRPr="003E13CC" w:rsidRDefault="000B5C96" w:rsidP="003F606A">
            <w:pPr>
              <w:pStyle w:val="PullOutBoxBodyText"/>
            </w:pPr>
            <w:r w:rsidRPr="003E13CC">
              <w:t>30 June 2016</w:t>
            </w:r>
          </w:p>
        </w:tc>
      </w:tr>
      <w:tr w:rsidR="000B5C96" w:rsidRPr="003E13CC" w:rsidTr="003F606A">
        <w:tc>
          <w:tcPr>
            <w:tcW w:w="3005" w:type="dxa"/>
          </w:tcPr>
          <w:p w:rsidR="000B5C96" w:rsidRPr="003E13CC" w:rsidRDefault="000B5C96" w:rsidP="003F606A">
            <w:pPr>
              <w:pStyle w:val="PullOutBoxBodyText"/>
            </w:pPr>
            <w:r w:rsidRPr="003E13CC">
              <w:t>Expiry date for the costing:</w:t>
            </w:r>
          </w:p>
        </w:tc>
        <w:tc>
          <w:tcPr>
            <w:tcW w:w="5335" w:type="dxa"/>
          </w:tcPr>
          <w:p w:rsidR="000B5C96" w:rsidRPr="003E13CC" w:rsidRDefault="000B5C96" w:rsidP="003F606A">
            <w:pPr>
              <w:pStyle w:val="PullOutBoxBodyText"/>
            </w:pPr>
            <w:r w:rsidRPr="003E13CC">
              <w:t>Release of the next economic and fiscal outlook report</w:t>
            </w:r>
          </w:p>
        </w:tc>
      </w:tr>
    </w:tbl>
    <w:p w:rsidR="000B5C96" w:rsidRPr="003E13CC" w:rsidRDefault="000B5C96" w:rsidP="003F606A">
      <w:pPr>
        <w:pStyle w:val="CostingsH7"/>
      </w:pPr>
      <w:r w:rsidRPr="003E13CC">
        <w:t>Costing overview</w:t>
      </w:r>
    </w:p>
    <w:p w:rsidR="000B5C96" w:rsidRPr="003E13CC" w:rsidRDefault="000B5C96" w:rsidP="003F606A">
      <w:pPr>
        <w:pStyle w:val="BodyText"/>
      </w:pPr>
      <w:r w:rsidRPr="003E13CC">
        <w:t>This proposal would be expected to decrease both the fiscal and underlying cash balances by $6.2 million over the 2016-17 Budget forward estimates period.  This impact is entirely due to an increase in departmental expenses.</w:t>
      </w:r>
    </w:p>
    <w:p w:rsidR="000B5C96" w:rsidRPr="003E13CC" w:rsidRDefault="000B5C96" w:rsidP="003F606A">
      <w:pPr>
        <w:pStyle w:val="BodyText"/>
      </w:pPr>
      <w:r w:rsidRPr="003E13CC">
        <w:t>This proposal would have an ongoing impact that extends beyond the 2016</w:t>
      </w:r>
      <w:r w:rsidRPr="003E13CC">
        <w:noBreakHyphen/>
        <w:t>17 Budget forward estimates period consistent with the level of the impact in 2019-20.</w:t>
      </w:r>
    </w:p>
    <w:p w:rsidR="000B5C96" w:rsidRDefault="000B5C96" w:rsidP="003F606A">
      <w:pPr>
        <w:pStyle w:val="BodyText"/>
      </w:pPr>
      <w:r w:rsidRPr="003E13CC">
        <w:t xml:space="preserve">Detailed financial implications are provided at </w:t>
      </w:r>
      <w:r w:rsidRPr="003E13CC">
        <w:rPr>
          <w:u w:val="single"/>
        </w:rPr>
        <w:t>Attachment A</w:t>
      </w:r>
      <w:r w:rsidRPr="003E13CC">
        <w:t>.</w:t>
      </w:r>
    </w:p>
    <w:p w:rsidR="000B5C96" w:rsidRPr="003E13CC" w:rsidRDefault="000B5C96" w:rsidP="003F606A">
      <w:pPr>
        <w:pStyle w:val="BodyText"/>
        <w:keepNext/>
        <w:keepLines/>
      </w:pPr>
      <w:r w:rsidRPr="003E13CC">
        <w:t>This costing is considered to be of medium reliability due to the uncertain nature of the size and function of the new office.</w:t>
      </w:r>
    </w:p>
    <w:p w:rsidR="000B5C96" w:rsidRPr="003E13CC" w:rsidRDefault="000B5C96" w:rsidP="003F606A">
      <w:pPr>
        <w:pStyle w:val="BodyText"/>
      </w:pPr>
      <w:r w:rsidRPr="003E13CC">
        <w:t>The PBO has made no judgement if existing activities within DAWR could still be completed due to this reduction of departmental expenditure.</w:t>
      </w:r>
    </w:p>
    <w:p w:rsidR="000B5C96" w:rsidRPr="003E13CC" w:rsidRDefault="000B5C96" w:rsidP="003F606A">
      <w:pPr>
        <w:pStyle w:val="Caption"/>
      </w:pPr>
      <w:r w:rsidRPr="003E13CC">
        <w:t>Table 1: Financial implications (outturn prices)</w:t>
      </w:r>
      <w:r w:rsidRPr="003E13CC">
        <w:rPr>
          <w:vertAlign w:val="superscript"/>
        </w:rPr>
        <w:t>(a)(b)</w:t>
      </w:r>
    </w:p>
    <w:tbl>
      <w:tblPr>
        <w:tblStyle w:val="TableGrid20"/>
        <w:tblW w:w="4993" w:type="pct"/>
        <w:tblLook w:val="04A0" w:firstRow="1" w:lastRow="0" w:firstColumn="1" w:lastColumn="0" w:noHBand="0" w:noVBand="1"/>
      </w:tblPr>
      <w:tblGrid>
        <w:gridCol w:w="2645"/>
        <w:gridCol w:w="1134"/>
        <w:gridCol w:w="1133"/>
        <w:gridCol w:w="1133"/>
        <w:gridCol w:w="1133"/>
        <w:gridCol w:w="1132"/>
      </w:tblGrid>
      <w:tr w:rsidR="000B5C96" w:rsidRPr="003E13CC"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3E13CC" w:rsidRDefault="000B5C96" w:rsidP="003F606A">
            <w:pPr>
              <w:keepNext/>
              <w:keepLines/>
              <w:spacing w:line="240" w:lineRule="auto"/>
              <w:ind w:left="57" w:right="57"/>
              <w:rPr>
                <w:szCs w:val="20"/>
              </w:rPr>
            </w:pPr>
            <w:r w:rsidRPr="003E13CC">
              <w:rPr>
                <w:szCs w:val="20"/>
              </w:rPr>
              <w:t>Impact on ($m)</w:t>
            </w:r>
          </w:p>
        </w:tc>
        <w:tc>
          <w:tcPr>
            <w:tcW w:w="682" w:type="pct"/>
          </w:tcPr>
          <w:p w:rsidR="000B5C96" w:rsidRPr="003E13C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E13CC">
              <w:rPr>
                <w:szCs w:val="20"/>
              </w:rPr>
              <w:t>2016–17</w:t>
            </w:r>
          </w:p>
        </w:tc>
        <w:tc>
          <w:tcPr>
            <w:tcW w:w="682" w:type="pct"/>
          </w:tcPr>
          <w:p w:rsidR="000B5C96" w:rsidRPr="003E13C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E13CC">
              <w:rPr>
                <w:szCs w:val="20"/>
              </w:rPr>
              <w:t>2017–18</w:t>
            </w:r>
          </w:p>
        </w:tc>
        <w:tc>
          <w:tcPr>
            <w:tcW w:w="682" w:type="pct"/>
          </w:tcPr>
          <w:p w:rsidR="000B5C96" w:rsidRPr="003E13C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E13CC">
              <w:rPr>
                <w:szCs w:val="20"/>
              </w:rPr>
              <w:t>2018–19</w:t>
            </w:r>
          </w:p>
        </w:tc>
        <w:tc>
          <w:tcPr>
            <w:tcW w:w="682" w:type="pct"/>
          </w:tcPr>
          <w:p w:rsidR="000B5C96" w:rsidRPr="003E13C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E13CC">
              <w:rPr>
                <w:szCs w:val="20"/>
              </w:rPr>
              <w:t>2019–20</w:t>
            </w:r>
          </w:p>
        </w:tc>
        <w:tc>
          <w:tcPr>
            <w:tcW w:w="681" w:type="pct"/>
          </w:tcPr>
          <w:p w:rsidR="000B5C96" w:rsidRPr="003E13C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E13CC">
              <w:rPr>
                <w:b/>
                <w:szCs w:val="20"/>
              </w:rPr>
              <w:t>Total</w:t>
            </w:r>
          </w:p>
        </w:tc>
      </w:tr>
      <w:tr w:rsidR="000B5C96" w:rsidRPr="003E13CC"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3E13CC" w:rsidRDefault="000B5C96" w:rsidP="003F606A">
            <w:pPr>
              <w:keepNext/>
              <w:keepLines/>
              <w:ind w:left="57" w:right="57"/>
              <w:rPr>
                <w:szCs w:val="20"/>
              </w:rPr>
            </w:pPr>
            <w:r w:rsidRPr="003E13CC">
              <w:rPr>
                <w:szCs w:val="20"/>
              </w:rPr>
              <w:t>Fiscal balance</w:t>
            </w:r>
          </w:p>
        </w:tc>
        <w:tc>
          <w:tcPr>
            <w:tcW w:w="682" w:type="pct"/>
          </w:tcPr>
          <w:p w:rsidR="000B5C96" w:rsidRPr="003E13C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13CC">
              <w:rPr>
                <w:rFonts w:ascii="Calibri" w:hAnsi="Calibri"/>
                <w:szCs w:val="20"/>
              </w:rPr>
              <w:t>-1.8</w:t>
            </w:r>
          </w:p>
        </w:tc>
        <w:tc>
          <w:tcPr>
            <w:tcW w:w="682" w:type="pct"/>
          </w:tcPr>
          <w:p w:rsidR="000B5C96" w:rsidRPr="003E13C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13CC">
              <w:rPr>
                <w:rFonts w:ascii="Calibri" w:hAnsi="Calibri"/>
                <w:szCs w:val="20"/>
              </w:rPr>
              <w:t>-1.5</w:t>
            </w:r>
          </w:p>
        </w:tc>
        <w:tc>
          <w:tcPr>
            <w:tcW w:w="682" w:type="pct"/>
          </w:tcPr>
          <w:p w:rsidR="000B5C96" w:rsidRPr="003E13C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13CC">
              <w:rPr>
                <w:rFonts w:ascii="Calibri" w:hAnsi="Calibri"/>
                <w:szCs w:val="20"/>
              </w:rPr>
              <w:t>-1.5</w:t>
            </w:r>
          </w:p>
        </w:tc>
        <w:tc>
          <w:tcPr>
            <w:tcW w:w="682" w:type="pct"/>
          </w:tcPr>
          <w:p w:rsidR="000B5C96" w:rsidRPr="003E13C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E13CC">
              <w:rPr>
                <w:rFonts w:ascii="Calibri" w:hAnsi="Calibri"/>
                <w:szCs w:val="20"/>
              </w:rPr>
              <w:t>-1.5</w:t>
            </w:r>
          </w:p>
        </w:tc>
        <w:tc>
          <w:tcPr>
            <w:tcW w:w="681" w:type="pct"/>
          </w:tcPr>
          <w:p w:rsidR="000B5C96" w:rsidRPr="003E13C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E13CC">
              <w:rPr>
                <w:rFonts w:ascii="Calibri" w:hAnsi="Calibri"/>
                <w:b/>
                <w:szCs w:val="20"/>
              </w:rPr>
              <w:t>-6.2</w:t>
            </w:r>
          </w:p>
        </w:tc>
      </w:tr>
      <w:tr w:rsidR="000B5C96" w:rsidRPr="003E13CC"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E13CC" w:rsidRDefault="000B5C96" w:rsidP="003F606A">
            <w:pPr>
              <w:keepNext/>
              <w:keepLines/>
              <w:ind w:left="57" w:right="57"/>
              <w:rPr>
                <w:szCs w:val="20"/>
              </w:rPr>
            </w:pPr>
            <w:r w:rsidRPr="003E13CC">
              <w:rPr>
                <w:szCs w:val="20"/>
              </w:rPr>
              <w:t>Underlying cash balance</w:t>
            </w:r>
          </w:p>
        </w:tc>
        <w:tc>
          <w:tcPr>
            <w:tcW w:w="682" w:type="pct"/>
          </w:tcPr>
          <w:p w:rsidR="000B5C96" w:rsidRPr="003E13C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13CC">
              <w:rPr>
                <w:rFonts w:ascii="Calibri" w:hAnsi="Calibri"/>
                <w:szCs w:val="20"/>
              </w:rPr>
              <w:t>-1.8</w:t>
            </w:r>
          </w:p>
        </w:tc>
        <w:tc>
          <w:tcPr>
            <w:tcW w:w="682" w:type="pct"/>
          </w:tcPr>
          <w:p w:rsidR="000B5C96" w:rsidRPr="003E13C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13CC">
              <w:rPr>
                <w:rFonts w:ascii="Calibri" w:hAnsi="Calibri"/>
                <w:szCs w:val="20"/>
              </w:rPr>
              <w:t>-1.5</w:t>
            </w:r>
          </w:p>
        </w:tc>
        <w:tc>
          <w:tcPr>
            <w:tcW w:w="682" w:type="pct"/>
          </w:tcPr>
          <w:p w:rsidR="000B5C96" w:rsidRPr="003E13C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13CC">
              <w:rPr>
                <w:rFonts w:ascii="Calibri" w:hAnsi="Calibri"/>
                <w:szCs w:val="20"/>
              </w:rPr>
              <w:t>-1.5</w:t>
            </w:r>
          </w:p>
        </w:tc>
        <w:tc>
          <w:tcPr>
            <w:tcW w:w="682" w:type="pct"/>
          </w:tcPr>
          <w:p w:rsidR="000B5C96" w:rsidRPr="003E13C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E13CC">
              <w:rPr>
                <w:rFonts w:ascii="Calibri" w:hAnsi="Calibri"/>
                <w:szCs w:val="20"/>
              </w:rPr>
              <w:t>-1.5</w:t>
            </w:r>
          </w:p>
        </w:tc>
        <w:tc>
          <w:tcPr>
            <w:tcW w:w="681" w:type="pct"/>
          </w:tcPr>
          <w:p w:rsidR="000B5C96" w:rsidRPr="003E13C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3E13CC">
              <w:rPr>
                <w:rFonts w:ascii="Calibri" w:hAnsi="Calibri"/>
                <w:b/>
                <w:szCs w:val="20"/>
              </w:rPr>
              <w:t>-6.2</w:t>
            </w:r>
          </w:p>
        </w:tc>
      </w:tr>
    </w:tbl>
    <w:p w:rsidR="000B5C96" w:rsidRPr="003E13CC" w:rsidRDefault="000B5C96" w:rsidP="00733F3C">
      <w:pPr>
        <w:pStyle w:val="Footnotes"/>
        <w:numPr>
          <w:ilvl w:val="0"/>
          <w:numId w:val="236"/>
        </w:numPr>
        <w:ind w:left="284" w:hanging="284"/>
      </w:pPr>
      <w:r w:rsidRPr="003E13CC">
        <w:t>A positive number represents an increase in the relevant budget balance, a negative number represents a decrease.</w:t>
      </w:r>
    </w:p>
    <w:p w:rsidR="000B5C96" w:rsidRPr="003E13CC" w:rsidRDefault="000B5C96" w:rsidP="000B5C96">
      <w:pPr>
        <w:pStyle w:val="Footnotes"/>
        <w:numPr>
          <w:ilvl w:val="0"/>
          <w:numId w:val="7"/>
        </w:numPr>
        <w:ind w:left="284" w:hanging="284"/>
      </w:pPr>
      <w:r w:rsidRPr="003E13CC">
        <w:t>Figures may not sum to totals due to rounding.</w:t>
      </w:r>
    </w:p>
    <w:p w:rsidR="000B5C96" w:rsidRPr="003E13CC" w:rsidRDefault="000B5C96" w:rsidP="003F606A">
      <w:pPr>
        <w:pStyle w:val="CostingsH7"/>
      </w:pPr>
      <w:r w:rsidRPr="003E13CC">
        <w:t>Methodology</w:t>
      </w:r>
    </w:p>
    <w:p w:rsidR="000B5C96" w:rsidRPr="003E13CC" w:rsidRDefault="000B5C96" w:rsidP="003F606A">
      <w:pPr>
        <w:pStyle w:val="BodyText"/>
      </w:pPr>
      <w:r w:rsidRPr="003E13CC">
        <w:t>The cost of the establishment and operation of the Office was based on the costs of the establishment of a similar small independent office, the Asbestos Safety and Eradication Agency in the 2013-14 Budget.  This included accounting for the net effect of indexation parameters and the efficiency dividend, in accordance with the Department of Finance’s costings, and the part-year effect of the proposal.</w:t>
      </w:r>
    </w:p>
    <w:p w:rsidR="000B5C96" w:rsidRPr="003E13CC" w:rsidRDefault="000B5C96" w:rsidP="003F606A">
      <w:pPr>
        <w:pStyle w:val="BodyText"/>
      </w:pPr>
      <w:r w:rsidRPr="003E13CC">
        <w:t>The impact of the proposal was derived as the difference between the cost of the Office and the reduction in DAWR departmental funding.</w:t>
      </w:r>
    </w:p>
    <w:p w:rsidR="000B5C96" w:rsidRPr="003E13CC" w:rsidRDefault="000B5C96" w:rsidP="003F606A">
      <w:pPr>
        <w:pStyle w:val="CostingsH7"/>
      </w:pPr>
      <w:r w:rsidRPr="003E13CC">
        <w:t>Data sources</w:t>
      </w:r>
    </w:p>
    <w:p w:rsidR="000B5C96" w:rsidRPr="003E13CC" w:rsidRDefault="000B5C96" w:rsidP="003F606A">
      <w:pPr>
        <w:pStyle w:val="BodyText"/>
        <w:sectPr w:rsidR="000B5C96" w:rsidRPr="003E13CC" w:rsidSect="003F606A">
          <w:headerReference w:type="even" r:id="rId515"/>
          <w:headerReference w:type="default" r:id="rId516"/>
          <w:footerReference w:type="even" r:id="rId517"/>
          <w:footerReference w:type="default" r:id="rId518"/>
          <w:headerReference w:type="first" r:id="rId519"/>
          <w:footerReference w:type="first" r:id="rId520"/>
          <w:pgSz w:w="11906" w:h="16838"/>
          <w:pgMar w:top="1361" w:right="1797" w:bottom="1474" w:left="1797" w:header="283" w:footer="454" w:gutter="0"/>
          <w:cols w:space="708"/>
          <w:docGrid w:linePitch="360"/>
        </w:sectPr>
      </w:pPr>
      <w:r w:rsidRPr="003E13CC">
        <w:t>Budget 2013-14, Budget Paper No. 2</w:t>
      </w:r>
    </w:p>
    <w:p w:rsidR="000B5C96" w:rsidRPr="00201F2C" w:rsidRDefault="000B5C96" w:rsidP="000B5C96">
      <w:pPr>
        <w:pStyle w:val="Heading6"/>
        <w:numPr>
          <w:ilvl w:val="0"/>
          <w:numId w:val="5"/>
        </w:numPr>
        <w:tabs>
          <w:tab w:val="right" w:pos="1418"/>
          <w:tab w:val="right" w:pos="1701"/>
          <w:tab w:val="right" w:pos="1985"/>
        </w:tabs>
      </w:pPr>
      <w:r w:rsidRPr="00201F2C">
        <w:t>Attachment A: Independent Office of Animal Welfare—financial implications</w:t>
      </w:r>
    </w:p>
    <w:p w:rsidR="000B5C96" w:rsidRPr="00201F2C" w:rsidRDefault="000B5C96" w:rsidP="003F606A">
      <w:pPr>
        <w:pStyle w:val="Caption"/>
        <w:rPr>
          <w:vertAlign w:val="superscript"/>
        </w:rPr>
      </w:pPr>
      <w:r w:rsidRPr="00201F2C">
        <w:t>Table A1: Independent Office of Animal Welfare—Financial implications (outturn prices)</w:t>
      </w:r>
      <w:r w:rsidRPr="00201F2C">
        <w:rPr>
          <w:vertAlign w:val="superscript"/>
        </w:rPr>
        <w:t>(a)(b)</w:t>
      </w:r>
    </w:p>
    <w:tbl>
      <w:tblPr>
        <w:tblStyle w:val="TableGrid21"/>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201F2C"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201F2C" w:rsidRDefault="000B5C96" w:rsidP="003F606A">
            <w:pPr>
              <w:keepNext/>
              <w:keepLines/>
              <w:spacing w:line="240" w:lineRule="auto"/>
              <w:ind w:left="57" w:right="57"/>
              <w:rPr>
                <w:szCs w:val="20"/>
              </w:rPr>
            </w:pPr>
            <w:r w:rsidRPr="00201F2C">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201F2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01F2C">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201F2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01F2C">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201F2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01F2C">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201F2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201F2C">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201F2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val="0"/>
                <w:szCs w:val="20"/>
                <w:vertAlign w:val="superscript"/>
              </w:rPr>
            </w:pPr>
            <w:r w:rsidRPr="00201F2C">
              <w:t>Total</w:t>
            </w:r>
            <w:r w:rsidRPr="00201F2C">
              <w:rPr>
                <w:szCs w:val="20"/>
              </w:rPr>
              <w:t xml:space="preserve"> to 2019–20</w:t>
            </w:r>
          </w:p>
        </w:tc>
      </w:tr>
      <w:tr w:rsidR="000B5C96" w:rsidRPr="00201F2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201F2C" w:rsidRDefault="000B5C96" w:rsidP="003F606A">
            <w:pPr>
              <w:keepNext/>
              <w:keepLines/>
              <w:ind w:left="57" w:right="57"/>
              <w:rPr>
                <w:b/>
              </w:rPr>
            </w:pPr>
            <w:r w:rsidRPr="00201F2C">
              <w:rPr>
                <w:b/>
              </w:rPr>
              <w:t>Impact on fiscal and underlying cash balances</w:t>
            </w:r>
          </w:p>
        </w:tc>
      </w:tr>
      <w:tr w:rsidR="000B5C96" w:rsidRPr="00201F2C"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ind w:left="57" w:right="57"/>
              <w:rPr>
                <w:b/>
              </w:rPr>
            </w:pPr>
            <w:r w:rsidRPr="00201F2C">
              <w:rPr>
                <w:b/>
                <w:szCs w:val="20"/>
              </w:rPr>
              <w:t>Departmental expenses</w:t>
            </w:r>
          </w:p>
        </w:tc>
      </w:tr>
      <w:tr w:rsidR="000B5C96" w:rsidRPr="00201F2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keepNext/>
              <w:keepLines/>
              <w:ind w:left="57" w:right="57"/>
              <w:rPr>
                <w:i/>
                <w:szCs w:val="20"/>
              </w:rPr>
            </w:pPr>
            <w:r w:rsidRPr="00201F2C">
              <w:rPr>
                <w:i/>
                <w:szCs w:val="20"/>
              </w:rPr>
              <w:t>Establishment of the Office</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01F2C">
              <w:rPr>
                <w:rFonts w:ascii="Calibri" w:hAnsi="Calibri"/>
                <w:i/>
              </w:rPr>
              <w:t>-0.5</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01F2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01F2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01F2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201F2C">
              <w:rPr>
                <w:rFonts w:ascii="Calibri" w:hAnsi="Calibri"/>
                <w:b/>
                <w:i/>
              </w:rPr>
              <w:t>-0.5</w:t>
            </w:r>
          </w:p>
        </w:tc>
      </w:tr>
      <w:tr w:rsidR="000B5C96" w:rsidRPr="00201F2C"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keepNext/>
              <w:keepLines/>
              <w:ind w:left="57" w:right="57"/>
              <w:rPr>
                <w:i/>
                <w:szCs w:val="20"/>
              </w:rPr>
            </w:pPr>
            <w:r w:rsidRPr="00201F2C">
              <w:rPr>
                <w:i/>
                <w:szCs w:val="20"/>
              </w:rPr>
              <w:t>Ongoing funding for the Office</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01F2C">
              <w:rPr>
                <w:rFonts w:ascii="Calibri" w:hAnsi="Calibri"/>
                <w:i/>
              </w:rPr>
              <w:t>-2.1</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01F2C">
              <w:rPr>
                <w:rFonts w:ascii="Calibri" w:hAnsi="Calibri"/>
                <w:i/>
              </w:rPr>
              <w:t>-2.5</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01F2C">
              <w:rPr>
                <w:rFonts w:ascii="Calibri" w:hAnsi="Calibri"/>
                <w:i/>
              </w:rPr>
              <w:t>-2.5</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201F2C">
              <w:rPr>
                <w:rFonts w:ascii="Calibri" w:hAnsi="Calibri"/>
                <w:i/>
              </w:rPr>
              <w:t>-2.5</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201F2C">
              <w:rPr>
                <w:rFonts w:ascii="Calibri" w:hAnsi="Calibri"/>
                <w:b/>
                <w:i/>
              </w:rPr>
              <w:t>-9.5</w:t>
            </w:r>
          </w:p>
        </w:tc>
      </w:tr>
      <w:tr w:rsidR="000B5C96" w:rsidRPr="00201F2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keepNext/>
              <w:keepLines/>
              <w:ind w:left="57" w:right="57"/>
              <w:rPr>
                <w:i/>
                <w:szCs w:val="20"/>
              </w:rPr>
            </w:pPr>
            <w:r w:rsidRPr="00201F2C">
              <w:rPr>
                <w:i/>
                <w:szCs w:val="20"/>
              </w:rPr>
              <w:t>Reduced DAWR  funding</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01F2C">
              <w:rPr>
                <w:rFonts w:ascii="Calibri" w:hAnsi="Calibri"/>
                <w:i/>
              </w:rPr>
              <w:t>0.8</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01F2C">
              <w:rPr>
                <w:rFonts w:ascii="Calibri" w:hAnsi="Calibri"/>
                <w:i/>
              </w:rPr>
              <w:t>1.0</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01F2C">
              <w:rPr>
                <w:rFonts w:ascii="Calibri" w:hAnsi="Calibri"/>
                <w:i/>
              </w:rPr>
              <w:t>1.0</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201F2C">
              <w:rPr>
                <w:rFonts w:ascii="Calibri" w:hAnsi="Calibri"/>
                <w:i/>
              </w:rPr>
              <w:t>1.0</w:t>
            </w:r>
          </w:p>
        </w:tc>
        <w:tc>
          <w:tcPr>
            <w:tcW w:w="682" w:type="pct"/>
            <w:tcBorders>
              <w:top w:val="single" w:sz="4" w:space="0" w:color="788184"/>
              <w:left w:val="single" w:sz="4" w:space="0" w:color="788184"/>
              <w:bottom w:val="single" w:sz="4" w:space="0" w:color="788184"/>
              <w:right w:val="single" w:sz="4" w:space="0" w:color="788184"/>
            </w:tcBorders>
          </w:tcPr>
          <w:p w:rsidR="000B5C96" w:rsidRPr="00201F2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201F2C">
              <w:rPr>
                <w:rFonts w:ascii="Calibri" w:hAnsi="Calibri"/>
                <w:b/>
                <w:i/>
              </w:rPr>
              <w:t>3.8</w:t>
            </w:r>
          </w:p>
        </w:tc>
      </w:tr>
      <w:tr w:rsidR="000B5C96" w:rsidRPr="00201F2C"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201F2C" w:rsidRDefault="000B5C96" w:rsidP="003F606A">
            <w:pPr>
              <w:keepNext/>
              <w:keepLines/>
              <w:ind w:left="57" w:right="57"/>
              <w:rPr>
                <w:b/>
                <w:szCs w:val="20"/>
              </w:rPr>
            </w:pPr>
            <w:r w:rsidRPr="00201F2C">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201F2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01F2C">
              <w:rPr>
                <w:rFonts w:ascii="Calibri" w:hAnsi="Calibri"/>
                <w:b/>
              </w:rPr>
              <w:t>-1.8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201F2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01F2C">
              <w:rPr>
                <w:rFonts w:ascii="Calibri" w:hAnsi="Calibri"/>
                <w:b/>
              </w:rPr>
              <w:t>-1.5</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201F2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01F2C">
              <w:rPr>
                <w:rFonts w:ascii="Calibri" w:hAnsi="Calibri"/>
                <w:b/>
              </w:rPr>
              <w:t>-1.5</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201F2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01F2C">
              <w:rPr>
                <w:rFonts w:ascii="Calibri" w:hAnsi="Calibri"/>
                <w:b/>
              </w:rPr>
              <w:t>-1.5</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201F2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201F2C">
              <w:rPr>
                <w:rFonts w:ascii="Calibri" w:hAnsi="Calibri"/>
                <w:b/>
              </w:rPr>
              <w:t>-6.2</w:t>
            </w:r>
          </w:p>
        </w:tc>
      </w:tr>
    </w:tbl>
    <w:p w:rsidR="000B5C96" w:rsidRDefault="000B5C96" w:rsidP="00733F3C">
      <w:pPr>
        <w:pStyle w:val="Footnotes"/>
        <w:numPr>
          <w:ilvl w:val="0"/>
          <w:numId w:val="237"/>
        </w:numPr>
        <w:ind w:left="284" w:hanging="284"/>
      </w:pPr>
      <w:r w:rsidRPr="00201F2C">
        <w:t>A negative number for the fiscal and underlying cash balances indicates an increase in expenditure.  A positive number for the fiscal and underlying cash balances indicates a decrease in expenditure.</w:t>
      </w:r>
    </w:p>
    <w:p w:rsidR="000B5C96" w:rsidRPr="00201F2C" w:rsidRDefault="000B5C96" w:rsidP="000B5C96">
      <w:pPr>
        <w:pStyle w:val="Footnotes"/>
        <w:numPr>
          <w:ilvl w:val="0"/>
          <w:numId w:val="7"/>
        </w:numPr>
        <w:ind w:left="284" w:hanging="284"/>
      </w:pPr>
      <w:r w:rsidRPr="00201F2C">
        <w:t>Figures may not sum to totals due to rounding.</w:t>
      </w:r>
    </w:p>
    <w:p w:rsidR="000B5C96" w:rsidRPr="00201F2C" w:rsidRDefault="000B5C96" w:rsidP="000B5C96">
      <w:pPr>
        <w:pStyle w:val="Footnotes"/>
        <w:numPr>
          <w:ilvl w:val="0"/>
          <w:numId w:val="115"/>
        </w:numPr>
        <w:ind w:left="284" w:hanging="284"/>
      </w:pPr>
      <w:r w:rsidRPr="00201F2C">
        <w:tab/>
        <w:t>Indicates nil.</w:t>
      </w:r>
    </w:p>
    <w:p w:rsidR="000B5C96" w:rsidRPr="003E13CC" w:rsidRDefault="000B5C96" w:rsidP="003F606A">
      <w:pPr>
        <w:pStyle w:val="BodyText"/>
      </w:pP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75" w:name="_Toc458001967"/>
      <w:bookmarkStart w:id="176" w:name="_Toc458069452"/>
      <w:r>
        <w:t>GRN058: Royal Commission into children in detention</w:t>
      </w:r>
      <w:bookmarkEnd w:id="175"/>
      <w:bookmarkEnd w:id="176"/>
    </w:p>
    <w:p w:rsidR="000B5C96" w:rsidRPr="00EC7C68" w:rsidRDefault="000B5C96" w:rsidP="003F606A">
      <w:pPr>
        <w:pStyle w:val="BodyText"/>
      </w:pPr>
      <w:r>
        <w:rPr>
          <w:noProof/>
          <w:lang w:eastAsia="en-AU"/>
        </w:rPr>
        <w:drawing>
          <wp:inline distT="0" distB="0" distL="0" distR="0" wp14:anchorId="46694A0A" wp14:editId="504A3135">
            <wp:extent cx="2696845" cy="572135"/>
            <wp:effectExtent l="0" t="0" r="8255" b="0"/>
            <wp:docPr id="470" name="Picture 47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995728" w:rsidRDefault="000B5C96" w:rsidP="000B5C96">
      <w:pPr>
        <w:pStyle w:val="Heading6"/>
        <w:numPr>
          <w:ilvl w:val="0"/>
          <w:numId w:val="5"/>
        </w:numPr>
        <w:tabs>
          <w:tab w:val="right" w:pos="1418"/>
          <w:tab w:val="right" w:pos="1701"/>
          <w:tab w:val="right" w:pos="1985"/>
        </w:tabs>
      </w:pPr>
      <w:r w:rsidRPr="00995728">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Name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A Royal Commission into Children in Detention</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Summary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The proposal would establish a Royal Commission into the mandatory detention of children seeking asylum in Australia</w:t>
            </w:r>
          </w:p>
          <w:p w:rsidR="000B5C96" w:rsidRDefault="000B5C96" w:rsidP="003F606A">
            <w:pPr>
              <w:pStyle w:val="PullOutBoxBodyText"/>
            </w:pPr>
            <w:r>
              <w:t>The Royal Commission would commence on 1 July 2017 and run for 12 months.</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Person/party requesting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Senator Richard Di Natale, Australian Greens</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Date of public release of policy:</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20 June 2016</w:t>
            </w:r>
          </w:p>
          <w:p w:rsidR="000B5C96" w:rsidRDefault="00E46526" w:rsidP="003F606A">
            <w:pPr>
              <w:pStyle w:val="PullOutBoxBodyText"/>
            </w:pPr>
            <w:hyperlink r:id="rId521" w:history="1">
              <w:r w:rsidR="000B5C96">
                <w:rPr>
                  <w:rStyle w:val="Hyperlink"/>
                </w:rPr>
                <w:t>http://greens.org.au/news/sa/world-refugee-day-greens-push-royal-commission-children-detention</w:t>
              </w:r>
            </w:hyperlink>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Date costing request received: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30 June 2016</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Date costing completed: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30 June 2016</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Expiry date for the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Release of the next economic and fiscal outlook report</w:t>
            </w:r>
          </w:p>
        </w:tc>
      </w:tr>
    </w:tbl>
    <w:p w:rsidR="000B5C96" w:rsidRPr="00995728" w:rsidRDefault="000B5C96" w:rsidP="003F606A">
      <w:pPr>
        <w:pStyle w:val="CostingsH7"/>
      </w:pPr>
      <w:r w:rsidRPr="00995728">
        <w:t>Costing overview</w:t>
      </w:r>
    </w:p>
    <w:p w:rsidR="000B5C96" w:rsidRDefault="000B5C96" w:rsidP="003F606A">
      <w:pPr>
        <w:pStyle w:val="BodyText"/>
      </w:pPr>
      <w:r>
        <w:t>The proposal would be expected to decrease both the fiscal and underlying cash balances by $61.2 million over the 2016</w:t>
      </w:r>
      <w:r>
        <w:noBreakHyphen/>
        <w:t xml:space="preserve">17 Budget forward estimates period.  This reflects an increase in administered expenses of $58.0 million and an increase in departmental expenses of $3.2 million. </w:t>
      </w:r>
    </w:p>
    <w:p w:rsidR="000B5C96" w:rsidRDefault="000B5C96" w:rsidP="003F606A">
      <w:pPr>
        <w:pStyle w:val="BodyText"/>
      </w:pPr>
      <w:r>
        <w:t>This costing is considered to be of low reliability.  Given that the terms of reference for the proposed Royal Commission are yet to be determined, the size and scope of the proposed commission relative to those used to inform the costing is uncertain.</w:t>
      </w:r>
    </w:p>
    <w:p w:rsidR="000B5C96" w:rsidRPr="00995728" w:rsidRDefault="000B5C96" w:rsidP="003F606A">
      <w:pPr>
        <w:pStyle w:val="Caption"/>
      </w:pPr>
      <w:r w:rsidRPr="00995728">
        <w:t>Table 1: Financial implications (outturn prices)</w:t>
      </w:r>
      <w:r w:rsidRPr="00995728">
        <w:rPr>
          <w:vertAlign w:val="superscript"/>
        </w:rPr>
        <w:t>(a)</w:t>
      </w:r>
    </w:p>
    <w:tbl>
      <w:tblPr>
        <w:tblStyle w:val="TableGrid22"/>
        <w:tblW w:w="4993" w:type="pct"/>
        <w:tblLook w:val="04A0" w:firstRow="1" w:lastRow="0" w:firstColumn="1" w:lastColumn="0" w:noHBand="0" w:noVBand="1"/>
      </w:tblPr>
      <w:tblGrid>
        <w:gridCol w:w="2644"/>
        <w:gridCol w:w="1133"/>
        <w:gridCol w:w="1134"/>
        <w:gridCol w:w="1134"/>
        <w:gridCol w:w="1134"/>
        <w:gridCol w:w="1132"/>
      </w:tblGrid>
      <w:tr w:rsidR="000B5C96" w:rsidRPr="00995728"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spacing w:line="240" w:lineRule="auto"/>
              <w:rPr>
                <w:rFonts w:asciiTheme="minorHAnsi" w:eastAsia="Calibri" w:hAnsiTheme="minorHAnsi"/>
              </w:rPr>
            </w:pPr>
            <w:r w:rsidRPr="00995728">
              <w:rPr>
                <w:rFonts w:asciiTheme="minorHAnsi" w:eastAsia="Calibri" w:hAnsiTheme="minorHAnsi"/>
              </w:rPr>
              <w:t>Impact on ($m)</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rPr>
            </w:pPr>
            <w:r w:rsidRPr="00995728">
              <w:rPr>
                <w:rFonts w:asciiTheme="minorHAnsi" w:eastAsia="Calibri" w:hAnsiTheme="minorHAnsi"/>
              </w:rPr>
              <w:t>2016–17</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rPr>
            </w:pPr>
            <w:r w:rsidRPr="00995728">
              <w:rPr>
                <w:rFonts w:asciiTheme="minorHAnsi" w:eastAsia="Calibri" w:hAnsiTheme="minorHAnsi"/>
              </w:rPr>
              <w:t>2017–18</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rPr>
            </w:pPr>
            <w:r w:rsidRPr="00995728">
              <w:rPr>
                <w:rFonts w:asciiTheme="minorHAnsi" w:eastAsia="Calibri" w:hAnsiTheme="minorHAnsi"/>
              </w:rPr>
              <w:t>2018–19</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rPr>
            </w:pPr>
            <w:r w:rsidRPr="00995728">
              <w:rPr>
                <w:rFonts w:asciiTheme="minorHAnsi" w:eastAsia="Calibri" w:hAnsiTheme="minorHAnsi"/>
              </w:rPr>
              <w:t>2019–20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rPr>
            </w:pPr>
            <w:r w:rsidRPr="00995728">
              <w:rPr>
                <w:rFonts w:asciiTheme="minorHAnsi" w:eastAsia="Calibri" w:hAnsiTheme="minorHAnsi"/>
              </w:rPr>
              <w:t>Total</w:t>
            </w:r>
          </w:p>
        </w:tc>
      </w:tr>
      <w:tr w:rsidR="000B5C96" w:rsidRPr="00995728"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pPr>
            <w:r w:rsidRPr="00995728">
              <w:t>Fiscal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szCs w:val="20"/>
              </w:rPr>
            </w:pPr>
            <w:r w:rsidRPr="00995728">
              <w:rPr>
                <w:szCs w:val="20"/>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szCs w:val="20"/>
              </w:rPr>
            </w:pPr>
            <w:r w:rsidRPr="00995728">
              <w:rPr>
                <w:szCs w:val="20"/>
              </w:rPr>
              <w:t>-61.2</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szCs w:val="20"/>
              </w:rPr>
            </w:pPr>
            <w:r w:rsidRPr="00995728">
              <w:rPr>
                <w:szCs w:val="20"/>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szCs w:val="20"/>
              </w:rPr>
            </w:pPr>
            <w:r w:rsidRPr="00995728">
              <w:rPr>
                <w:szCs w:val="20"/>
              </w:rPr>
              <w:t>-</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b/>
                <w:szCs w:val="20"/>
              </w:rPr>
            </w:pPr>
            <w:r w:rsidRPr="00995728">
              <w:rPr>
                <w:b/>
                <w:szCs w:val="20"/>
              </w:rPr>
              <w:t>-61.2</w:t>
            </w:r>
          </w:p>
        </w:tc>
      </w:tr>
      <w:tr w:rsidR="000B5C96" w:rsidRPr="00995728"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pPr>
            <w:r w:rsidRPr="00995728">
              <w:t>Underlying cash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szCs w:val="20"/>
              </w:rPr>
            </w:pPr>
            <w:r w:rsidRPr="00995728">
              <w:rPr>
                <w:szCs w:val="20"/>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szCs w:val="20"/>
              </w:rPr>
            </w:pPr>
            <w:r w:rsidRPr="00995728">
              <w:rPr>
                <w:szCs w:val="20"/>
              </w:rPr>
              <w:t>-61.2</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szCs w:val="20"/>
              </w:rPr>
            </w:pPr>
            <w:r w:rsidRPr="00995728">
              <w:rPr>
                <w:szCs w:val="20"/>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szCs w:val="20"/>
              </w:rPr>
            </w:pPr>
            <w:r w:rsidRPr="00995728">
              <w:rPr>
                <w:szCs w:val="20"/>
              </w:rPr>
              <w:t>-</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99572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b/>
                <w:szCs w:val="20"/>
              </w:rPr>
            </w:pPr>
            <w:r w:rsidRPr="00995728">
              <w:rPr>
                <w:b/>
                <w:szCs w:val="20"/>
              </w:rPr>
              <w:t>-61.2</w:t>
            </w:r>
          </w:p>
        </w:tc>
      </w:tr>
    </w:tbl>
    <w:p w:rsidR="000B5C96" w:rsidRPr="00075708" w:rsidRDefault="000B5C96" w:rsidP="005227B7">
      <w:pPr>
        <w:pStyle w:val="Footnotes"/>
        <w:numPr>
          <w:ilvl w:val="0"/>
          <w:numId w:val="238"/>
        </w:numPr>
        <w:ind w:left="284" w:hanging="284"/>
      </w:pPr>
      <w:r w:rsidRPr="00075708">
        <w:t>A positive number represents an increase in the relevant budget balance, a negative number represents a decrease.</w:t>
      </w:r>
    </w:p>
    <w:p w:rsidR="000B5C96" w:rsidRPr="00995728" w:rsidRDefault="000B5C96" w:rsidP="000B5C96">
      <w:pPr>
        <w:pStyle w:val="Footnotes"/>
        <w:numPr>
          <w:ilvl w:val="0"/>
          <w:numId w:val="7"/>
        </w:numPr>
        <w:ind w:left="284" w:hanging="284"/>
      </w:pPr>
      <w:r w:rsidRPr="00995728">
        <w:t>Figures may not sum to totals due to rounding.</w:t>
      </w:r>
    </w:p>
    <w:p w:rsidR="000B5C96" w:rsidRPr="00995728" w:rsidRDefault="000B5C96" w:rsidP="003F606A">
      <w:pPr>
        <w:pStyle w:val="CostingsH7"/>
      </w:pPr>
      <w:r w:rsidRPr="00995728">
        <w:t>Methodology</w:t>
      </w:r>
    </w:p>
    <w:p w:rsidR="000B5C96" w:rsidRPr="00995728" w:rsidRDefault="000B5C96" w:rsidP="003F606A">
      <w:pPr>
        <w:pStyle w:val="BodyText"/>
      </w:pPr>
      <w:r w:rsidRPr="00995728">
        <w:t>Estimates for the administered and departmental expenses associated with the proposal were estimated by averaging the highest full year operating costs of each of the Royal Commission into Trade Union Governance and Corruption and the Royal Commission into Institutional Responses to Child Sexual Abuse.</w:t>
      </w:r>
    </w:p>
    <w:p w:rsidR="000B5C96" w:rsidRPr="00995728" w:rsidRDefault="000B5C96" w:rsidP="003F606A">
      <w:pPr>
        <w:pStyle w:val="CostingsH7"/>
      </w:pPr>
      <w:r w:rsidRPr="00995728">
        <w:t>Data sources</w:t>
      </w:r>
    </w:p>
    <w:p w:rsidR="000B5C96" w:rsidRPr="00995728" w:rsidRDefault="000B5C96" w:rsidP="003F606A">
      <w:pPr>
        <w:pStyle w:val="BodyText"/>
      </w:pPr>
      <w:r w:rsidRPr="00995728">
        <w:t>The Attorney-General’s Department provided actual expenditure and expenditure estimates for the Royal Commission into Trade Union Governance and Corruption over 2013</w:t>
      </w:r>
      <w:r w:rsidRPr="00995728">
        <w:noBreakHyphen/>
        <w:t>14 to 2015</w:t>
      </w:r>
      <w:r w:rsidRPr="00995728">
        <w:noBreakHyphen/>
        <w:t>16 and the Royal Commission into Institutional Responses to Child Sexual Abuse over 2012</w:t>
      </w:r>
      <w:r w:rsidRPr="00995728">
        <w:noBreakHyphen/>
        <w:t>13 to 2017</w:t>
      </w:r>
      <w:r w:rsidRPr="00995728">
        <w:noBreakHyphen/>
        <w:t>18.</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77" w:name="_Toc458001968"/>
      <w:bookmarkStart w:id="178" w:name="_Toc458069453"/>
      <w:r>
        <w:t>GRN059: Supporting Older Australians package</w:t>
      </w:r>
      <w:bookmarkEnd w:id="177"/>
      <w:bookmarkEnd w:id="178"/>
    </w:p>
    <w:p w:rsidR="000B5C96" w:rsidRPr="00D379B9" w:rsidRDefault="000B5C96" w:rsidP="003F606A">
      <w:pPr>
        <w:pStyle w:val="BodyText"/>
        <w:rPr>
          <w:rStyle w:val="BodyTextChar"/>
          <w:i/>
        </w:rPr>
      </w:pPr>
      <w:r w:rsidRPr="00D379B9">
        <w:rPr>
          <w:rStyle w:val="BodyTextChar"/>
          <w:i/>
          <w:noProof/>
          <w:lang w:eastAsia="en-AU"/>
        </w:rPr>
        <w:drawing>
          <wp:inline distT="0" distB="0" distL="0" distR="0" wp14:anchorId="494E9459" wp14:editId="669DE8DB">
            <wp:extent cx="2696845" cy="572135"/>
            <wp:effectExtent l="0" t="0" r="8255" b="0"/>
            <wp:docPr id="471" name="Picture 47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075708" w:rsidRDefault="000B5C96" w:rsidP="000B5C96">
      <w:pPr>
        <w:pStyle w:val="Heading6"/>
        <w:numPr>
          <w:ilvl w:val="0"/>
          <w:numId w:val="5"/>
        </w:numPr>
        <w:tabs>
          <w:tab w:val="right" w:pos="1418"/>
          <w:tab w:val="right" w:pos="1701"/>
          <w:tab w:val="right" w:pos="1985"/>
        </w:tabs>
      </w:pPr>
      <w:r w:rsidRPr="00075708">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Helping Older Australians</w:t>
            </w:r>
          </w:p>
        </w:tc>
      </w:tr>
      <w:tr w:rsidR="000B5C96" w:rsidTr="003F606A">
        <w:tc>
          <w:tcPr>
            <w:tcW w:w="3005" w:type="dxa"/>
          </w:tcPr>
          <w:p w:rsidR="000B5C96" w:rsidRPr="00AF3FC9" w:rsidRDefault="000B5C96" w:rsidP="003F606A">
            <w:pPr>
              <w:pStyle w:val="PullOutBoxBodyText"/>
            </w:pPr>
            <w:r w:rsidRPr="00AF3FC9">
              <w:t>Summary of proposal:</w:t>
            </w:r>
          </w:p>
        </w:tc>
        <w:tc>
          <w:tcPr>
            <w:tcW w:w="5335" w:type="dxa"/>
          </w:tcPr>
          <w:p w:rsidR="000B5C96" w:rsidRPr="00AF3FC9" w:rsidRDefault="000B5C96" w:rsidP="003F606A">
            <w:pPr>
              <w:pStyle w:val="PullOutBoxBodyText"/>
            </w:pPr>
            <w:r w:rsidRPr="00AF3FC9">
              <w:t>The proposal has a number of components aimed at improving support for older Australians.</w:t>
            </w:r>
          </w:p>
          <w:p w:rsidR="000B5C96" w:rsidRPr="00AF3FC9" w:rsidRDefault="000B5C96" w:rsidP="003F606A">
            <w:pPr>
              <w:pStyle w:val="PullOutBoxBodyText"/>
            </w:pPr>
            <w:r w:rsidRPr="00AF3FC9">
              <w:t xml:space="preserve">Details for each component are at </w:t>
            </w:r>
            <w:r w:rsidRPr="00AF3FC9">
              <w:rPr>
                <w:u w:val="single"/>
              </w:rPr>
              <w:t>Attachment A</w:t>
            </w:r>
            <w:r w:rsidRPr="00AF3FC9">
              <w:t>.</w:t>
            </w:r>
          </w:p>
          <w:p w:rsidR="000B5C96" w:rsidRPr="00AF3FC9" w:rsidRDefault="000B5C96" w:rsidP="003F606A">
            <w:pPr>
              <w:pStyle w:val="PullOutBoxBodyText"/>
            </w:pPr>
            <w:r w:rsidRPr="00AF3FC9">
              <w:t xml:space="preserve">The proposal would </w:t>
            </w:r>
            <w:r>
              <w:t>commence in the 2016-17 financial year.</w:t>
            </w:r>
          </w:p>
        </w:tc>
      </w:tr>
      <w:tr w:rsidR="000B5C96" w:rsidTr="003F606A">
        <w:tc>
          <w:tcPr>
            <w:tcW w:w="3005" w:type="dxa"/>
          </w:tcPr>
          <w:p w:rsidR="000B5C96" w:rsidRPr="00AF3FC9" w:rsidRDefault="000B5C96" w:rsidP="003F606A">
            <w:pPr>
              <w:pStyle w:val="PullOutBoxBodyText"/>
            </w:pPr>
            <w:r w:rsidRPr="00AF3FC9">
              <w:t>Person/party requesting costing:</w:t>
            </w:r>
          </w:p>
        </w:tc>
        <w:tc>
          <w:tcPr>
            <w:tcW w:w="5335" w:type="dxa"/>
          </w:tcPr>
          <w:p w:rsidR="000B5C96" w:rsidRPr="00AF3FC9" w:rsidRDefault="000B5C96" w:rsidP="003F606A">
            <w:pPr>
              <w:pStyle w:val="PullOutBoxBodyText"/>
            </w:pPr>
            <w:r w:rsidRPr="00AF3FC9">
              <w:t>Senator Richard Di Natale, Australian Greens</w:t>
            </w:r>
          </w:p>
        </w:tc>
      </w:tr>
      <w:tr w:rsidR="000B5C96" w:rsidTr="003F606A">
        <w:tc>
          <w:tcPr>
            <w:tcW w:w="3005" w:type="dxa"/>
          </w:tcPr>
          <w:p w:rsidR="000B5C96" w:rsidRPr="00AF3FC9" w:rsidRDefault="000B5C96" w:rsidP="003F606A">
            <w:pPr>
              <w:pStyle w:val="PullOutBoxBodyText"/>
            </w:pPr>
            <w:r w:rsidRPr="00AF3FC9">
              <w:t>Date of public release of policy:</w:t>
            </w:r>
          </w:p>
        </w:tc>
        <w:tc>
          <w:tcPr>
            <w:tcW w:w="5335" w:type="dxa"/>
          </w:tcPr>
          <w:p w:rsidR="000B5C96" w:rsidRPr="00AF3FC9" w:rsidRDefault="000B5C96" w:rsidP="003F606A">
            <w:pPr>
              <w:pStyle w:val="PullOutBoxBodyText"/>
            </w:pPr>
            <w:r w:rsidRPr="00AF3FC9">
              <w:t>21 June 2016</w:t>
            </w:r>
          </w:p>
          <w:p w:rsidR="000B5C96" w:rsidRPr="00AF3FC9" w:rsidRDefault="00E46526" w:rsidP="003F606A">
            <w:pPr>
              <w:pStyle w:val="PullOutBoxBodyText"/>
            </w:pPr>
            <w:hyperlink r:id="rId522" w:history="1">
              <w:r w:rsidR="000B5C96" w:rsidRPr="00AF3FC9">
                <w:rPr>
                  <w:rStyle w:val="Hyperlink"/>
                </w:rPr>
                <w:t>http://rachel-siewert.greensmps.org.au/content/media-releases/greens-announce-support-older-australians</w:t>
              </w:r>
            </w:hyperlink>
            <w:r w:rsidR="000B5C96" w:rsidRPr="00AF3FC9">
              <w:t xml:space="preserve">; </w:t>
            </w:r>
            <w:hyperlink r:id="rId523" w:history="1">
              <w:r w:rsidR="000B5C96" w:rsidRPr="00AF3FC9">
                <w:rPr>
                  <w:rStyle w:val="Hyperlink"/>
                </w:rPr>
                <w:t>http://greens.org.au/olderaustralians</w:t>
              </w:r>
            </w:hyperlink>
            <w:r w:rsidR="000B5C96" w:rsidRPr="00AF3FC9">
              <w:t>.</w:t>
            </w:r>
          </w:p>
          <w:p w:rsidR="000B5C96" w:rsidRPr="00AF3FC9" w:rsidRDefault="000B5C96" w:rsidP="003F606A">
            <w:pPr>
              <w:pStyle w:val="PullOutBoxBodyText"/>
            </w:pPr>
            <w:r w:rsidRPr="00AF3FC9">
              <w:t>Palliative care component announced 27 May 2016</w:t>
            </w:r>
          </w:p>
          <w:p w:rsidR="000B5C96" w:rsidRPr="00AF3FC9" w:rsidRDefault="00E46526" w:rsidP="003F606A">
            <w:pPr>
              <w:pStyle w:val="PullOutBoxBodyText"/>
            </w:pPr>
            <w:hyperlink r:id="rId524" w:history="1">
              <w:r w:rsidR="000B5C96" w:rsidRPr="00AF3FC9">
                <w:rPr>
                  <w:rStyle w:val="Hyperlink"/>
                </w:rPr>
                <w:t>http://rachel-siewert.greensmps.org.au/content/media-releases/greens-launch-palliative-care-package-ensure-support-when-it-matters-most</w:t>
              </w:r>
            </w:hyperlink>
            <w:r w:rsidR="000B5C96" w:rsidRPr="00AF3FC9">
              <w:t>.</w:t>
            </w:r>
          </w:p>
        </w:tc>
      </w:tr>
      <w:tr w:rsidR="000B5C96" w:rsidTr="003F606A">
        <w:tc>
          <w:tcPr>
            <w:tcW w:w="3005" w:type="dxa"/>
          </w:tcPr>
          <w:p w:rsidR="000B5C96" w:rsidRPr="00AF3FC9" w:rsidRDefault="000B5C96" w:rsidP="003F606A">
            <w:pPr>
              <w:pStyle w:val="PullOutBoxBodyText"/>
            </w:pPr>
            <w:r w:rsidRPr="00AF3FC9">
              <w:t>Date costing request received:</w:t>
            </w:r>
          </w:p>
        </w:tc>
        <w:tc>
          <w:tcPr>
            <w:tcW w:w="5335" w:type="dxa"/>
          </w:tcPr>
          <w:p w:rsidR="000B5C96" w:rsidRPr="00AF3FC9" w:rsidRDefault="000B5C96" w:rsidP="003F606A">
            <w:pPr>
              <w:pStyle w:val="PullOutBoxBodyText"/>
            </w:pPr>
            <w:r w:rsidRPr="00AF3FC9">
              <w:t>30 June 2016</w:t>
            </w:r>
          </w:p>
        </w:tc>
      </w:tr>
      <w:tr w:rsidR="000B5C96" w:rsidTr="003F606A">
        <w:tc>
          <w:tcPr>
            <w:tcW w:w="3005" w:type="dxa"/>
          </w:tcPr>
          <w:p w:rsidR="000B5C96" w:rsidRPr="00AF3FC9" w:rsidRDefault="000B5C96" w:rsidP="003F606A">
            <w:pPr>
              <w:pStyle w:val="PullOutBoxBodyText"/>
            </w:pPr>
            <w:r w:rsidRPr="00AF3FC9">
              <w:t>Date costing completed</w:t>
            </w:r>
            <w:r>
              <w:t>:</w:t>
            </w:r>
          </w:p>
        </w:tc>
        <w:tc>
          <w:tcPr>
            <w:tcW w:w="5335" w:type="dxa"/>
          </w:tcPr>
          <w:p w:rsidR="000B5C96" w:rsidRPr="00AF3FC9" w:rsidRDefault="000B5C96" w:rsidP="003F606A">
            <w:pPr>
              <w:pStyle w:val="PullOutBoxBodyText"/>
            </w:pPr>
            <w:r w:rsidRPr="00AF3FC9">
              <w:t>30 June 2016</w:t>
            </w:r>
          </w:p>
        </w:tc>
      </w:tr>
      <w:tr w:rsidR="000B5C96" w:rsidTr="003F606A">
        <w:tc>
          <w:tcPr>
            <w:tcW w:w="3005" w:type="dxa"/>
          </w:tcPr>
          <w:p w:rsidR="000B5C96" w:rsidRPr="00AF3FC9" w:rsidRDefault="000B5C96" w:rsidP="003F606A">
            <w:pPr>
              <w:pStyle w:val="PullOutBoxBodyText"/>
            </w:pPr>
            <w:r w:rsidRPr="00AF3FC9">
              <w:t>Expiry date for the costing:</w:t>
            </w:r>
          </w:p>
        </w:tc>
        <w:tc>
          <w:tcPr>
            <w:tcW w:w="5335" w:type="dxa"/>
          </w:tcPr>
          <w:p w:rsidR="000B5C96" w:rsidRPr="00AF3FC9" w:rsidRDefault="000B5C96" w:rsidP="003F606A">
            <w:pPr>
              <w:pStyle w:val="PullOutBoxBodyText"/>
            </w:pPr>
            <w:r w:rsidRPr="00AF3FC9">
              <w:t>Release of the next economic and fiscal outlook report</w:t>
            </w:r>
          </w:p>
        </w:tc>
      </w:tr>
    </w:tbl>
    <w:p w:rsidR="000B5C96" w:rsidRPr="00002D5D" w:rsidRDefault="000B5C96" w:rsidP="003F606A">
      <w:pPr>
        <w:pStyle w:val="CostingsH7"/>
      </w:pPr>
      <w:r w:rsidRPr="00002D5D">
        <w:t>Costing overview</w:t>
      </w:r>
    </w:p>
    <w:p w:rsidR="000B5C96" w:rsidRDefault="000B5C96" w:rsidP="003F606A">
      <w:pPr>
        <w:pStyle w:val="BodyText"/>
      </w:pPr>
      <w:r w:rsidRPr="00774E93">
        <w:t xml:space="preserve">This proposal would be expected to decrease both the </w:t>
      </w:r>
      <w:r>
        <w:t>fiscal</w:t>
      </w:r>
      <w:r w:rsidRPr="00774E93">
        <w:t xml:space="preserve"> and </w:t>
      </w:r>
      <w:r>
        <w:t>underlying cash</w:t>
      </w:r>
      <w:r w:rsidRPr="00774E93">
        <w:t xml:space="preserve"> </w:t>
      </w:r>
      <w:r>
        <w:t>balances by $486.8</w:t>
      </w:r>
      <w:r w:rsidRPr="00774E93">
        <w:t> million over the 2016-17 Budget forward estimates period.  This reflects an increase in administered expen</w:t>
      </w:r>
      <w:r>
        <w:t>ses</w:t>
      </w:r>
      <w:r w:rsidRPr="00774E93">
        <w:t xml:space="preserve"> of $</w:t>
      </w:r>
      <w:r>
        <w:t>472.9</w:t>
      </w:r>
      <w:r w:rsidRPr="00774E93">
        <w:t> million and an increase in departmental expen</w:t>
      </w:r>
      <w:r>
        <w:t>ses of $13.9</w:t>
      </w:r>
      <w:r w:rsidRPr="00774E93">
        <w:t> million over this period.  A detailed breakdown of the financial implications for the 2016</w:t>
      </w:r>
      <w:r w:rsidRPr="00774E93">
        <w:noBreakHyphen/>
        <w:t xml:space="preserve">17 Budget forward estimates period is at </w:t>
      </w:r>
      <w:r w:rsidRPr="00774E93">
        <w:rPr>
          <w:u w:val="single"/>
        </w:rPr>
        <w:t>Attachment </w:t>
      </w:r>
      <w:r>
        <w:rPr>
          <w:u w:val="single"/>
        </w:rPr>
        <w:t>B</w:t>
      </w:r>
      <w:r>
        <w:t>.</w:t>
      </w:r>
    </w:p>
    <w:p w:rsidR="000B5C96" w:rsidRPr="00075708" w:rsidRDefault="000B5C96" w:rsidP="003F606A">
      <w:pPr>
        <w:pStyle w:val="BodyText"/>
        <w:keepNext/>
        <w:keepLines/>
        <w:rPr>
          <w:rFonts w:ascii="Calibri" w:eastAsia="Calibri" w:hAnsi="Calibri"/>
        </w:rPr>
      </w:pPr>
      <w:r w:rsidRPr="00075708">
        <w:rPr>
          <w:rFonts w:ascii="Calibri" w:eastAsia="Calibri" w:hAnsi="Calibri"/>
        </w:rPr>
        <w:t>The component of the proposal related to increasing access to Stream B of</w:t>
      </w:r>
      <w:r w:rsidRPr="00075708">
        <w:rPr>
          <w:rFonts w:ascii="Calibri" w:eastAsia="Calibri" w:hAnsi="Calibri"/>
          <w:i/>
        </w:rPr>
        <w:t xml:space="preserve"> jobactive</w:t>
      </w:r>
      <w:r w:rsidRPr="00075708">
        <w:rPr>
          <w:rFonts w:ascii="Calibri" w:eastAsia="Calibri" w:hAnsi="Calibri"/>
        </w:rPr>
        <w:t xml:space="preserve"> would have ongoing financial implications beyond the 2016</w:t>
      </w:r>
      <w:r w:rsidRPr="00075708">
        <w:rPr>
          <w:rFonts w:ascii="Calibri" w:eastAsia="Calibri" w:hAnsi="Calibri"/>
        </w:rPr>
        <w:noBreakHyphen/>
        <w:t>17 Budget forward estimates period, with the impact to the budget being a decrease in both the fiscal and underlying cash balances of around $120 million per year.  All other components of the proposal would not be expected to have an impact beyond the 2016</w:t>
      </w:r>
      <w:r w:rsidRPr="00075708">
        <w:rPr>
          <w:rFonts w:ascii="Calibri" w:eastAsia="Calibri" w:hAnsi="Calibri"/>
        </w:rPr>
        <w:noBreakHyphen/>
        <w:t>17 Budget forward estimates period as they would terminate on 30 June 2020.</w:t>
      </w:r>
    </w:p>
    <w:p w:rsidR="000B5C96" w:rsidRPr="00075708" w:rsidRDefault="000B5C96" w:rsidP="003F606A">
      <w:pPr>
        <w:pStyle w:val="BodyText"/>
        <w:rPr>
          <w:rFonts w:ascii="Calibri" w:eastAsia="Calibri" w:hAnsi="Calibri"/>
        </w:rPr>
      </w:pPr>
      <w:r w:rsidRPr="00075708">
        <w:rPr>
          <w:rFonts w:ascii="Calibri" w:eastAsia="Calibri" w:hAnsi="Calibri"/>
        </w:rPr>
        <w:t xml:space="preserve">The costing is considered to be of medium to high reliability.  The components of the proposal which have specified capped funding amounts are of high reliability.  A small proportion of the financial impact relates to stakeholder and inter-jurisdiction policy development.  The estimated departmental costs for these components are of medium reliability.  The estimates relating to the </w:t>
      </w:r>
      <w:r w:rsidRPr="00075708">
        <w:rPr>
          <w:rFonts w:ascii="Calibri" w:eastAsia="Calibri" w:hAnsi="Calibri"/>
          <w:i/>
        </w:rPr>
        <w:t>jobactive</w:t>
      </w:r>
      <w:r w:rsidRPr="00075708">
        <w:rPr>
          <w:rFonts w:ascii="Calibri" w:eastAsia="Calibri" w:hAnsi="Calibri"/>
        </w:rPr>
        <w:t xml:space="preserve"> demand driven administered expenditure estimates are of medium reliability as they involve a degree of uncertainty regarding changes in job seeker numbers.</w:t>
      </w:r>
    </w:p>
    <w:p w:rsidR="000B5C96" w:rsidRPr="00075708" w:rsidRDefault="000B5C96" w:rsidP="003F606A">
      <w:pPr>
        <w:pStyle w:val="Caption"/>
      </w:pPr>
      <w:r w:rsidRPr="00075708">
        <w:t>Table 1: Financial implications (outturn prices)</w:t>
      </w:r>
      <w:r w:rsidRPr="00075708">
        <w:rPr>
          <w:vertAlign w:val="superscript"/>
        </w:rPr>
        <w:t>(a)(b)</w:t>
      </w:r>
    </w:p>
    <w:tbl>
      <w:tblPr>
        <w:tblStyle w:val="TableGrid23"/>
        <w:tblW w:w="4993" w:type="pct"/>
        <w:tblLook w:val="04A0" w:firstRow="1" w:lastRow="0" w:firstColumn="1" w:lastColumn="0" w:noHBand="0" w:noVBand="1"/>
      </w:tblPr>
      <w:tblGrid>
        <w:gridCol w:w="2644"/>
        <w:gridCol w:w="1133"/>
        <w:gridCol w:w="1134"/>
        <w:gridCol w:w="1134"/>
        <w:gridCol w:w="1134"/>
        <w:gridCol w:w="1132"/>
      </w:tblGrid>
      <w:tr w:rsidR="000B5C96" w:rsidRPr="00075708"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075708" w:rsidRDefault="000B5C96" w:rsidP="003F606A">
            <w:pPr>
              <w:keepNext/>
              <w:keepLines/>
              <w:spacing w:line="240" w:lineRule="auto"/>
              <w:ind w:left="57" w:right="57"/>
              <w:rPr>
                <w:szCs w:val="20"/>
              </w:rPr>
            </w:pPr>
            <w:r w:rsidRPr="00075708">
              <w:rPr>
                <w:szCs w:val="20"/>
              </w:rPr>
              <w:t>Impact on ($m)</w:t>
            </w:r>
          </w:p>
        </w:tc>
        <w:tc>
          <w:tcPr>
            <w:tcW w:w="682" w:type="pct"/>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rPr>
                <w:szCs w:val="20"/>
              </w:rPr>
              <w:t>2016–17</w:t>
            </w:r>
          </w:p>
        </w:tc>
        <w:tc>
          <w:tcPr>
            <w:tcW w:w="682" w:type="pct"/>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rPr>
                <w:szCs w:val="20"/>
              </w:rPr>
              <w:t>2017–18</w:t>
            </w:r>
          </w:p>
        </w:tc>
        <w:tc>
          <w:tcPr>
            <w:tcW w:w="682" w:type="pct"/>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rPr>
                <w:szCs w:val="20"/>
              </w:rPr>
              <w:t>2018–19</w:t>
            </w:r>
          </w:p>
        </w:tc>
        <w:tc>
          <w:tcPr>
            <w:tcW w:w="682" w:type="pct"/>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75708">
              <w:rPr>
                <w:szCs w:val="20"/>
              </w:rPr>
              <w:t>2019–20</w:t>
            </w:r>
          </w:p>
        </w:tc>
        <w:tc>
          <w:tcPr>
            <w:tcW w:w="681" w:type="pct"/>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75708">
              <w:rPr>
                <w:b/>
                <w:szCs w:val="20"/>
              </w:rPr>
              <w:t>Total</w:t>
            </w:r>
          </w:p>
        </w:tc>
      </w:tr>
      <w:tr w:rsidR="000B5C96" w:rsidRPr="00075708"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075708" w:rsidRDefault="000B5C96" w:rsidP="003F606A">
            <w:pPr>
              <w:keepNext/>
              <w:keepLines/>
              <w:ind w:left="57" w:right="57"/>
              <w:rPr>
                <w:szCs w:val="20"/>
              </w:rPr>
            </w:pPr>
            <w:r w:rsidRPr="00075708">
              <w:rPr>
                <w:szCs w:val="20"/>
              </w:rPr>
              <w:t>Fiscal balance</w:t>
            </w:r>
          </w:p>
        </w:tc>
        <w:tc>
          <w:tcPr>
            <w:tcW w:w="682" w:type="pct"/>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075708">
              <w:rPr>
                <w:rFonts w:ascii="Calibri" w:hAnsi="Calibri"/>
                <w:szCs w:val="20"/>
              </w:rPr>
              <w:t>-55.8</w:t>
            </w:r>
          </w:p>
        </w:tc>
        <w:tc>
          <w:tcPr>
            <w:tcW w:w="682" w:type="pct"/>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075708">
              <w:rPr>
                <w:rFonts w:ascii="Calibri" w:hAnsi="Calibri"/>
                <w:szCs w:val="20"/>
              </w:rPr>
              <w:t>-107.5</w:t>
            </w:r>
          </w:p>
        </w:tc>
        <w:tc>
          <w:tcPr>
            <w:tcW w:w="682" w:type="pct"/>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075708">
              <w:rPr>
                <w:rFonts w:ascii="Calibri" w:hAnsi="Calibri"/>
                <w:szCs w:val="20"/>
              </w:rPr>
              <w:t>-151.5</w:t>
            </w:r>
          </w:p>
        </w:tc>
        <w:tc>
          <w:tcPr>
            <w:tcW w:w="682" w:type="pct"/>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075708">
              <w:rPr>
                <w:rFonts w:ascii="Calibri" w:hAnsi="Calibri"/>
                <w:szCs w:val="20"/>
              </w:rPr>
              <w:t>-172.1</w:t>
            </w:r>
          </w:p>
        </w:tc>
        <w:tc>
          <w:tcPr>
            <w:tcW w:w="681" w:type="pct"/>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075708">
              <w:rPr>
                <w:rFonts w:ascii="Calibri" w:hAnsi="Calibri"/>
                <w:b/>
                <w:szCs w:val="20"/>
              </w:rPr>
              <w:t>-486.8</w:t>
            </w:r>
          </w:p>
        </w:tc>
      </w:tr>
      <w:tr w:rsidR="000B5C96" w:rsidRPr="00075708"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075708" w:rsidRDefault="000B5C96" w:rsidP="003F606A">
            <w:pPr>
              <w:keepNext/>
              <w:keepLines/>
              <w:ind w:left="57" w:right="57"/>
              <w:rPr>
                <w:szCs w:val="20"/>
              </w:rPr>
            </w:pPr>
            <w:r w:rsidRPr="00075708">
              <w:rPr>
                <w:szCs w:val="20"/>
              </w:rPr>
              <w:t>Underlying cash balance</w:t>
            </w:r>
          </w:p>
        </w:tc>
        <w:tc>
          <w:tcPr>
            <w:tcW w:w="682" w:type="pct"/>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075708">
              <w:rPr>
                <w:rFonts w:ascii="Calibri" w:hAnsi="Calibri"/>
                <w:szCs w:val="20"/>
              </w:rPr>
              <w:t>-55.8</w:t>
            </w:r>
          </w:p>
        </w:tc>
        <w:tc>
          <w:tcPr>
            <w:tcW w:w="682" w:type="pct"/>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075708">
              <w:rPr>
                <w:rFonts w:ascii="Calibri" w:hAnsi="Calibri"/>
                <w:szCs w:val="20"/>
              </w:rPr>
              <w:t>-107.5</w:t>
            </w:r>
          </w:p>
        </w:tc>
        <w:tc>
          <w:tcPr>
            <w:tcW w:w="682" w:type="pct"/>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075708">
              <w:rPr>
                <w:rFonts w:ascii="Calibri" w:hAnsi="Calibri"/>
                <w:szCs w:val="20"/>
              </w:rPr>
              <w:t>-151.5</w:t>
            </w:r>
          </w:p>
        </w:tc>
        <w:tc>
          <w:tcPr>
            <w:tcW w:w="682" w:type="pct"/>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075708">
              <w:rPr>
                <w:rFonts w:ascii="Calibri" w:hAnsi="Calibri"/>
                <w:szCs w:val="20"/>
              </w:rPr>
              <w:t>-172.1</w:t>
            </w:r>
          </w:p>
        </w:tc>
        <w:tc>
          <w:tcPr>
            <w:tcW w:w="681" w:type="pct"/>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075708">
              <w:rPr>
                <w:rFonts w:ascii="Calibri" w:hAnsi="Calibri"/>
                <w:b/>
                <w:szCs w:val="20"/>
              </w:rPr>
              <w:t>-486.8</w:t>
            </w:r>
          </w:p>
        </w:tc>
      </w:tr>
    </w:tbl>
    <w:p w:rsidR="000B5C96" w:rsidRPr="00075708" w:rsidRDefault="000B5C96" w:rsidP="005227B7">
      <w:pPr>
        <w:pStyle w:val="Footnotes"/>
        <w:numPr>
          <w:ilvl w:val="0"/>
          <w:numId w:val="239"/>
        </w:numPr>
        <w:ind w:left="284" w:hanging="284"/>
      </w:pPr>
      <w:r w:rsidRPr="00075708">
        <w:t>A positive number represents an increase in the relevant budget balance, a negative number a decrease.</w:t>
      </w:r>
    </w:p>
    <w:p w:rsidR="000B5C96" w:rsidRPr="00075708" w:rsidRDefault="000B5C96" w:rsidP="000B5C96">
      <w:pPr>
        <w:pStyle w:val="Footnotes"/>
        <w:numPr>
          <w:ilvl w:val="0"/>
          <w:numId w:val="7"/>
        </w:numPr>
        <w:ind w:left="284" w:hanging="284"/>
      </w:pPr>
      <w:r w:rsidRPr="00075708">
        <w:t>Figures may not sum to totals due to rounding.</w:t>
      </w:r>
    </w:p>
    <w:p w:rsidR="000B5C96" w:rsidRPr="00075708" w:rsidRDefault="000B5C96" w:rsidP="003F606A">
      <w:pPr>
        <w:pStyle w:val="CostingsH7"/>
      </w:pPr>
      <w:r w:rsidRPr="00075708">
        <w:t>Key assumptions</w:t>
      </w:r>
    </w:p>
    <w:p w:rsidR="000B5C96" w:rsidRPr="00075708" w:rsidRDefault="000B5C96" w:rsidP="000B5C96">
      <w:pPr>
        <w:pStyle w:val="ListBullet"/>
        <w:numPr>
          <w:ilvl w:val="0"/>
          <w:numId w:val="123"/>
        </w:numPr>
        <w:ind w:left="454" w:hanging="454"/>
        <w:rPr>
          <w:lang w:eastAsia="en-AU"/>
        </w:rPr>
      </w:pPr>
      <w:r w:rsidRPr="00075708">
        <w:rPr>
          <w:lang w:eastAsia="en-AU"/>
        </w:rPr>
        <w:t>The Parliamentary Budget Office (PBO) has not undertaken any analysis of whether or not the capped funding amounts are adequate to achieve the activities outlined.</w:t>
      </w:r>
    </w:p>
    <w:p w:rsidR="000B5C96" w:rsidRPr="00075708" w:rsidRDefault="000B5C96" w:rsidP="000B5C96">
      <w:pPr>
        <w:pStyle w:val="ListBullet"/>
        <w:numPr>
          <w:ilvl w:val="0"/>
          <w:numId w:val="123"/>
        </w:numPr>
        <w:ind w:left="454" w:hanging="454"/>
        <w:rPr>
          <w:lang w:eastAsia="en-AU"/>
        </w:rPr>
      </w:pPr>
      <w:r w:rsidRPr="00075708">
        <w:rPr>
          <w:lang w:eastAsia="en-AU"/>
        </w:rPr>
        <w:t>In costing the jobactive component, the number and age distribution of the job seekers in various support services of the jobactive program is assumed to remain unchanged.</w:t>
      </w:r>
    </w:p>
    <w:p w:rsidR="000B5C96" w:rsidRPr="00075708" w:rsidRDefault="000B5C96" w:rsidP="003F606A">
      <w:pPr>
        <w:pStyle w:val="CostingsH7"/>
      </w:pPr>
      <w:r w:rsidRPr="00075708">
        <w:t>Methodology</w:t>
      </w:r>
    </w:p>
    <w:p w:rsidR="000B5C96" w:rsidRPr="00075708" w:rsidRDefault="000B5C96" w:rsidP="003F606A">
      <w:pPr>
        <w:pStyle w:val="BodyText"/>
      </w:pPr>
      <w:r w:rsidRPr="00075708">
        <w:t>A number of components and sub-components of this proposal are for specified capped funding amounts.  In relation to these items the PBO has determined, based on the description of the activities to be funded, whether the capped costs would be administered or departmental.</w:t>
      </w:r>
    </w:p>
    <w:p w:rsidR="000B5C96" w:rsidRPr="00075708" w:rsidRDefault="000B5C96" w:rsidP="003F606A">
      <w:pPr>
        <w:pStyle w:val="BodyText"/>
        <w:rPr>
          <w:b/>
        </w:rPr>
      </w:pPr>
      <w:r w:rsidRPr="00075708">
        <w:t xml:space="preserve">The demand driven administered expenditure estimates of component 2 were calculated using a </w:t>
      </w:r>
      <w:r w:rsidRPr="00075708">
        <w:rPr>
          <w:i/>
        </w:rPr>
        <w:t>jobactive</w:t>
      </w:r>
      <w:r w:rsidRPr="00075708">
        <w:t xml:space="preserve"> costing model.  Estimates reflect the increase in</w:t>
      </w:r>
      <w:r w:rsidRPr="00075708">
        <w:rPr>
          <w:i/>
        </w:rPr>
        <w:t xml:space="preserve"> jobactive</w:t>
      </w:r>
      <w:r w:rsidRPr="00075708">
        <w:t xml:space="preserve"> program costs from jobseekers moving to Stream B assistance from lower levels of assistance.  There would be no departmental costs associated with this component as there would be no additional administrative burden as a result of these changes.</w:t>
      </w:r>
    </w:p>
    <w:p w:rsidR="000B5C96" w:rsidRPr="008E0685" w:rsidRDefault="000B5C96" w:rsidP="003F606A">
      <w:pPr>
        <w:spacing w:before="114" w:after="114"/>
        <w:rPr>
          <w:rFonts w:cs="Times New Roman"/>
          <w:spacing w:val="-1"/>
        </w:rPr>
      </w:pPr>
      <w:r w:rsidRPr="008E0685">
        <w:rPr>
          <w:rFonts w:cs="Times New Roman"/>
          <w:spacing w:val="-1"/>
        </w:rPr>
        <w:t>Departmental costs are based on similar activities and the estimates account for the net</w:t>
      </w:r>
      <w:r w:rsidRPr="00075708">
        <w:rPr>
          <w:rFonts w:ascii="Calibri" w:eastAsia="Calibri" w:hAnsi="Calibri" w:cs="Times New Roman"/>
        </w:rPr>
        <w:t xml:space="preserve"> </w:t>
      </w:r>
      <w:r w:rsidRPr="008E0685">
        <w:rPr>
          <w:rFonts w:cs="Times New Roman"/>
          <w:spacing w:val="-1"/>
        </w:rPr>
        <w:t>effect of indexation parameters and the efficiency dividend, in accordance with the Department of Finance’s costing practices.</w:t>
      </w:r>
    </w:p>
    <w:p w:rsidR="000B5C96" w:rsidRPr="00075708" w:rsidRDefault="000B5C96" w:rsidP="003F606A">
      <w:pPr>
        <w:pStyle w:val="CostingsH7"/>
      </w:pPr>
      <w:r w:rsidRPr="00075708">
        <w:t>Data sources</w:t>
      </w:r>
    </w:p>
    <w:p w:rsidR="000B5C96" w:rsidRPr="00075708" w:rsidRDefault="000B5C96" w:rsidP="000B5C96">
      <w:pPr>
        <w:pStyle w:val="ListBullet"/>
        <w:numPr>
          <w:ilvl w:val="0"/>
          <w:numId w:val="123"/>
        </w:numPr>
        <w:ind w:left="454" w:hanging="454"/>
        <w:rPr>
          <w:lang w:eastAsia="en-AU"/>
        </w:rPr>
      </w:pPr>
      <w:r w:rsidRPr="00075708">
        <w:rPr>
          <w:lang w:eastAsia="en-AU"/>
        </w:rPr>
        <w:t>Labour Market and Related Payments March 2016 from the Department of Social Services.</w:t>
      </w:r>
    </w:p>
    <w:p w:rsidR="000B5C96" w:rsidRPr="00075708" w:rsidRDefault="000B5C96" w:rsidP="000B5C96">
      <w:pPr>
        <w:pStyle w:val="ListBullet"/>
        <w:numPr>
          <w:ilvl w:val="0"/>
          <w:numId w:val="123"/>
        </w:numPr>
        <w:ind w:left="454" w:hanging="454"/>
        <w:rPr>
          <w:lang w:eastAsia="en-AU"/>
        </w:rPr>
      </w:pPr>
      <w:r w:rsidRPr="00075708">
        <w:rPr>
          <w:lang w:eastAsia="en-AU"/>
        </w:rPr>
        <w:t>The jobactive costing model as from the Department of Employment.</w:t>
      </w:r>
    </w:p>
    <w:p w:rsidR="000B5C96" w:rsidRDefault="000B5C96" w:rsidP="000B5C96">
      <w:pPr>
        <w:pStyle w:val="ListBullet"/>
        <w:numPr>
          <w:ilvl w:val="0"/>
          <w:numId w:val="123"/>
        </w:numPr>
        <w:ind w:left="454" w:hanging="454"/>
        <w:rPr>
          <w:lang w:eastAsia="en-AU"/>
        </w:rPr>
        <w:sectPr w:rsidR="000B5C96" w:rsidSect="008430E8">
          <w:pgSz w:w="11907" w:h="16839" w:code="9"/>
          <w:pgMar w:top="1361" w:right="1797" w:bottom="1474" w:left="1797" w:header="283" w:footer="454" w:gutter="0"/>
          <w:cols w:space="708"/>
          <w:docGrid w:linePitch="360"/>
        </w:sectPr>
      </w:pPr>
      <w:r w:rsidRPr="00075708">
        <w:rPr>
          <w:lang w:eastAsia="en-AU"/>
        </w:rPr>
        <w:t>Department of Finance provided indexation parameters.</w:t>
      </w:r>
    </w:p>
    <w:p w:rsidR="000B5C96" w:rsidRPr="00075708" w:rsidRDefault="000B5C96" w:rsidP="000B5C96">
      <w:pPr>
        <w:pStyle w:val="Heading6"/>
        <w:numPr>
          <w:ilvl w:val="0"/>
          <w:numId w:val="5"/>
        </w:numPr>
        <w:tabs>
          <w:tab w:val="right" w:pos="1418"/>
          <w:tab w:val="right" w:pos="1701"/>
          <w:tab w:val="right" w:pos="1985"/>
        </w:tabs>
      </w:pPr>
      <w:r w:rsidRPr="00075708">
        <w:t>Attachment A: Helping Older Australians—proposal detail</w:t>
      </w:r>
    </w:p>
    <w:p w:rsidR="000B5C96" w:rsidRDefault="000B5C96" w:rsidP="003F606A">
      <w:pPr>
        <w:pStyle w:val="BodyText"/>
      </w:pPr>
      <w:r>
        <w:t>The proposal includes seven components to improve support for older Australians:</w:t>
      </w:r>
    </w:p>
    <w:p w:rsidR="000B5C96" w:rsidRPr="00C37C2E" w:rsidRDefault="000B5C96" w:rsidP="000B5C96">
      <w:pPr>
        <w:pStyle w:val="ListBullet"/>
        <w:numPr>
          <w:ilvl w:val="0"/>
          <w:numId w:val="123"/>
        </w:numPr>
        <w:ind w:left="454" w:hanging="454"/>
      </w:pPr>
      <w:r w:rsidRPr="00C37C2E">
        <w:t>Component 1: Provide $5 million over three years (2017-18 to 2019-20) for a national mature age worker strategy.</w:t>
      </w:r>
    </w:p>
    <w:p w:rsidR="000B5C96" w:rsidRPr="00C37C2E" w:rsidRDefault="000B5C96" w:rsidP="000B5C96">
      <w:pPr>
        <w:pStyle w:val="ListBullet"/>
        <w:numPr>
          <w:ilvl w:val="0"/>
          <w:numId w:val="123"/>
        </w:numPr>
        <w:ind w:left="454" w:hanging="454"/>
      </w:pPr>
      <w:r w:rsidRPr="00C37C2E">
        <w:t>Component 2: Allow individuals aged 45 and over who are currently eligible for lower levels of jobactive support to volunteer for Stream B from 1 July 2017.</w:t>
      </w:r>
    </w:p>
    <w:p w:rsidR="000B5C96" w:rsidRPr="00C37C2E" w:rsidRDefault="000B5C96" w:rsidP="000B5C96">
      <w:pPr>
        <w:pStyle w:val="ListBullet"/>
        <w:numPr>
          <w:ilvl w:val="0"/>
          <w:numId w:val="123"/>
        </w:numPr>
        <w:ind w:left="454" w:hanging="454"/>
      </w:pPr>
      <w:r w:rsidRPr="00C37C2E">
        <w:t>Component 3: Work across jurisdictions through the Council of Australian Governments (COAG) to remove any remaining legal barriers to mature age workers.</w:t>
      </w:r>
    </w:p>
    <w:p w:rsidR="000B5C96" w:rsidRPr="00C37C2E" w:rsidRDefault="000B5C96" w:rsidP="000B5C96">
      <w:pPr>
        <w:pStyle w:val="ListBullet"/>
        <w:numPr>
          <w:ilvl w:val="0"/>
          <w:numId w:val="123"/>
        </w:numPr>
        <w:ind w:left="454" w:hanging="454"/>
      </w:pPr>
      <w:r w:rsidRPr="00C37C2E">
        <w:t>Component 4: Provide $4 million over two years (2016</w:t>
      </w:r>
      <w:r w:rsidRPr="00C37C2E">
        <w:noBreakHyphen/>
        <w:t>17 and 2017</w:t>
      </w:r>
      <w:r w:rsidRPr="00C37C2E">
        <w:noBreakHyphen/>
        <w:t>18) to develop a national aged care workforce strategy.</w:t>
      </w:r>
    </w:p>
    <w:p w:rsidR="000B5C96" w:rsidRPr="00FE3E90" w:rsidRDefault="000B5C96" w:rsidP="000B5C96">
      <w:pPr>
        <w:pStyle w:val="ListBullet"/>
        <w:numPr>
          <w:ilvl w:val="0"/>
          <w:numId w:val="123"/>
        </w:numPr>
        <w:ind w:left="454" w:hanging="454"/>
      </w:pPr>
      <w:r w:rsidRPr="00C37C2E">
        <w:t xml:space="preserve">Component 5: Provide additional funding and support for dementia commencing </w:t>
      </w:r>
      <w:r w:rsidRPr="00FE3E90">
        <w:t>1 September 2016, with funding to be spread over four years:</w:t>
      </w:r>
    </w:p>
    <w:p w:rsidR="000B5C96" w:rsidRPr="00C37C2E" w:rsidRDefault="000B5C96" w:rsidP="000B5C96">
      <w:pPr>
        <w:pStyle w:val="ListBullet2"/>
        <w:numPr>
          <w:ilvl w:val="0"/>
          <w:numId w:val="124"/>
        </w:numPr>
        <w:ind w:left="908" w:hanging="454"/>
      </w:pPr>
      <w:r w:rsidRPr="00C37C2E">
        <w:t>$4.0 million for a National Dementia strategy</w:t>
      </w:r>
    </w:p>
    <w:p w:rsidR="000B5C96" w:rsidRPr="00C37C2E" w:rsidRDefault="000B5C96" w:rsidP="000B5C96">
      <w:pPr>
        <w:pStyle w:val="ListBullet2"/>
        <w:numPr>
          <w:ilvl w:val="0"/>
          <w:numId w:val="124"/>
        </w:numPr>
        <w:ind w:left="908" w:hanging="454"/>
      </w:pPr>
      <w:r w:rsidRPr="00C37C2E">
        <w:t xml:space="preserve">$5.2 million for Dementia Friendly Communities </w:t>
      </w:r>
    </w:p>
    <w:p w:rsidR="000B5C96" w:rsidRPr="00C37C2E" w:rsidRDefault="000B5C96" w:rsidP="000B5C96">
      <w:pPr>
        <w:pStyle w:val="ListBullet2"/>
        <w:numPr>
          <w:ilvl w:val="0"/>
          <w:numId w:val="124"/>
        </w:numPr>
        <w:ind w:left="908" w:hanging="454"/>
      </w:pPr>
      <w:r w:rsidRPr="00C37C2E">
        <w:t>$8.0 million for a Dementia Risk Reduction program</w:t>
      </w:r>
    </w:p>
    <w:p w:rsidR="000B5C96" w:rsidRPr="00C37C2E" w:rsidRDefault="000B5C96" w:rsidP="000B5C96">
      <w:pPr>
        <w:pStyle w:val="ListBullet2"/>
        <w:numPr>
          <w:ilvl w:val="0"/>
          <w:numId w:val="124"/>
        </w:numPr>
        <w:ind w:left="908" w:hanging="454"/>
      </w:pPr>
      <w:r w:rsidRPr="00C37C2E">
        <w:t>$6.0 million for a Timely Diagnostic Initiative</w:t>
      </w:r>
    </w:p>
    <w:p w:rsidR="000B5C96" w:rsidRPr="00C37C2E" w:rsidRDefault="000B5C96" w:rsidP="000B5C96">
      <w:pPr>
        <w:pStyle w:val="ListBullet2"/>
        <w:numPr>
          <w:ilvl w:val="0"/>
          <w:numId w:val="124"/>
        </w:numPr>
        <w:ind w:left="908" w:hanging="454"/>
      </w:pPr>
      <w:r w:rsidRPr="00C37C2E">
        <w:t>$20.0 million for Post Diagnostic Dementia Services and Supports</w:t>
      </w:r>
    </w:p>
    <w:p w:rsidR="000B5C96" w:rsidRPr="00C37C2E" w:rsidRDefault="000B5C96" w:rsidP="000B5C96">
      <w:pPr>
        <w:pStyle w:val="ListBullet2"/>
        <w:numPr>
          <w:ilvl w:val="0"/>
          <w:numId w:val="124"/>
        </w:numPr>
        <w:ind w:left="908" w:hanging="454"/>
      </w:pPr>
      <w:r w:rsidRPr="00C37C2E">
        <w:t>$64.0 million for High Quality Ongoing Care and Support</w:t>
      </w:r>
    </w:p>
    <w:p w:rsidR="000B5C96" w:rsidRPr="00C37C2E" w:rsidRDefault="000B5C96" w:rsidP="000B5C96">
      <w:pPr>
        <w:pStyle w:val="ListBullet2"/>
        <w:numPr>
          <w:ilvl w:val="0"/>
          <w:numId w:val="124"/>
        </w:numPr>
        <w:ind w:left="908" w:hanging="454"/>
      </w:pPr>
      <w:r w:rsidRPr="00C37C2E">
        <w:t>$8.8 million for End-of-Life Care</w:t>
      </w:r>
    </w:p>
    <w:p w:rsidR="000B5C96" w:rsidRPr="00C37C2E" w:rsidRDefault="000B5C96" w:rsidP="000B5C96">
      <w:pPr>
        <w:pStyle w:val="ListBullet2"/>
        <w:numPr>
          <w:ilvl w:val="0"/>
          <w:numId w:val="124"/>
        </w:numPr>
        <w:ind w:left="908" w:hanging="454"/>
      </w:pPr>
      <w:r w:rsidRPr="00C37C2E">
        <w:t xml:space="preserve">$20.8 million for research. </w:t>
      </w:r>
    </w:p>
    <w:p w:rsidR="000B5C96" w:rsidRPr="00C37C2E" w:rsidRDefault="000B5C96" w:rsidP="000B5C96">
      <w:pPr>
        <w:pStyle w:val="ListBullet"/>
        <w:numPr>
          <w:ilvl w:val="0"/>
          <w:numId w:val="123"/>
        </w:numPr>
        <w:ind w:left="454" w:hanging="454"/>
      </w:pPr>
      <w:r w:rsidRPr="00C37C2E">
        <w:t xml:space="preserve">Component 6: Develop a national plan to work towards full consumer directed care as recommended by the Productivity Commission through consultation between public service agencies, peak bodies and sector stakeholders, commencing 1 September 2016. </w:t>
      </w:r>
    </w:p>
    <w:p w:rsidR="000B5C96" w:rsidRPr="00C37C2E" w:rsidRDefault="000B5C96" w:rsidP="000B5C96">
      <w:pPr>
        <w:pStyle w:val="ListBullet"/>
        <w:numPr>
          <w:ilvl w:val="0"/>
          <w:numId w:val="123"/>
        </w:numPr>
        <w:ind w:left="454" w:hanging="454"/>
      </w:pPr>
      <w:r w:rsidRPr="00C37C2E">
        <w:t>Component 7: Provide additional funding for palliative care, with funding to be spread over four years.</w:t>
      </w:r>
    </w:p>
    <w:p w:rsidR="000B5C96" w:rsidRDefault="000B5C96" w:rsidP="000B5C96">
      <w:pPr>
        <w:pStyle w:val="ListBullet2"/>
        <w:numPr>
          <w:ilvl w:val="0"/>
          <w:numId w:val="124"/>
        </w:numPr>
        <w:ind w:left="908" w:hanging="454"/>
      </w:pPr>
      <w:r>
        <w:t>Provide $15 million per year to states and territories for palliative care.</w:t>
      </w:r>
    </w:p>
    <w:p w:rsidR="000B5C96" w:rsidRDefault="000B5C96" w:rsidP="000B5C96">
      <w:pPr>
        <w:pStyle w:val="ListBullet2"/>
        <w:numPr>
          <w:ilvl w:val="0"/>
          <w:numId w:val="124"/>
        </w:numPr>
        <w:ind w:left="908" w:hanging="454"/>
      </w:pPr>
      <w:r>
        <w:t>Develop a nationally consistent model legislation for advanced care planning through COAG.</w:t>
      </w:r>
    </w:p>
    <w:p w:rsidR="000B5C96" w:rsidRDefault="000B5C96" w:rsidP="000B5C96">
      <w:pPr>
        <w:pStyle w:val="ListBullet2"/>
        <w:numPr>
          <w:ilvl w:val="0"/>
          <w:numId w:val="124"/>
        </w:numPr>
        <w:ind w:left="908" w:hanging="454"/>
      </w:pPr>
      <w:r>
        <w:t>Provide capped funding of $5 million (including departmental costs) to Palliative Care Australia to develop a model for a National Cooperative for Palliative and End of Life Care.</w:t>
      </w:r>
    </w:p>
    <w:p w:rsidR="000B5C96" w:rsidRDefault="000B5C96" w:rsidP="000B5C96">
      <w:pPr>
        <w:pStyle w:val="ListBullet2"/>
        <w:numPr>
          <w:ilvl w:val="0"/>
          <w:numId w:val="124"/>
        </w:numPr>
        <w:ind w:left="908" w:hanging="454"/>
      </w:pPr>
      <w:r>
        <w:t>Provide capped funding of $10 million (including departmental costs) for a national awareness campaign.</w:t>
      </w:r>
    </w:p>
    <w:p w:rsidR="000B5C96" w:rsidRDefault="000B5C96" w:rsidP="000B5C96">
      <w:pPr>
        <w:pStyle w:val="ListBullet2"/>
        <w:numPr>
          <w:ilvl w:val="0"/>
          <w:numId w:val="124"/>
        </w:numPr>
        <w:ind w:left="908" w:hanging="454"/>
      </w:pPr>
      <w:r>
        <w:t>Provide $1 million in capped funding (including departmental costs) for research projects.</w:t>
      </w:r>
    </w:p>
    <w:p w:rsidR="000B5C96" w:rsidRDefault="000B5C96" w:rsidP="000B5C96">
      <w:pPr>
        <w:pStyle w:val="ListBullet2"/>
        <w:numPr>
          <w:ilvl w:val="0"/>
          <w:numId w:val="124"/>
        </w:numPr>
        <w:ind w:left="908" w:hanging="454"/>
        <w:sectPr w:rsidR="000B5C96" w:rsidSect="008430E8">
          <w:pgSz w:w="11907" w:h="16839" w:code="9"/>
          <w:pgMar w:top="1361" w:right="1797" w:bottom="1474" w:left="1797" w:header="283" w:footer="454" w:gutter="0"/>
          <w:cols w:space="708"/>
          <w:docGrid w:linePitch="360"/>
        </w:sectPr>
      </w:pPr>
    </w:p>
    <w:p w:rsidR="000B5C96" w:rsidRPr="00075708" w:rsidRDefault="000B5C96" w:rsidP="000B5C96">
      <w:pPr>
        <w:pStyle w:val="Heading6"/>
        <w:numPr>
          <w:ilvl w:val="0"/>
          <w:numId w:val="5"/>
        </w:numPr>
        <w:tabs>
          <w:tab w:val="right" w:pos="1418"/>
          <w:tab w:val="right" w:pos="1701"/>
          <w:tab w:val="right" w:pos="1985"/>
        </w:tabs>
      </w:pPr>
      <w:r w:rsidRPr="00075708">
        <w:t>Attachment B: Helping Older Australians—financial implications</w:t>
      </w:r>
    </w:p>
    <w:p w:rsidR="000B5C96" w:rsidRPr="00075708" w:rsidRDefault="000B5C96" w:rsidP="003F606A">
      <w:pPr>
        <w:pStyle w:val="Caption"/>
        <w:rPr>
          <w:vertAlign w:val="superscript"/>
        </w:rPr>
      </w:pPr>
      <w:r w:rsidRPr="00075708">
        <w:t>Table A1: Helping Older Australians—Financial implications (outturn prices)</w:t>
      </w:r>
      <w:r w:rsidRPr="00075708">
        <w:rPr>
          <w:vertAlign w:val="superscript"/>
        </w:rPr>
        <w:t>(a)(b)</w:t>
      </w:r>
    </w:p>
    <w:tbl>
      <w:tblPr>
        <w:tblStyle w:val="TableGrid2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075708"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rPr>
                <w:szCs w:val="20"/>
              </w:rPr>
            </w:pPr>
            <w:r w:rsidRPr="00075708">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val="0"/>
                <w:szCs w:val="20"/>
                <w:vertAlign w:val="superscript"/>
              </w:rPr>
            </w:pPr>
            <w:r w:rsidRPr="00075708">
              <w:t>Total</w:t>
            </w:r>
            <w:r w:rsidRPr="00075708">
              <w:rPr>
                <w:szCs w:val="20"/>
              </w:rPr>
              <w:t xml:space="preserve"> to 2019–20</w:t>
            </w:r>
          </w:p>
        </w:tc>
      </w:tr>
      <w:tr w:rsidR="000B5C96" w:rsidRPr="00075708"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075708" w:rsidRDefault="000B5C96" w:rsidP="003F606A">
            <w:pPr>
              <w:keepNext/>
              <w:keepLines/>
              <w:ind w:left="57" w:right="57"/>
              <w:rPr>
                <w:b/>
              </w:rPr>
            </w:pPr>
            <w:r w:rsidRPr="00075708">
              <w:rPr>
                <w:b/>
              </w:rPr>
              <w:t>Impact on fiscal and underlying cash balances</w:t>
            </w:r>
          </w:p>
        </w:tc>
      </w:tr>
      <w:tr w:rsidR="000B5C96" w:rsidRPr="00075708"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ind w:left="227" w:right="57"/>
              <w:rPr>
                <w:i/>
                <w:szCs w:val="20"/>
              </w:rPr>
            </w:pPr>
            <w:r w:rsidRPr="00075708">
              <w:rPr>
                <w:i/>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-52.1</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-102.7</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-148.7</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-169.3</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075708">
              <w:rPr>
                <w:rFonts w:ascii="Calibri" w:hAnsi="Calibri"/>
                <w:b/>
                <w:i/>
              </w:rPr>
              <w:t>-472.9</w:t>
            </w:r>
          </w:p>
        </w:tc>
      </w:tr>
      <w:tr w:rsidR="000B5C96" w:rsidRPr="00075708"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ind w:left="227" w:right="57"/>
              <w:rPr>
                <w:i/>
                <w:szCs w:val="20"/>
              </w:rPr>
            </w:pPr>
            <w:r w:rsidRPr="00075708">
              <w:rPr>
                <w:i/>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-3.7</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-4.8</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-2.8</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-2.8</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075708">
              <w:rPr>
                <w:rFonts w:ascii="Calibri" w:hAnsi="Calibri"/>
                <w:b/>
                <w:i/>
              </w:rPr>
              <w:t>-13.9</w:t>
            </w:r>
          </w:p>
        </w:tc>
      </w:tr>
      <w:tr w:rsidR="000B5C96" w:rsidRPr="00075708"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ind w:left="57" w:right="57"/>
              <w:rPr>
                <w:b/>
                <w:szCs w:val="20"/>
              </w:rPr>
            </w:pPr>
            <w:r w:rsidRPr="00075708">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-55.8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-107.5</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-151.5</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-172.1</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-486.8</w:t>
            </w:r>
          </w:p>
        </w:tc>
      </w:tr>
    </w:tbl>
    <w:p w:rsidR="000B5C96" w:rsidRDefault="000B5C96" w:rsidP="005227B7">
      <w:pPr>
        <w:pStyle w:val="Footnotes"/>
        <w:numPr>
          <w:ilvl w:val="0"/>
          <w:numId w:val="240"/>
        </w:numPr>
        <w:ind w:left="284" w:hanging="284"/>
      </w:pPr>
      <w:r w:rsidRPr="00DF1FA8">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DF1FA8" w:rsidRDefault="000B5C96" w:rsidP="000B5C96">
      <w:pPr>
        <w:pStyle w:val="Footnotes"/>
        <w:numPr>
          <w:ilvl w:val="0"/>
          <w:numId w:val="7"/>
        </w:numPr>
        <w:ind w:left="284" w:hanging="284"/>
      </w:pPr>
      <w:r w:rsidRPr="00DF1FA8">
        <w:t>Figures may not sum to totals due to rounding.</w:t>
      </w:r>
    </w:p>
    <w:p w:rsidR="000B5C96" w:rsidRPr="00075708" w:rsidRDefault="000B5C96" w:rsidP="003F606A">
      <w:pPr>
        <w:pStyle w:val="Caption"/>
        <w:rPr>
          <w:vertAlign w:val="superscript"/>
        </w:rPr>
      </w:pPr>
      <w:r w:rsidRPr="00075708">
        <w:t>Table A2: Component 1: Provide $5 million over three years (2017-18 to 2019-20) for a national mature age worker strategy</w:t>
      </w:r>
      <w:r w:rsidRPr="00075708">
        <w:rPr>
          <w:vertAlign w:val="superscript"/>
        </w:rPr>
        <w:t>(a)(b)</w:t>
      </w:r>
    </w:p>
    <w:tbl>
      <w:tblPr>
        <w:tblStyle w:val="TableGrid2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075708"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rPr>
                <w:szCs w:val="20"/>
              </w:rPr>
            </w:pPr>
            <w:r w:rsidRPr="00075708">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val="0"/>
                <w:szCs w:val="20"/>
                <w:vertAlign w:val="superscript"/>
              </w:rPr>
            </w:pPr>
            <w:r w:rsidRPr="00075708">
              <w:t>Total</w:t>
            </w:r>
            <w:r w:rsidRPr="00075708">
              <w:rPr>
                <w:szCs w:val="20"/>
              </w:rPr>
              <w:t xml:space="preserve"> to 2019–20</w:t>
            </w:r>
          </w:p>
        </w:tc>
      </w:tr>
      <w:tr w:rsidR="000B5C96" w:rsidRPr="00075708"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075708" w:rsidRDefault="000B5C96" w:rsidP="003F606A">
            <w:pPr>
              <w:keepNext/>
              <w:keepLines/>
              <w:ind w:left="57" w:right="57"/>
              <w:rPr>
                <w:b/>
              </w:rPr>
            </w:pPr>
            <w:r w:rsidRPr="00075708">
              <w:rPr>
                <w:b/>
              </w:rPr>
              <w:t>Impact on fiscal and underlying cash balances</w:t>
            </w:r>
          </w:p>
        </w:tc>
      </w:tr>
      <w:tr w:rsidR="000B5C96" w:rsidRPr="00075708"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ind w:left="227" w:right="57"/>
              <w:rPr>
                <w:i/>
                <w:szCs w:val="20"/>
              </w:rPr>
            </w:pPr>
            <w:r w:rsidRPr="00075708">
              <w:rPr>
                <w:i/>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075708">
              <w:rPr>
                <w:rFonts w:ascii="Calibri" w:hAnsi="Calibri"/>
                <w:b/>
                <w:i/>
              </w:rPr>
              <w:t>-</w:t>
            </w:r>
          </w:p>
        </w:tc>
      </w:tr>
      <w:tr w:rsidR="000B5C96" w:rsidRPr="00075708"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ind w:left="227" w:right="57"/>
              <w:rPr>
                <w:i/>
                <w:szCs w:val="20"/>
              </w:rPr>
            </w:pPr>
            <w:r w:rsidRPr="00075708">
              <w:rPr>
                <w:i/>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-1.7</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-1.7</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-1.7</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075708">
              <w:rPr>
                <w:rFonts w:ascii="Calibri" w:hAnsi="Calibri"/>
                <w:b/>
                <w:i/>
              </w:rPr>
              <w:t>-5.0</w:t>
            </w:r>
          </w:p>
        </w:tc>
      </w:tr>
      <w:tr w:rsidR="000B5C96" w:rsidRPr="00075708"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ind w:left="57" w:right="57"/>
              <w:rPr>
                <w:b/>
                <w:szCs w:val="20"/>
              </w:rPr>
            </w:pPr>
            <w:r w:rsidRPr="00075708">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-5.0</w:t>
            </w:r>
          </w:p>
        </w:tc>
      </w:tr>
    </w:tbl>
    <w:p w:rsidR="000B5C96" w:rsidRDefault="000B5C96" w:rsidP="005227B7">
      <w:pPr>
        <w:pStyle w:val="Footnotes"/>
        <w:numPr>
          <w:ilvl w:val="0"/>
          <w:numId w:val="241"/>
        </w:numPr>
        <w:ind w:left="284" w:hanging="284"/>
      </w:pPr>
      <w:r w:rsidRPr="00075708">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075708" w:rsidRDefault="000B5C96" w:rsidP="000B5C96">
      <w:pPr>
        <w:pStyle w:val="Footnotes"/>
        <w:numPr>
          <w:ilvl w:val="0"/>
          <w:numId w:val="7"/>
        </w:numPr>
        <w:ind w:left="284" w:hanging="284"/>
      </w:pPr>
      <w:r w:rsidRPr="00075708">
        <w:t>Figures may not sum to totals due to rounding.</w:t>
      </w:r>
    </w:p>
    <w:p w:rsidR="000B5C96" w:rsidRPr="00075708" w:rsidRDefault="000B5C96" w:rsidP="000B5C96">
      <w:pPr>
        <w:pStyle w:val="Footnotes"/>
        <w:numPr>
          <w:ilvl w:val="0"/>
          <w:numId w:val="115"/>
        </w:numPr>
        <w:ind w:left="284" w:hanging="284"/>
      </w:pPr>
      <w:r w:rsidRPr="00075708">
        <w:tab/>
        <w:t>Indicates a nil value.</w:t>
      </w:r>
    </w:p>
    <w:p w:rsidR="000B5C96" w:rsidRPr="00075708" w:rsidRDefault="000B5C96" w:rsidP="003F606A">
      <w:pPr>
        <w:pStyle w:val="Caption"/>
        <w:rPr>
          <w:vertAlign w:val="superscript"/>
        </w:rPr>
      </w:pPr>
      <w:r w:rsidRPr="00075708">
        <w:t>Table A3: Component 2: Allow individuals aged 45 and over who are currently eligible for lower levels of</w:t>
      </w:r>
      <w:r w:rsidRPr="00075708">
        <w:rPr>
          <w:i/>
        </w:rPr>
        <w:t xml:space="preserve"> jobactive</w:t>
      </w:r>
      <w:r w:rsidRPr="00075708">
        <w:t xml:space="preserve"> support to volunteer for Stream B support from 1 July 2017</w:t>
      </w:r>
      <w:r w:rsidRPr="00075708">
        <w:rPr>
          <w:vertAlign w:val="superscript"/>
        </w:rPr>
        <w:t>(a)(b)</w:t>
      </w:r>
    </w:p>
    <w:tbl>
      <w:tblPr>
        <w:tblStyle w:val="TableGrid25"/>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075708"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rPr>
                <w:szCs w:val="20"/>
              </w:rPr>
            </w:pPr>
            <w:r w:rsidRPr="00075708">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075708">
              <w:rPr>
                <w:b/>
              </w:rPr>
              <w:t>Total</w:t>
            </w:r>
            <w:r w:rsidRPr="00075708">
              <w:rPr>
                <w:b/>
                <w:szCs w:val="20"/>
              </w:rPr>
              <w:t xml:space="preserve"> to 2019–20</w:t>
            </w:r>
          </w:p>
        </w:tc>
      </w:tr>
      <w:tr w:rsidR="000B5C96" w:rsidRPr="00075708"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075708" w:rsidRDefault="000B5C96" w:rsidP="003F606A">
            <w:pPr>
              <w:keepNext/>
              <w:keepLines/>
              <w:ind w:left="57" w:right="57"/>
              <w:rPr>
                <w:b/>
              </w:rPr>
            </w:pPr>
            <w:r w:rsidRPr="00075708">
              <w:rPr>
                <w:b/>
              </w:rPr>
              <w:t>Impact on fiscal and underlying cash balances</w:t>
            </w:r>
          </w:p>
        </w:tc>
      </w:tr>
      <w:tr w:rsidR="000B5C96" w:rsidRPr="00075708"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ind w:left="227" w:right="57"/>
              <w:rPr>
                <w:i/>
                <w:szCs w:val="20"/>
              </w:rPr>
            </w:pPr>
            <w:r w:rsidRPr="00075708">
              <w:rPr>
                <w:i/>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-50.6</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-96.6</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-117.2</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075708">
              <w:rPr>
                <w:rFonts w:ascii="Calibri" w:hAnsi="Calibri"/>
                <w:b/>
                <w:i/>
              </w:rPr>
              <w:t>-264.4</w:t>
            </w:r>
          </w:p>
        </w:tc>
      </w:tr>
      <w:tr w:rsidR="000B5C96" w:rsidRPr="00075708"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ind w:left="227" w:right="57"/>
              <w:rPr>
                <w:i/>
                <w:szCs w:val="20"/>
              </w:rPr>
            </w:pPr>
            <w:r w:rsidRPr="00075708">
              <w:rPr>
                <w:i/>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075708">
              <w:rPr>
                <w:rFonts w:ascii="Calibri" w:hAnsi="Calibri"/>
                <w:b/>
                <w:i/>
              </w:rPr>
              <w:t>-</w:t>
            </w:r>
          </w:p>
        </w:tc>
      </w:tr>
      <w:tr w:rsidR="000B5C96" w:rsidRPr="00075708"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ind w:left="57" w:right="57"/>
              <w:rPr>
                <w:b/>
                <w:szCs w:val="20"/>
              </w:rPr>
            </w:pPr>
            <w:r w:rsidRPr="00075708">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-50.6</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-96.6</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-117.2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-264.4</w:t>
            </w:r>
          </w:p>
        </w:tc>
      </w:tr>
    </w:tbl>
    <w:p w:rsidR="000B5C96" w:rsidRDefault="000B5C96" w:rsidP="005227B7">
      <w:pPr>
        <w:pStyle w:val="Footnotes"/>
        <w:keepNext/>
        <w:keepLines/>
        <w:numPr>
          <w:ilvl w:val="0"/>
          <w:numId w:val="242"/>
        </w:numPr>
        <w:ind w:left="284" w:hanging="284"/>
      </w:pPr>
      <w:r w:rsidRPr="00075708">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075708" w:rsidRDefault="000B5C96" w:rsidP="000B5C96">
      <w:pPr>
        <w:pStyle w:val="Footnotes"/>
        <w:keepNext/>
        <w:keepLines/>
        <w:numPr>
          <w:ilvl w:val="0"/>
          <w:numId w:val="7"/>
        </w:numPr>
        <w:ind w:left="284" w:hanging="284"/>
      </w:pPr>
      <w:r w:rsidRPr="00075708">
        <w:t>Figures may not sum to totals due to rounding.</w:t>
      </w:r>
    </w:p>
    <w:p w:rsidR="000B5C96" w:rsidRPr="00075708" w:rsidRDefault="000B5C96" w:rsidP="000B5C96">
      <w:pPr>
        <w:pStyle w:val="Footnotes"/>
        <w:numPr>
          <w:ilvl w:val="0"/>
          <w:numId w:val="115"/>
        </w:numPr>
        <w:ind w:left="284" w:hanging="284"/>
      </w:pPr>
      <w:r w:rsidRPr="00075708">
        <w:tab/>
        <w:t>Indicates a nil value.</w:t>
      </w:r>
    </w:p>
    <w:p w:rsidR="000B5C96" w:rsidRPr="00075708" w:rsidRDefault="000B5C96" w:rsidP="003F606A">
      <w:pPr>
        <w:pStyle w:val="Caption"/>
        <w:rPr>
          <w:vertAlign w:val="superscript"/>
        </w:rPr>
      </w:pPr>
      <w:r w:rsidRPr="00075708">
        <w:t xml:space="preserve">Table A4: Component 3: Work across jurisdictions through the Council of Australian Governments (COAG) to remove any remaining legal barriers to mature age workers </w:t>
      </w:r>
      <w:r w:rsidRPr="00075708">
        <w:rPr>
          <w:vertAlign w:val="superscript"/>
        </w:rPr>
        <w:t>(a)(b)</w:t>
      </w:r>
    </w:p>
    <w:tbl>
      <w:tblPr>
        <w:tblStyle w:val="TableGrid25"/>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075708"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rPr>
                <w:szCs w:val="20"/>
              </w:rPr>
            </w:pPr>
            <w:r w:rsidRPr="00075708">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75708">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75708"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075708">
              <w:rPr>
                <w:b/>
              </w:rPr>
              <w:t>Total</w:t>
            </w:r>
            <w:r w:rsidRPr="00075708">
              <w:rPr>
                <w:b/>
                <w:szCs w:val="20"/>
              </w:rPr>
              <w:t xml:space="preserve"> to 2019–20</w:t>
            </w:r>
          </w:p>
        </w:tc>
      </w:tr>
      <w:tr w:rsidR="000B5C96" w:rsidRPr="00075708"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075708" w:rsidRDefault="000B5C96" w:rsidP="003F606A">
            <w:pPr>
              <w:keepNext/>
              <w:keepLines/>
              <w:ind w:left="57" w:right="57"/>
              <w:rPr>
                <w:b/>
              </w:rPr>
            </w:pPr>
            <w:r w:rsidRPr="00075708">
              <w:rPr>
                <w:b/>
              </w:rPr>
              <w:t>Impact on fiscal and underlying cash balances</w:t>
            </w:r>
          </w:p>
        </w:tc>
      </w:tr>
      <w:tr w:rsidR="000B5C96" w:rsidRPr="00075708"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ind w:left="227" w:right="57"/>
              <w:rPr>
                <w:i/>
                <w:szCs w:val="20"/>
              </w:rPr>
            </w:pPr>
            <w:r w:rsidRPr="00075708">
              <w:rPr>
                <w:i/>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075708">
              <w:rPr>
                <w:rFonts w:ascii="Calibri" w:hAnsi="Calibri"/>
                <w:b/>
                <w:i/>
              </w:rPr>
              <w:t>-</w:t>
            </w:r>
          </w:p>
        </w:tc>
      </w:tr>
      <w:tr w:rsidR="000B5C96" w:rsidRPr="00075708"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ind w:left="227" w:right="57"/>
              <w:rPr>
                <w:i/>
                <w:szCs w:val="20"/>
              </w:rPr>
            </w:pPr>
            <w:r w:rsidRPr="00075708">
              <w:rPr>
                <w:i/>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-0.2</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07570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075708"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075708">
              <w:rPr>
                <w:rFonts w:ascii="Calibri" w:hAnsi="Calibri"/>
                <w:b/>
                <w:i/>
              </w:rPr>
              <w:t>-0.2</w:t>
            </w:r>
          </w:p>
        </w:tc>
      </w:tr>
      <w:tr w:rsidR="000B5C96" w:rsidRPr="00075708"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ind w:left="57" w:right="57"/>
              <w:rPr>
                <w:b/>
                <w:szCs w:val="20"/>
              </w:rPr>
            </w:pPr>
            <w:r w:rsidRPr="00075708">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-0.2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75708"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075708">
              <w:rPr>
                <w:rFonts w:ascii="Calibri" w:hAnsi="Calibri"/>
                <w:b/>
              </w:rPr>
              <w:t>-0.2</w:t>
            </w:r>
          </w:p>
        </w:tc>
      </w:tr>
    </w:tbl>
    <w:p w:rsidR="000B5C96" w:rsidRDefault="000B5C96" w:rsidP="005227B7">
      <w:pPr>
        <w:pStyle w:val="Footnotes"/>
        <w:keepNext/>
        <w:keepLines/>
        <w:numPr>
          <w:ilvl w:val="0"/>
          <w:numId w:val="243"/>
        </w:numPr>
        <w:ind w:left="284" w:hanging="284"/>
      </w:pPr>
      <w:r w:rsidRPr="00075708">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075708" w:rsidRDefault="000B5C96" w:rsidP="000B5C96">
      <w:pPr>
        <w:pStyle w:val="Footnotes"/>
        <w:keepNext/>
        <w:keepLines/>
        <w:numPr>
          <w:ilvl w:val="0"/>
          <w:numId w:val="7"/>
        </w:numPr>
        <w:ind w:left="284" w:hanging="284"/>
      </w:pPr>
      <w:r w:rsidRPr="00075708">
        <w:t>Figures may not sum to totals due to rounding.</w:t>
      </w:r>
    </w:p>
    <w:p w:rsidR="000B5C96" w:rsidRPr="00075708" w:rsidRDefault="000B5C96" w:rsidP="000B5C96">
      <w:pPr>
        <w:pStyle w:val="Footnotes"/>
        <w:numPr>
          <w:ilvl w:val="0"/>
          <w:numId w:val="115"/>
        </w:numPr>
        <w:ind w:left="284" w:hanging="284"/>
      </w:pPr>
      <w:r w:rsidRPr="00075708">
        <w:tab/>
        <w:t>Indicates a nil value.</w:t>
      </w:r>
    </w:p>
    <w:p w:rsidR="000B5C96" w:rsidRPr="00362769" w:rsidRDefault="000B5C96" w:rsidP="003F606A">
      <w:pPr>
        <w:pStyle w:val="Caption"/>
        <w:rPr>
          <w:vertAlign w:val="superscript"/>
        </w:rPr>
      </w:pPr>
      <w:r w:rsidRPr="00362769">
        <w:t xml:space="preserve">Table A5: Component 4: Provide $4 million over two years (2016-17 and 2017-18) to develop a national aged care workforce strategy </w:t>
      </w:r>
      <w:r w:rsidRPr="00362769">
        <w:rPr>
          <w:vertAlign w:val="superscript"/>
        </w:rPr>
        <w:t>(a)(b)</w:t>
      </w:r>
    </w:p>
    <w:tbl>
      <w:tblPr>
        <w:tblStyle w:val="TableGrid26"/>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36276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spacing w:line="240" w:lineRule="auto"/>
              <w:ind w:left="57" w:right="57"/>
              <w:rPr>
                <w:szCs w:val="20"/>
              </w:rPr>
            </w:pPr>
            <w:r w:rsidRPr="00362769">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362769">
              <w:rPr>
                <w:b/>
              </w:rPr>
              <w:t>Total</w:t>
            </w:r>
            <w:r w:rsidRPr="00362769">
              <w:rPr>
                <w:b/>
                <w:szCs w:val="20"/>
              </w:rPr>
              <w:t xml:space="preserve"> to 2019–20</w:t>
            </w:r>
          </w:p>
        </w:tc>
      </w:tr>
      <w:tr w:rsidR="000B5C96" w:rsidRPr="0036276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362769" w:rsidRDefault="000B5C96" w:rsidP="003F606A">
            <w:pPr>
              <w:keepNext/>
              <w:keepLines/>
              <w:ind w:left="57" w:right="57"/>
              <w:rPr>
                <w:b/>
              </w:rPr>
            </w:pPr>
            <w:r w:rsidRPr="00362769">
              <w:rPr>
                <w:b/>
              </w:rPr>
              <w:t>Impact on fiscal and underlying cash balances</w:t>
            </w:r>
          </w:p>
        </w:tc>
      </w:tr>
      <w:tr w:rsidR="000B5C96" w:rsidRPr="0036276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ind w:left="227" w:right="57"/>
              <w:rPr>
                <w:i/>
                <w:szCs w:val="20"/>
              </w:rPr>
            </w:pPr>
            <w:r w:rsidRPr="00362769">
              <w:rPr>
                <w:i/>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w:t>
            </w:r>
          </w:p>
        </w:tc>
      </w:tr>
      <w:tr w:rsidR="000B5C96" w:rsidRPr="0036276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ind w:left="227" w:right="57"/>
              <w:rPr>
                <w:i/>
                <w:szCs w:val="20"/>
              </w:rPr>
            </w:pPr>
            <w:r w:rsidRPr="00362769">
              <w:rPr>
                <w:i/>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-2.0</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-2.0</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362769">
              <w:rPr>
                <w:rFonts w:ascii="Calibri" w:hAnsi="Calibri"/>
                <w:b/>
                <w:i/>
              </w:rPr>
              <w:t>-4.0</w:t>
            </w:r>
          </w:p>
        </w:tc>
      </w:tr>
      <w:tr w:rsidR="000B5C96" w:rsidRPr="0036276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keepNext/>
              <w:keepLines/>
              <w:ind w:left="57" w:right="57"/>
              <w:rPr>
                <w:b/>
                <w:szCs w:val="20"/>
              </w:rPr>
            </w:pPr>
            <w:r w:rsidRPr="00362769">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-2.0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-2.0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-4.0</w:t>
            </w:r>
          </w:p>
        </w:tc>
      </w:tr>
    </w:tbl>
    <w:p w:rsidR="000B5C96" w:rsidRDefault="000B5C96" w:rsidP="005227B7">
      <w:pPr>
        <w:pStyle w:val="Footnotes"/>
        <w:keepNext/>
        <w:keepLines/>
        <w:numPr>
          <w:ilvl w:val="0"/>
          <w:numId w:val="244"/>
        </w:numPr>
        <w:ind w:left="284" w:hanging="284"/>
      </w:pPr>
      <w:r w:rsidRPr="009D4336">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9D4336" w:rsidRDefault="000B5C96" w:rsidP="000B5C96">
      <w:pPr>
        <w:pStyle w:val="Footnotes"/>
        <w:keepNext/>
        <w:keepLines/>
        <w:numPr>
          <w:ilvl w:val="0"/>
          <w:numId w:val="7"/>
        </w:numPr>
        <w:ind w:left="284" w:hanging="284"/>
      </w:pPr>
      <w:r w:rsidRPr="009D4336">
        <w:t>Figures may not sum to totals due to rounding.</w:t>
      </w:r>
    </w:p>
    <w:p w:rsidR="000B5C96" w:rsidRPr="00362769" w:rsidRDefault="000B5C96" w:rsidP="000B5C96">
      <w:pPr>
        <w:pStyle w:val="Footnotes"/>
        <w:numPr>
          <w:ilvl w:val="0"/>
          <w:numId w:val="115"/>
        </w:numPr>
        <w:ind w:left="284" w:hanging="284"/>
      </w:pPr>
      <w:r w:rsidRPr="00362769">
        <w:tab/>
        <w:t>Indicates a nil value.</w:t>
      </w:r>
    </w:p>
    <w:p w:rsidR="000B5C96" w:rsidRPr="00362769" w:rsidRDefault="000B5C96" w:rsidP="003F606A">
      <w:pPr>
        <w:pStyle w:val="Caption"/>
        <w:rPr>
          <w:vertAlign w:val="superscript"/>
        </w:rPr>
      </w:pPr>
      <w:r w:rsidRPr="00362769">
        <w:t>Table A6: Component 5: Provide additional funding and support for dementia</w:t>
      </w:r>
      <w:r w:rsidRPr="00362769">
        <w:rPr>
          <w:vertAlign w:val="superscript"/>
        </w:rPr>
        <w:t>(a)(b)</w:t>
      </w:r>
    </w:p>
    <w:tbl>
      <w:tblPr>
        <w:tblStyle w:val="TableGrid26"/>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36276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rPr>
                <w:szCs w:val="20"/>
              </w:rPr>
            </w:pPr>
            <w:r w:rsidRPr="00362769">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362769">
              <w:rPr>
                <w:b/>
              </w:rPr>
              <w:t>Total</w:t>
            </w:r>
            <w:r w:rsidRPr="00362769">
              <w:rPr>
                <w:b/>
                <w:szCs w:val="20"/>
              </w:rPr>
              <w:t xml:space="preserve"> to 2019–20</w:t>
            </w:r>
          </w:p>
        </w:tc>
      </w:tr>
      <w:tr w:rsidR="000B5C96" w:rsidRPr="0036276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362769" w:rsidRDefault="000B5C96" w:rsidP="003F606A">
            <w:pPr>
              <w:keepNext/>
              <w:keepLines/>
              <w:ind w:left="57" w:right="57"/>
              <w:rPr>
                <w:b/>
              </w:rPr>
            </w:pPr>
            <w:r w:rsidRPr="00362769">
              <w:rPr>
                <w:b/>
              </w:rPr>
              <w:t>Impact on fiscal and underlying cash balances</w:t>
            </w:r>
          </w:p>
        </w:tc>
      </w:tr>
      <w:tr w:rsidR="000B5C96" w:rsidRPr="0036276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ind w:left="227" w:right="57"/>
              <w:rPr>
                <w:i/>
                <w:szCs w:val="20"/>
              </w:rPr>
            </w:pPr>
            <w:r w:rsidRPr="00362769">
              <w:rPr>
                <w:i/>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-33.2</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-33.2</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-33.2</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-33.2</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-132.8</w:t>
            </w:r>
          </w:p>
        </w:tc>
      </w:tr>
      <w:tr w:rsidR="000B5C96" w:rsidRPr="0036276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ind w:left="227" w:right="57"/>
              <w:rPr>
                <w:i/>
                <w:szCs w:val="20"/>
              </w:rPr>
            </w:pPr>
            <w:r w:rsidRPr="00362769">
              <w:rPr>
                <w:i/>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-1.0</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-1.0</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-1.0</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-1.0</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362769">
              <w:rPr>
                <w:rFonts w:ascii="Calibri" w:hAnsi="Calibri"/>
                <w:b/>
                <w:i/>
              </w:rPr>
              <w:t>-4.0</w:t>
            </w:r>
          </w:p>
        </w:tc>
      </w:tr>
      <w:tr w:rsidR="000B5C96" w:rsidRPr="0036276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keepNext/>
              <w:keepLines/>
              <w:ind w:left="57" w:right="57"/>
              <w:rPr>
                <w:b/>
                <w:szCs w:val="20"/>
              </w:rPr>
            </w:pPr>
            <w:r w:rsidRPr="00362769">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-34.2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-34.2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-34.2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-34.2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-136.8</w:t>
            </w:r>
          </w:p>
        </w:tc>
      </w:tr>
    </w:tbl>
    <w:p w:rsidR="000B5C96" w:rsidRDefault="000B5C96" w:rsidP="005227B7">
      <w:pPr>
        <w:pStyle w:val="Footnotes"/>
        <w:numPr>
          <w:ilvl w:val="0"/>
          <w:numId w:val="245"/>
        </w:numPr>
        <w:ind w:left="284" w:hanging="284"/>
      </w:pPr>
      <w:r w:rsidRPr="009D4336">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9D4336" w:rsidRDefault="000B5C96" w:rsidP="000B5C96">
      <w:pPr>
        <w:pStyle w:val="Footnotes"/>
        <w:numPr>
          <w:ilvl w:val="0"/>
          <w:numId w:val="7"/>
        </w:numPr>
        <w:ind w:left="284" w:hanging="284"/>
      </w:pPr>
      <w:r w:rsidRPr="009D4336">
        <w:t>Figures may not sum to totals due to rounding.</w:t>
      </w:r>
    </w:p>
    <w:p w:rsidR="000B5C96" w:rsidRPr="00362769" w:rsidRDefault="000B5C96" w:rsidP="003F606A">
      <w:pPr>
        <w:pStyle w:val="Caption"/>
        <w:rPr>
          <w:vertAlign w:val="superscript"/>
        </w:rPr>
      </w:pPr>
      <w:r w:rsidRPr="00362769">
        <w:t xml:space="preserve">Table A7: Component 6: Develop a national plan to work towards full consumer directed care as recommended by the Productivity Commission </w:t>
      </w:r>
      <w:r w:rsidRPr="00362769">
        <w:rPr>
          <w:vertAlign w:val="superscript"/>
        </w:rPr>
        <w:t>(a)(b)</w:t>
      </w:r>
    </w:p>
    <w:tbl>
      <w:tblPr>
        <w:tblStyle w:val="TableGrid26"/>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36276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rPr>
                <w:szCs w:val="20"/>
              </w:rPr>
            </w:pPr>
            <w:r w:rsidRPr="00362769">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62769">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6276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362769">
              <w:rPr>
                <w:b/>
              </w:rPr>
              <w:t>Total</w:t>
            </w:r>
            <w:r w:rsidRPr="00362769">
              <w:rPr>
                <w:b/>
                <w:szCs w:val="20"/>
              </w:rPr>
              <w:t xml:space="preserve"> to 2019–20</w:t>
            </w:r>
          </w:p>
        </w:tc>
      </w:tr>
      <w:tr w:rsidR="000B5C96" w:rsidRPr="0036276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362769" w:rsidRDefault="000B5C96" w:rsidP="003F606A">
            <w:pPr>
              <w:keepNext/>
              <w:keepLines/>
              <w:ind w:left="57" w:right="57"/>
              <w:rPr>
                <w:b/>
              </w:rPr>
            </w:pPr>
            <w:r w:rsidRPr="00362769">
              <w:rPr>
                <w:b/>
              </w:rPr>
              <w:t>Impact on fiscal and underlying cash balances</w:t>
            </w:r>
          </w:p>
        </w:tc>
      </w:tr>
      <w:tr w:rsidR="000B5C96" w:rsidRPr="0036276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ind w:left="227" w:right="57"/>
              <w:rPr>
                <w:i/>
                <w:szCs w:val="20"/>
              </w:rPr>
            </w:pPr>
            <w:r w:rsidRPr="00362769">
              <w:rPr>
                <w:i/>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w:t>
            </w:r>
          </w:p>
        </w:tc>
      </w:tr>
      <w:tr w:rsidR="000B5C96" w:rsidRPr="0036276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keepNext/>
              <w:keepLines/>
              <w:ind w:left="227" w:right="57"/>
              <w:rPr>
                <w:i/>
                <w:szCs w:val="20"/>
              </w:rPr>
            </w:pPr>
            <w:r w:rsidRPr="00362769">
              <w:rPr>
                <w:i/>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-0.2</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362769">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36276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362769">
              <w:rPr>
                <w:rFonts w:ascii="Calibri" w:hAnsi="Calibri"/>
                <w:b/>
              </w:rPr>
              <w:t>-0.2</w:t>
            </w:r>
          </w:p>
        </w:tc>
      </w:tr>
      <w:tr w:rsidR="000B5C96" w:rsidRPr="0036276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keepNext/>
              <w:keepLines/>
              <w:ind w:left="57" w:right="57"/>
              <w:rPr>
                <w:b/>
                <w:szCs w:val="20"/>
              </w:rPr>
            </w:pPr>
            <w:r w:rsidRPr="00362769">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-0.2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36276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362769">
              <w:rPr>
                <w:rFonts w:ascii="Calibri" w:hAnsi="Calibri"/>
                <w:b/>
              </w:rPr>
              <w:t>-0.2</w:t>
            </w:r>
          </w:p>
        </w:tc>
      </w:tr>
    </w:tbl>
    <w:p w:rsidR="000B5C96" w:rsidRDefault="000B5C96" w:rsidP="005227B7">
      <w:pPr>
        <w:pStyle w:val="Footnotes"/>
        <w:numPr>
          <w:ilvl w:val="0"/>
          <w:numId w:val="246"/>
        </w:numPr>
        <w:ind w:left="284" w:hanging="284"/>
      </w:pPr>
      <w:r w:rsidRPr="009D4336">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Default="000B5C96" w:rsidP="000B5C96">
      <w:pPr>
        <w:pStyle w:val="Footnotes"/>
        <w:numPr>
          <w:ilvl w:val="0"/>
          <w:numId w:val="7"/>
        </w:numPr>
        <w:ind w:left="284" w:hanging="284"/>
      </w:pPr>
      <w:r w:rsidRPr="009D4336">
        <w:t>Figures may not sum to totals due to rounding.</w:t>
      </w:r>
      <w:r>
        <w:t xml:space="preserve"> </w:t>
      </w:r>
    </w:p>
    <w:p w:rsidR="000B5C96" w:rsidRPr="009D4336" w:rsidRDefault="000B5C96" w:rsidP="000B5C96">
      <w:pPr>
        <w:pStyle w:val="Footnotes"/>
        <w:numPr>
          <w:ilvl w:val="0"/>
          <w:numId w:val="115"/>
        </w:numPr>
        <w:ind w:left="284" w:hanging="284"/>
      </w:pPr>
      <w:r w:rsidRPr="009D4336">
        <w:t>Indicates a nil value.</w:t>
      </w:r>
    </w:p>
    <w:p w:rsidR="000B5C96" w:rsidRPr="009D4336" w:rsidRDefault="000B5C96" w:rsidP="003F606A">
      <w:pPr>
        <w:pStyle w:val="Caption"/>
        <w:rPr>
          <w:vertAlign w:val="superscript"/>
        </w:rPr>
      </w:pPr>
      <w:r w:rsidRPr="009D4336">
        <w:t xml:space="preserve">Table A8: Component 7: Palliative care </w:t>
      </w:r>
      <w:r w:rsidRPr="009D4336">
        <w:rPr>
          <w:vertAlign w:val="superscript"/>
        </w:rPr>
        <w:t>(a)(b)</w:t>
      </w:r>
    </w:p>
    <w:tbl>
      <w:tblPr>
        <w:tblStyle w:val="TableGrid2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9D4336"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9D4336" w:rsidRDefault="000B5C96" w:rsidP="003F606A">
            <w:pPr>
              <w:keepNext/>
              <w:keepLines/>
              <w:spacing w:line="240" w:lineRule="auto"/>
              <w:ind w:left="57" w:right="57"/>
              <w:rPr>
                <w:szCs w:val="20"/>
              </w:rPr>
            </w:pPr>
            <w:r w:rsidRPr="009D4336">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9D433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D4336">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9D433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D4336">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9D433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D4336">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9D433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D4336">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9D433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9D4336">
              <w:rPr>
                <w:b/>
              </w:rPr>
              <w:t>Total</w:t>
            </w:r>
            <w:r w:rsidRPr="009D4336">
              <w:rPr>
                <w:b/>
                <w:szCs w:val="20"/>
              </w:rPr>
              <w:t xml:space="preserve"> to 2019–20</w:t>
            </w:r>
          </w:p>
        </w:tc>
      </w:tr>
      <w:tr w:rsidR="000B5C96" w:rsidRPr="009D433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9D4336" w:rsidRDefault="000B5C96" w:rsidP="003F606A">
            <w:pPr>
              <w:keepNext/>
              <w:keepLines/>
              <w:ind w:left="57" w:right="57"/>
              <w:rPr>
                <w:b/>
              </w:rPr>
            </w:pPr>
            <w:r w:rsidRPr="009D4336">
              <w:rPr>
                <w:b/>
              </w:rPr>
              <w:t>Impact on fiscal and underlying cash balances</w:t>
            </w:r>
          </w:p>
        </w:tc>
      </w:tr>
      <w:tr w:rsidR="000B5C96" w:rsidRPr="009D4336"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keepNext/>
              <w:keepLines/>
              <w:ind w:left="227" w:right="57"/>
              <w:rPr>
                <w:i/>
                <w:szCs w:val="20"/>
              </w:rPr>
            </w:pPr>
            <w:r w:rsidRPr="009D4336">
              <w:rPr>
                <w:i/>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D4336">
              <w:rPr>
                <w:rFonts w:ascii="Calibri" w:hAnsi="Calibri"/>
                <w:i/>
              </w:rPr>
              <w:t>-18.9</w:t>
            </w:r>
          </w:p>
        </w:tc>
        <w:tc>
          <w:tcPr>
            <w:tcW w:w="682"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D4336">
              <w:rPr>
                <w:rFonts w:ascii="Calibri" w:hAnsi="Calibri"/>
                <w:i/>
              </w:rPr>
              <w:t>-18.9</w:t>
            </w:r>
          </w:p>
        </w:tc>
        <w:tc>
          <w:tcPr>
            <w:tcW w:w="682"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D4336">
              <w:rPr>
                <w:rFonts w:ascii="Calibri" w:hAnsi="Calibri"/>
                <w:i/>
              </w:rPr>
              <w:t>-18.9</w:t>
            </w:r>
          </w:p>
        </w:tc>
        <w:tc>
          <w:tcPr>
            <w:tcW w:w="682"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D4336">
              <w:rPr>
                <w:rFonts w:ascii="Calibri" w:hAnsi="Calibri"/>
                <w:i/>
              </w:rPr>
              <w:t>-18.9</w:t>
            </w:r>
          </w:p>
        </w:tc>
        <w:tc>
          <w:tcPr>
            <w:tcW w:w="682"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D4336">
              <w:rPr>
                <w:rFonts w:ascii="Calibri" w:hAnsi="Calibri"/>
                <w:b/>
              </w:rPr>
              <w:t>-75.7</w:t>
            </w:r>
          </w:p>
        </w:tc>
      </w:tr>
      <w:tr w:rsidR="000B5C96" w:rsidRPr="009D433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keepNext/>
              <w:keepLines/>
              <w:ind w:left="227" w:right="57"/>
              <w:rPr>
                <w:i/>
                <w:szCs w:val="20"/>
              </w:rPr>
            </w:pPr>
            <w:r w:rsidRPr="009D4336">
              <w:rPr>
                <w:i/>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D4336">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D4336">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D4336">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D4336">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tcPr>
          <w:p w:rsidR="000B5C96" w:rsidRPr="009D433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9D4336">
              <w:rPr>
                <w:rFonts w:ascii="Calibri" w:hAnsi="Calibri"/>
                <w:b/>
              </w:rPr>
              <w:t>-0.5</w:t>
            </w:r>
          </w:p>
        </w:tc>
      </w:tr>
      <w:tr w:rsidR="000B5C96" w:rsidRPr="009D4336"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9D4336" w:rsidRDefault="000B5C96" w:rsidP="003F606A">
            <w:pPr>
              <w:keepNext/>
              <w:keepLines/>
              <w:ind w:left="57" w:right="57"/>
              <w:rPr>
                <w:b/>
                <w:szCs w:val="20"/>
              </w:rPr>
            </w:pPr>
            <w:r w:rsidRPr="009D4336">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9D433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D4336">
              <w:rPr>
                <w:rFonts w:ascii="Calibri" w:hAnsi="Calibri"/>
                <w:b/>
              </w:rPr>
              <w:t>-19.2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9D433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D4336">
              <w:rPr>
                <w:rFonts w:ascii="Calibri" w:hAnsi="Calibri"/>
                <w:b/>
              </w:rPr>
              <w:t>-19.0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9D433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D4336">
              <w:rPr>
                <w:rFonts w:ascii="Calibri" w:hAnsi="Calibri"/>
                <w:b/>
              </w:rPr>
              <w:t>-19.0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9D433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D4336">
              <w:rPr>
                <w:rFonts w:ascii="Calibri" w:hAnsi="Calibri"/>
                <w:b/>
              </w:rPr>
              <w:t>-19.0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9D433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D4336">
              <w:rPr>
                <w:rFonts w:ascii="Calibri" w:hAnsi="Calibri"/>
                <w:b/>
              </w:rPr>
              <w:t>-76.2</w:t>
            </w:r>
          </w:p>
        </w:tc>
      </w:tr>
    </w:tbl>
    <w:p w:rsidR="000B5C96" w:rsidRDefault="000B5C96" w:rsidP="005227B7">
      <w:pPr>
        <w:pStyle w:val="Footnotes"/>
        <w:numPr>
          <w:ilvl w:val="0"/>
          <w:numId w:val="247"/>
        </w:numPr>
        <w:ind w:left="284" w:hanging="284"/>
      </w:pPr>
      <w:r w:rsidRPr="009D4336">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9D4336" w:rsidRDefault="000B5C96" w:rsidP="000B5C96">
      <w:pPr>
        <w:pStyle w:val="Footnotes"/>
        <w:numPr>
          <w:ilvl w:val="0"/>
          <w:numId w:val="7"/>
        </w:numPr>
        <w:ind w:left="284" w:hanging="284"/>
      </w:pPr>
      <w:r w:rsidRPr="009D4336">
        <w:t>Figures may not sum to totals due to rounding.</w:t>
      </w:r>
    </w:p>
    <w:p w:rsidR="000B5C96" w:rsidRPr="00075708" w:rsidRDefault="000B5C96" w:rsidP="000B5C96">
      <w:pPr>
        <w:pStyle w:val="Footnotes"/>
        <w:numPr>
          <w:ilvl w:val="0"/>
          <w:numId w:val="128"/>
        </w:numPr>
        <w:ind w:left="284" w:hanging="284"/>
        <w:sectPr w:rsidR="000B5C96" w:rsidRPr="00075708"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79" w:name="_Toc458001969"/>
      <w:bookmarkStart w:id="180" w:name="_Toc458069454"/>
      <w:r>
        <w:t>GRN060: Saving the Reef</w:t>
      </w:r>
      <w:bookmarkEnd w:id="179"/>
      <w:bookmarkEnd w:id="180"/>
    </w:p>
    <w:p w:rsidR="000B5C96" w:rsidRPr="008A0AE1" w:rsidRDefault="000B5C96" w:rsidP="003F606A">
      <w:pPr>
        <w:pStyle w:val="BodyText"/>
      </w:pPr>
      <w:r>
        <w:rPr>
          <w:noProof/>
          <w:lang w:eastAsia="en-AU"/>
        </w:rPr>
        <w:drawing>
          <wp:inline distT="0" distB="0" distL="0" distR="0" wp14:anchorId="52FB012F" wp14:editId="026949EF">
            <wp:extent cx="2696845" cy="572135"/>
            <wp:effectExtent l="0" t="0" r="8255" b="0"/>
            <wp:docPr id="473" name="Picture 47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9D4336" w:rsidRDefault="000B5C96" w:rsidP="000B5C96">
      <w:pPr>
        <w:pStyle w:val="Heading6"/>
        <w:numPr>
          <w:ilvl w:val="0"/>
          <w:numId w:val="5"/>
        </w:numPr>
        <w:tabs>
          <w:tab w:val="right" w:pos="1418"/>
          <w:tab w:val="right" w:pos="1701"/>
          <w:tab w:val="right" w:pos="1985"/>
        </w:tabs>
      </w:pPr>
      <w:r w:rsidRPr="009D4336">
        <w:t>Policy costing—during the caretaker period for the 2016 general election</w:t>
      </w:r>
    </w:p>
    <w:tbl>
      <w:tblPr>
        <w:tblStyle w:val="Style15"/>
        <w:tblW w:w="8472" w:type="dxa"/>
        <w:tblLook w:val="04A0" w:firstRow="1" w:lastRow="0" w:firstColumn="1" w:lastColumn="0" w:noHBand="0" w:noVBand="1"/>
      </w:tblPr>
      <w:tblGrid>
        <w:gridCol w:w="3005"/>
        <w:gridCol w:w="5467"/>
      </w:tblGrid>
      <w:tr w:rsidR="000B5C96" w:rsidRPr="00EA7F7A" w:rsidTr="00E46AB6">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98460A">
            <w:pPr>
              <w:pStyle w:val="PullOutBoxHeading"/>
              <w:ind w:left="-57" w:right="0"/>
              <w:rPr>
                <w:b w:val="0"/>
              </w:rPr>
            </w:pPr>
            <w:r w:rsidRPr="00EA7F7A">
              <w:t>Name of proposal:</w:t>
            </w:r>
          </w:p>
        </w:tc>
        <w:tc>
          <w:tcPr>
            <w:tcW w:w="5467" w:type="dxa"/>
          </w:tcPr>
          <w:p w:rsidR="000B5C96" w:rsidRPr="00EA7F7A" w:rsidRDefault="000B5C96" w:rsidP="00E46AB6">
            <w:pPr>
              <w:pStyle w:val="PullOutBoxHeading"/>
              <w:ind w:left="0"/>
              <w:rPr>
                <w:b w:val="0"/>
              </w:rPr>
            </w:pPr>
            <w:r w:rsidRPr="00EA7F7A">
              <w:t>Saving the Reef</w:t>
            </w:r>
          </w:p>
        </w:tc>
      </w:tr>
      <w:tr w:rsidR="000B5C96" w:rsidRPr="009D4336" w:rsidTr="00E46AB6">
        <w:tc>
          <w:tcPr>
            <w:tcW w:w="3005" w:type="dxa"/>
          </w:tcPr>
          <w:p w:rsidR="000B5C96" w:rsidRPr="009D4336" w:rsidRDefault="000B5C96" w:rsidP="0098460A">
            <w:pPr>
              <w:pStyle w:val="PullOutBoxBodyText"/>
              <w:spacing w:before="114" w:after="114"/>
              <w:ind w:left="-57" w:right="0"/>
            </w:pPr>
            <w:r w:rsidRPr="009D4336">
              <w:t>Summary of proposal:</w:t>
            </w:r>
          </w:p>
        </w:tc>
        <w:tc>
          <w:tcPr>
            <w:tcW w:w="5467" w:type="dxa"/>
          </w:tcPr>
          <w:p w:rsidR="000B5C96" w:rsidRPr="009D4336" w:rsidRDefault="000B5C96" w:rsidP="00E46AB6">
            <w:pPr>
              <w:pStyle w:val="PullOutBoxBodyText"/>
              <w:spacing w:before="114" w:after="114"/>
              <w:ind w:left="0"/>
            </w:pPr>
            <w:r w:rsidRPr="009D4336">
              <w:t>The proposal includes the following components:</w:t>
            </w:r>
          </w:p>
          <w:p w:rsidR="000B5C96" w:rsidRPr="009D4336" w:rsidRDefault="000B5C96" w:rsidP="00E46AB6">
            <w:pPr>
              <w:pStyle w:val="PullOutBoxBodyText"/>
              <w:spacing w:before="114" w:after="114"/>
              <w:ind w:left="0"/>
              <w:rPr>
                <w:u w:val="single"/>
              </w:rPr>
            </w:pPr>
            <w:r w:rsidRPr="009D4336">
              <w:rPr>
                <w:u w:val="single"/>
              </w:rPr>
              <w:t>Component 1 - Develop world-class water quality monitoring and reporting</w:t>
            </w:r>
          </w:p>
          <w:p w:rsidR="000B5C96" w:rsidRPr="009D4336" w:rsidRDefault="000B5C96" w:rsidP="00E46AB6">
            <w:pPr>
              <w:pStyle w:val="PullOutBoxBodyText"/>
              <w:spacing w:before="114" w:after="114"/>
              <w:ind w:left="0"/>
            </w:pPr>
            <w:r w:rsidRPr="009D4336">
              <w:t xml:space="preserve">This component would provide $15 million over four years (2016-17 to 2019-20) to the Great Barrier Reef Marine Park Authority (GBRMPA) to invest in robust, property-level water quality monitoring and reporting.  </w:t>
            </w:r>
          </w:p>
          <w:p w:rsidR="000B5C96" w:rsidRPr="009D4336" w:rsidRDefault="000B5C96" w:rsidP="00E46AB6">
            <w:pPr>
              <w:pStyle w:val="PullOutBoxBodyText"/>
              <w:spacing w:before="114" w:after="114"/>
              <w:ind w:left="0"/>
              <w:rPr>
                <w:u w:val="single"/>
              </w:rPr>
            </w:pPr>
            <w:r w:rsidRPr="009D4336">
              <w:rPr>
                <w:u w:val="single"/>
              </w:rPr>
              <w:t>Component 2 - Strengthen our Reef guardians and scientists</w:t>
            </w:r>
          </w:p>
          <w:p w:rsidR="000B5C96" w:rsidRPr="009D4336" w:rsidRDefault="000B5C96" w:rsidP="00E46AB6">
            <w:pPr>
              <w:pStyle w:val="PullOutBoxBodyText"/>
              <w:spacing w:before="114" w:after="114"/>
              <w:ind w:left="0"/>
            </w:pPr>
            <w:r w:rsidRPr="009D4336">
              <w:t>This component would provide additional funding of $80 million over four years (2016</w:t>
            </w:r>
            <w:r w:rsidRPr="009D4336">
              <w:noBreakHyphen/>
              <w:t>17 to 2019</w:t>
            </w:r>
            <w:r w:rsidRPr="009D4336">
              <w:noBreakHyphen/>
              <w:t>20) to GBRMPA to help the Reef deal with the impacts of global warming and coral bleaching, reduce local pressures like water pollution, coastal development and fishing, and to invest in research to reduce those local pressures.</w:t>
            </w:r>
          </w:p>
          <w:p w:rsidR="000B5C96" w:rsidRPr="009D4336" w:rsidRDefault="000B5C96" w:rsidP="00E46AB6">
            <w:pPr>
              <w:pStyle w:val="PullOutBoxBodyText"/>
              <w:spacing w:before="114" w:after="114"/>
              <w:ind w:left="0"/>
            </w:pPr>
            <w:r w:rsidRPr="009D4336">
              <w:rPr>
                <w:u w:val="single"/>
              </w:rPr>
              <w:t>Component 3 - Stop illegal fishing and poaching in the protected “Green Zones”</w:t>
            </w:r>
          </w:p>
          <w:p w:rsidR="000B5C96" w:rsidRPr="009D4336" w:rsidRDefault="000B5C96" w:rsidP="00E46AB6">
            <w:pPr>
              <w:pStyle w:val="PullOutBoxBodyText"/>
              <w:spacing w:before="114" w:after="114"/>
              <w:ind w:left="0"/>
            </w:pPr>
            <w:r w:rsidRPr="009D4336">
              <w:t>This component would provide $5 million over four years (2016-17 to 2019-20) in grant funding for Vessel Monitoring Systems (VMS) for commercial fishing vessels.</w:t>
            </w:r>
          </w:p>
          <w:p w:rsidR="000B5C96" w:rsidRPr="009D4336" w:rsidRDefault="000B5C96" w:rsidP="00E46AB6">
            <w:pPr>
              <w:pStyle w:val="PullOutBoxBodyText"/>
              <w:spacing w:before="114" w:after="114"/>
              <w:ind w:left="0"/>
              <w:rPr>
                <w:u w:val="single"/>
              </w:rPr>
            </w:pPr>
            <w:r w:rsidRPr="009D4336">
              <w:rPr>
                <w:u w:val="single"/>
              </w:rPr>
              <w:t>Component 4 - Reef Water Quality Program</w:t>
            </w:r>
          </w:p>
          <w:p w:rsidR="000B5C96" w:rsidRPr="009D4336" w:rsidRDefault="000B5C96" w:rsidP="00E46AB6">
            <w:pPr>
              <w:pStyle w:val="PullOutBoxBodyText"/>
              <w:spacing w:before="114" w:after="114"/>
              <w:ind w:left="0"/>
            </w:pPr>
            <w:r w:rsidRPr="009D4336">
              <w:t>This component would provide additional grant funding of $225 million over five years (2016</w:t>
            </w:r>
            <w:r w:rsidRPr="009D4336">
              <w:noBreakHyphen/>
              <w:t>17 to 2020-21) under the Reef Water Quality Program to assist farmers to transition to more sustainable practices in relation to water quality pollution (would be administered by the Department of the Environment).</w:t>
            </w:r>
          </w:p>
          <w:p w:rsidR="000B5C96" w:rsidRPr="009D4336" w:rsidRDefault="000B5C96" w:rsidP="00E46AB6">
            <w:pPr>
              <w:pStyle w:val="PullOutBoxBodyText"/>
              <w:spacing w:before="114" w:after="114"/>
              <w:ind w:left="0"/>
              <w:rPr>
                <w:b/>
                <w:u w:val="single"/>
              </w:rPr>
            </w:pPr>
            <w:r w:rsidRPr="009D4336">
              <w:rPr>
                <w:u w:val="single"/>
              </w:rPr>
              <w:t>Component 5 - Loan facility</w:t>
            </w:r>
          </w:p>
          <w:p w:rsidR="000B5C96" w:rsidRPr="009D4336" w:rsidRDefault="000B5C96" w:rsidP="00E46AB6">
            <w:pPr>
              <w:pStyle w:val="PullOutBoxBodyText"/>
              <w:spacing w:before="114" w:after="114"/>
              <w:ind w:left="0"/>
              <w:rPr>
                <w:b/>
              </w:rPr>
            </w:pPr>
            <w:r w:rsidRPr="009D4336">
              <w:t>This component would establish a $1,200 million concessional loan facility over five years (2016</w:t>
            </w:r>
            <w:r w:rsidRPr="009D4336">
              <w:noBreakHyphen/>
              <w:t>17 to 2020</w:t>
            </w:r>
            <w:r>
              <w:noBreakHyphen/>
            </w:r>
            <w:r w:rsidRPr="009D4336">
              <w:t>21) to help farmers transition to low-pollution farming methods.  The expected loan terms would be 10 years and the loan provision would be $240 million per</w:t>
            </w:r>
            <w:r>
              <w:t> </w:t>
            </w:r>
            <w:r w:rsidRPr="009D4336">
              <w:t>annum.  The facility would help highly leveraged farmers who may be at their credit limit to borrow money.  GBRMPA would supervise this facility, but would draw on the expertise of the CEFC in project management and financing work.  The loans would be made at the cost of government borrowing.</w:t>
            </w:r>
          </w:p>
          <w:p w:rsidR="000B5C96" w:rsidRPr="009D4336" w:rsidRDefault="000B5C96" w:rsidP="00E46AB6">
            <w:pPr>
              <w:pStyle w:val="PullOutBoxBodyText"/>
              <w:spacing w:before="114" w:after="114"/>
              <w:ind w:left="0"/>
            </w:pPr>
            <w:r w:rsidRPr="009D4336">
              <w:t>The proposal would have effect from 1 September 2016</w:t>
            </w:r>
          </w:p>
        </w:tc>
      </w:tr>
      <w:tr w:rsidR="000B5C96" w:rsidRPr="009D4336" w:rsidTr="00E46AB6">
        <w:tc>
          <w:tcPr>
            <w:tcW w:w="3005" w:type="dxa"/>
          </w:tcPr>
          <w:p w:rsidR="000B5C96" w:rsidRPr="009D4336" w:rsidRDefault="000B5C96" w:rsidP="0098460A">
            <w:pPr>
              <w:pStyle w:val="PullOutBoxBodyText"/>
              <w:spacing w:before="114" w:after="114"/>
              <w:ind w:left="-57" w:right="0"/>
            </w:pPr>
            <w:r w:rsidRPr="009D4336">
              <w:t>Person/party requesting costing:</w:t>
            </w:r>
          </w:p>
        </w:tc>
        <w:tc>
          <w:tcPr>
            <w:tcW w:w="5467" w:type="dxa"/>
          </w:tcPr>
          <w:p w:rsidR="000B5C96" w:rsidRPr="009D4336" w:rsidRDefault="000B5C96" w:rsidP="00E46AB6">
            <w:pPr>
              <w:pStyle w:val="PullOutBoxBodyText"/>
              <w:spacing w:before="114" w:after="114"/>
              <w:ind w:left="0"/>
            </w:pPr>
            <w:r w:rsidRPr="009D4336">
              <w:t>Senator Richard Di Natale, Australian Greens</w:t>
            </w:r>
          </w:p>
        </w:tc>
      </w:tr>
      <w:tr w:rsidR="000B5C96" w:rsidRPr="009D4336" w:rsidTr="00E46AB6">
        <w:tc>
          <w:tcPr>
            <w:tcW w:w="3005" w:type="dxa"/>
          </w:tcPr>
          <w:p w:rsidR="000B5C96" w:rsidRPr="009D4336" w:rsidRDefault="000B5C96" w:rsidP="0098460A">
            <w:pPr>
              <w:pStyle w:val="PullOutBoxBodyText"/>
              <w:spacing w:before="114" w:after="114"/>
              <w:ind w:left="-57" w:right="0"/>
            </w:pPr>
            <w:r w:rsidRPr="009D4336">
              <w:t>Date of public release of policy:</w:t>
            </w:r>
          </w:p>
        </w:tc>
        <w:tc>
          <w:tcPr>
            <w:tcW w:w="5467" w:type="dxa"/>
          </w:tcPr>
          <w:p w:rsidR="000B5C96" w:rsidRPr="009D4336" w:rsidRDefault="000B5C96" w:rsidP="00E46AB6">
            <w:pPr>
              <w:pStyle w:val="PullOutBoxBodyText"/>
              <w:spacing w:before="114" w:after="114"/>
              <w:ind w:left="0"/>
            </w:pPr>
            <w:r w:rsidRPr="009D4336">
              <w:t xml:space="preserve">9 June 2016  </w:t>
            </w:r>
          </w:p>
        </w:tc>
      </w:tr>
      <w:tr w:rsidR="000B5C96" w:rsidRPr="009D4336" w:rsidTr="00E46AB6">
        <w:tc>
          <w:tcPr>
            <w:tcW w:w="3005" w:type="dxa"/>
          </w:tcPr>
          <w:p w:rsidR="000B5C96" w:rsidRPr="009D4336" w:rsidRDefault="000B5C96" w:rsidP="0098460A">
            <w:pPr>
              <w:pStyle w:val="PullOutBoxBodyText"/>
              <w:spacing w:before="114" w:after="114"/>
              <w:ind w:left="-57" w:right="0"/>
            </w:pPr>
            <w:r w:rsidRPr="009D4336">
              <w:t>Date costing request received:</w:t>
            </w:r>
          </w:p>
        </w:tc>
        <w:tc>
          <w:tcPr>
            <w:tcW w:w="5467" w:type="dxa"/>
          </w:tcPr>
          <w:p w:rsidR="000B5C96" w:rsidRPr="009D4336" w:rsidRDefault="000B5C96" w:rsidP="00E46AB6">
            <w:pPr>
              <w:pStyle w:val="PullOutBoxBodyText"/>
              <w:spacing w:before="114" w:after="114"/>
              <w:ind w:left="0"/>
            </w:pPr>
            <w:r w:rsidRPr="009D4336">
              <w:t>30 June 2016</w:t>
            </w:r>
          </w:p>
        </w:tc>
      </w:tr>
      <w:tr w:rsidR="000B5C96" w:rsidRPr="009D4336" w:rsidTr="00E46AB6">
        <w:tc>
          <w:tcPr>
            <w:tcW w:w="3005" w:type="dxa"/>
          </w:tcPr>
          <w:p w:rsidR="000B5C96" w:rsidRPr="009D4336" w:rsidRDefault="000B5C96" w:rsidP="0098460A">
            <w:pPr>
              <w:pStyle w:val="PullOutBoxBodyText"/>
              <w:spacing w:before="114" w:after="114"/>
              <w:ind w:left="-57" w:right="0"/>
            </w:pPr>
            <w:r w:rsidRPr="009D4336">
              <w:t>Date costing completed:</w:t>
            </w:r>
          </w:p>
        </w:tc>
        <w:tc>
          <w:tcPr>
            <w:tcW w:w="5467" w:type="dxa"/>
          </w:tcPr>
          <w:p w:rsidR="000B5C96" w:rsidRPr="009D4336" w:rsidRDefault="000B5C96" w:rsidP="00E46AB6">
            <w:pPr>
              <w:pStyle w:val="PullOutBoxBodyText"/>
              <w:spacing w:before="114" w:after="114"/>
              <w:ind w:left="0"/>
            </w:pPr>
            <w:r w:rsidRPr="009D4336">
              <w:t>30 June 2016</w:t>
            </w:r>
          </w:p>
        </w:tc>
      </w:tr>
      <w:tr w:rsidR="000B5C96" w:rsidRPr="009D4336" w:rsidTr="00E46AB6">
        <w:tc>
          <w:tcPr>
            <w:tcW w:w="3005" w:type="dxa"/>
          </w:tcPr>
          <w:p w:rsidR="000B5C96" w:rsidRPr="009D4336" w:rsidRDefault="000B5C96" w:rsidP="0098460A">
            <w:pPr>
              <w:pStyle w:val="PullOutBoxBodyText"/>
              <w:spacing w:before="114" w:after="114"/>
              <w:ind w:left="-57" w:right="0"/>
            </w:pPr>
            <w:r w:rsidRPr="009D4336">
              <w:t>Expiry date for the costing:</w:t>
            </w:r>
          </w:p>
        </w:tc>
        <w:tc>
          <w:tcPr>
            <w:tcW w:w="5467" w:type="dxa"/>
          </w:tcPr>
          <w:p w:rsidR="000B5C96" w:rsidRPr="009D4336" w:rsidRDefault="000B5C96" w:rsidP="00E46AB6">
            <w:pPr>
              <w:pStyle w:val="PullOutBoxBodyText"/>
              <w:spacing w:before="114" w:after="114"/>
              <w:ind w:left="0"/>
            </w:pPr>
            <w:r w:rsidRPr="009D4336">
              <w:t>Release of the next economic and fiscal outlook report</w:t>
            </w:r>
          </w:p>
        </w:tc>
      </w:tr>
    </w:tbl>
    <w:p w:rsidR="000B5C96" w:rsidRPr="009D4336" w:rsidRDefault="000B5C96" w:rsidP="003F606A">
      <w:pPr>
        <w:pStyle w:val="CostingsH7"/>
      </w:pPr>
      <w:r w:rsidRPr="009D4336">
        <w:t>Costing overview</w:t>
      </w:r>
    </w:p>
    <w:p w:rsidR="000B5C96" w:rsidRPr="009D4336" w:rsidRDefault="000B5C96" w:rsidP="003F606A">
      <w:pPr>
        <w:pStyle w:val="BodyText"/>
      </w:pPr>
      <w:r w:rsidRPr="009D4336">
        <w:t>The proposal would decrease the fiscal balance by $456.8 million, the underlying cash balance by $293.4 million and the headline cash balance by $1,013.4 million over the 2016</w:t>
      </w:r>
      <w:r w:rsidRPr="009D4336">
        <w:noBreakHyphen/>
        <w:t xml:space="preserve">17 Budget forward estimates period.  </w:t>
      </w:r>
    </w:p>
    <w:p w:rsidR="000B5C96" w:rsidRPr="009D4336" w:rsidRDefault="000B5C96" w:rsidP="003F606A">
      <w:pPr>
        <w:pStyle w:val="BodyText"/>
      </w:pPr>
      <w:r w:rsidRPr="009D4336">
        <w:t>The proposal would have an impact that extends beyond the forward estimates.  A breakdown of the financial implications for each component over the period 2016</w:t>
      </w:r>
      <w:r w:rsidRPr="009D4336">
        <w:noBreakHyphen/>
        <w:t xml:space="preserve">17 to 2026-27 has been provided at </w:t>
      </w:r>
      <w:r w:rsidRPr="009D4336">
        <w:rPr>
          <w:u w:val="single"/>
        </w:rPr>
        <w:t>Attachment A</w:t>
      </w:r>
      <w:r w:rsidRPr="009D4336">
        <w:t>.  Further, while all components of the proposal would be fully committed by 30 June 2020-21, the concessional loan facility would continue to operate in order to receive loan repayments and interest payments.</w:t>
      </w:r>
    </w:p>
    <w:p w:rsidR="000B5C96" w:rsidRPr="009D4336" w:rsidRDefault="000B5C96" w:rsidP="003F606A">
      <w:pPr>
        <w:pStyle w:val="BodyText"/>
      </w:pPr>
      <w:r w:rsidRPr="009D4336">
        <w:t xml:space="preserve">The </w:t>
      </w:r>
      <w:r w:rsidRPr="009D4336">
        <w:rPr>
          <w:i/>
        </w:rPr>
        <w:t>Methodology</w:t>
      </w:r>
      <w:r w:rsidRPr="009D4336">
        <w:t xml:space="preserve"> section provides information on how the impacts on each budget balance were calculated.  As the proposal impacts on financial asset transactions the impact on Public Debt Interest (PDI) payments have been included in this costing.  </w:t>
      </w:r>
    </w:p>
    <w:p w:rsidR="000B5C96" w:rsidRDefault="000B5C96" w:rsidP="003F606A">
      <w:pPr>
        <w:pStyle w:val="BodyText"/>
      </w:pPr>
      <w:r w:rsidRPr="009D4336">
        <w:t>This costing is considered to be of overall low reliability.  While the grant components are considered to be of high reliability as they are based on specified capped amounts, there is considerable uncertainty around the concessional loan facility in relation to the timing and take up of the concessional loans.  The reliability of the costing decreases the further into the future the estimates are projected.</w:t>
      </w:r>
    </w:p>
    <w:p w:rsidR="000B5C96" w:rsidRPr="009D4336" w:rsidRDefault="000B5C96" w:rsidP="003F606A">
      <w:pPr>
        <w:pStyle w:val="Caption"/>
      </w:pPr>
      <w:r w:rsidRPr="009D4336">
        <w:t>Table 1: Financial implications (outturn prices)</w:t>
      </w:r>
      <w:r w:rsidRPr="009D4336">
        <w:rPr>
          <w:vertAlign w:val="superscript"/>
        </w:rPr>
        <w:t>(a)(b)</w:t>
      </w:r>
    </w:p>
    <w:tbl>
      <w:tblPr>
        <w:tblStyle w:val="TableGrid30"/>
        <w:tblW w:w="4993" w:type="pct"/>
        <w:tblLook w:val="04A0" w:firstRow="1" w:lastRow="0" w:firstColumn="1" w:lastColumn="0" w:noHBand="0" w:noVBand="1"/>
      </w:tblPr>
      <w:tblGrid>
        <w:gridCol w:w="2644"/>
        <w:gridCol w:w="1133"/>
        <w:gridCol w:w="1134"/>
        <w:gridCol w:w="1134"/>
        <w:gridCol w:w="1134"/>
        <w:gridCol w:w="1132"/>
      </w:tblGrid>
      <w:tr w:rsidR="000B5C96" w:rsidRPr="009D4336"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9D4336" w:rsidRDefault="000B5C96" w:rsidP="003F606A">
            <w:pPr>
              <w:keepNext/>
              <w:keepLines/>
              <w:spacing w:line="240" w:lineRule="auto"/>
              <w:ind w:left="57" w:right="57"/>
              <w:rPr>
                <w:sz w:val="20"/>
                <w:szCs w:val="20"/>
              </w:rPr>
            </w:pPr>
            <w:r w:rsidRPr="009D4336">
              <w:rPr>
                <w:sz w:val="20"/>
                <w:szCs w:val="20"/>
              </w:rPr>
              <w:t>Impact on ($m)</w:t>
            </w:r>
          </w:p>
        </w:tc>
        <w:tc>
          <w:tcPr>
            <w:tcW w:w="682" w:type="pct"/>
            <w:vAlign w:val="center"/>
          </w:tcPr>
          <w:p w:rsidR="000B5C96" w:rsidRPr="009D4336"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9D4336">
              <w:rPr>
                <w:sz w:val="20"/>
                <w:szCs w:val="20"/>
              </w:rPr>
              <w:t>2016–17</w:t>
            </w:r>
          </w:p>
        </w:tc>
        <w:tc>
          <w:tcPr>
            <w:tcW w:w="682" w:type="pct"/>
            <w:vAlign w:val="center"/>
          </w:tcPr>
          <w:p w:rsidR="000B5C96" w:rsidRPr="009D4336"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9D4336">
              <w:rPr>
                <w:sz w:val="20"/>
                <w:szCs w:val="20"/>
              </w:rPr>
              <w:t>2017–18</w:t>
            </w:r>
          </w:p>
        </w:tc>
        <w:tc>
          <w:tcPr>
            <w:tcW w:w="682" w:type="pct"/>
            <w:vAlign w:val="center"/>
          </w:tcPr>
          <w:p w:rsidR="000B5C96" w:rsidRPr="009D4336"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9D4336">
              <w:rPr>
                <w:sz w:val="20"/>
                <w:szCs w:val="20"/>
              </w:rPr>
              <w:t>2018–19</w:t>
            </w:r>
          </w:p>
        </w:tc>
        <w:tc>
          <w:tcPr>
            <w:tcW w:w="682" w:type="pct"/>
            <w:vAlign w:val="center"/>
          </w:tcPr>
          <w:p w:rsidR="000B5C96" w:rsidRPr="009D4336"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9D4336">
              <w:rPr>
                <w:sz w:val="20"/>
                <w:szCs w:val="20"/>
              </w:rPr>
              <w:t>2019–20</w:t>
            </w:r>
          </w:p>
        </w:tc>
        <w:tc>
          <w:tcPr>
            <w:tcW w:w="681" w:type="pct"/>
            <w:vAlign w:val="center"/>
          </w:tcPr>
          <w:p w:rsidR="000B5C96" w:rsidRPr="009D4336"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9D4336">
              <w:rPr>
                <w:sz w:val="20"/>
                <w:szCs w:val="20"/>
              </w:rPr>
              <w:t>Total</w:t>
            </w:r>
          </w:p>
        </w:tc>
      </w:tr>
      <w:tr w:rsidR="000B5C96" w:rsidRPr="009D4336"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Align w:val="center"/>
          </w:tcPr>
          <w:p w:rsidR="000B5C96" w:rsidRPr="009D4336" w:rsidRDefault="000B5C96" w:rsidP="003F606A">
            <w:pPr>
              <w:keepNext/>
              <w:keepLines/>
              <w:spacing w:line="240" w:lineRule="auto"/>
              <w:ind w:left="57" w:right="57"/>
              <w:rPr>
                <w:rFonts w:ascii="Calibri" w:hAnsi="Calibri"/>
                <w:sz w:val="20"/>
                <w:szCs w:val="20"/>
              </w:rPr>
            </w:pPr>
            <w:r w:rsidRPr="009D4336">
              <w:rPr>
                <w:rFonts w:ascii="Calibri" w:hAnsi="Calibri"/>
                <w:sz w:val="20"/>
                <w:szCs w:val="20"/>
              </w:rPr>
              <w:t>Fiscal balance</w:t>
            </w:r>
          </w:p>
        </w:tc>
        <w:tc>
          <w:tcPr>
            <w:tcW w:w="682" w:type="pct"/>
            <w:vAlign w:val="center"/>
          </w:tcPr>
          <w:p w:rsidR="000B5C96" w:rsidRPr="009D433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D4336">
              <w:rPr>
                <w:rFonts w:ascii="Calibri" w:hAnsi="Calibri"/>
                <w:sz w:val="20"/>
              </w:rPr>
              <w:t xml:space="preserve">-125.7 </w:t>
            </w:r>
          </w:p>
        </w:tc>
        <w:tc>
          <w:tcPr>
            <w:tcW w:w="682" w:type="pct"/>
            <w:vAlign w:val="center"/>
          </w:tcPr>
          <w:p w:rsidR="000B5C96" w:rsidRPr="009D433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D4336">
              <w:rPr>
                <w:rFonts w:ascii="Calibri" w:hAnsi="Calibri"/>
                <w:sz w:val="20"/>
              </w:rPr>
              <w:t xml:space="preserve">-118.1 </w:t>
            </w:r>
          </w:p>
        </w:tc>
        <w:tc>
          <w:tcPr>
            <w:tcW w:w="682" w:type="pct"/>
            <w:vAlign w:val="center"/>
          </w:tcPr>
          <w:p w:rsidR="000B5C96" w:rsidRPr="009D433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D4336">
              <w:rPr>
                <w:rFonts w:ascii="Calibri" w:hAnsi="Calibri"/>
                <w:sz w:val="20"/>
              </w:rPr>
              <w:t xml:space="preserve">-110.6 </w:t>
            </w:r>
          </w:p>
        </w:tc>
        <w:tc>
          <w:tcPr>
            <w:tcW w:w="682" w:type="pct"/>
            <w:vAlign w:val="center"/>
          </w:tcPr>
          <w:p w:rsidR="000B5C96" w:rsidRPr="009D433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D4336">
              <w:rPr>
                <w:rFonts w:ascii="Calibri" w:hAnsi="Calibri"/>
                <w:sz w:val="20"/>
              </w:rPr>
              <w:t xml:space="preserve">-102.4 </w:t>
            </w:r>
          </w:p>
        </w:tc>
        <w:tc>
          <w:tcPr>
            <w:tcW w:w="681" w:type="pct"/>
            <w:vAlign w:val="center"/>
          </w:tcPr>
          <w:p w:rsidR="000B5C96" w:rsidRPr="009D433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rPr>
            </w:pPr>
            <w:r w:rsidRPr="009D4336">
              <w:rPr>
                <w:rFonts w:ascii="Calibri" w:hAnsi="Calibri"/>
                <w:b/>
                <w:sz w:val="20"/>
              </w:rPr>
              <w:t xml:space="preserve">-456.8 </w:t>
            </w:r>
          </w:p>
        </w:tc>
      </w:tr>
      <w:tr w:rsidR="000B5C96" w:rsidRPr="009D4336" w:rsidTr="003F606A">
        <w:tc>
          <w:tcPr>
            <w:cnfStyle w:val="001000000000" w:firstRow="0" w:lastRow="0" w:firstColumn="1" w:lastColumn="0" w:oddVBand="0" w:evenVBand="0" w:oddHBand="0" w:evenHBand="0" w:firstRowFirstColumn="0" w:firstRowLastColumn="0" w:lastRowFirstColumn="0" w:lastRowLastColumn="0"/>
            <w:tcW w:w="1591" w:type="pct"/>
            <w:vAlign w:val="center"/>
          </w:tcPr>
          <w:p w:rsidR="000B5C96" w:rsidRPr="009D4336" w:rsidRDefault="000B5C96" w:rsidP="003F606A">
            <w:pPr>
              <w:keepNext/>
              <w:keepLines/>
              <w:spacing w:line="240" w:lineRule="auto"/>
              <w:ind w:left="57" w:right="57"/>
              <w:rPr>
                <w:rFonts w:ascii="Calibri" w:hAnsi="Calibri"/>
                <w:sz w:val="20"/>
                <w:szCs w:val="20"/>
              </w:rPr>
            </w:pPr>
            <w:r w:rsidRPr="009D4336">
              <w:rPr>
                <w:rFonts w:ascii="Calibri" w:hAnsi="Calibri"/>
                <w:sz w:val="20"/>
                <w:szCs w:val="20"/>
              </w:rPr>
              <w:t>Underlying cash balance</w:t>
            </w:r>
          </w:p>
        </w:tc>
        <w:tc>
          <w:tcPr>
            <w:tcW w:w="682" w:type="pct"/>
            <w:vAlign w:val="center"/>
          </w:tcPr>
          <w:p w:rsidR="000B5C96" w:rsidRPr="009D433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D4336">
              <w:rPr>
                <w:rFonts w:ascii="Calibri" w:hAnsi="Calibri"/>
                <w:sz w:val="20"/>
              </w:rPr>
              <w:t xml:space="preserve">-69.2 </w:t>
            </w:r>
          </w:p>
        </w:tc>
        <w:tc>
          <w:tcPr>
            <w:tcW w:w="682" w:type="pct"/>
            <w:vAlign w:val="center"/>
          </w:tcPr>
          <w:p w:rsidR="000B5C96" w:rsidRPr="009D433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D4336">
              <w:rPr>
                <w:rFonts w:ascii="Calibri" w:hAnsi="Calibri"/>
                <w:sz w:val="20"/>
              </w:rPr>
              <w:t xml:space="preserve">-71.2 </w:t>
            </w:r>
          </w:p>
        </w:tc>
        <w:tc>
          <w:tcPr>
            <w:tcW w:w="682" w:type="pct"/>
            <w:vAlign w:val="center"/>
          </w:tcPr>
          <w:p w:rsidR="000B5C96" w:rsidRPr="009D433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D4336">
              <w:rPr>
                <w:rFonts w:ascii="Calibri" w:hAnsi="Calibri"/>
                <w:sz w:val="20"/>
              </w:rPr>
              <w:t xml:space="preserve">-72.7 </w:t>
            </w:r>
          </w:p>
        </w:tc>
        <w:tc>
          <w:tcPr>
            <w:tcW w:w="682" w:type="pct"/>
            <w:vAlign w:val="center"/>
          </w:tcPr>
          <w:p w:rsidR="000B5C96" w:rsidRPr="009D433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D4336">
              <w:rPr>
                <w:rFonts w:ascii="Calibri" w:hAnsi="Calibri"/>
                <w:sz w:val="20"/>
              </w:rPr>
              <w:t xml:space="preserve">-80.2 </w:t>
            </w:r>
          </w:p>
        </w:tc>
        <w:tc>
          <w:tcPr>
            <w:tcW w:w="681" w:type="pct"/>
            <w:vAlign w:val="center"/>
          </w:tcPr>
          <w:p w:rsidR="000B5C96" w:rsidRPr="009D433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9D4336">
              <w:rPr>
                <w:rFonts w:ascii="Calibri" w:hAnsi="Calibri"/>
                <w:b/>
                <w:sz w:val="20"/>
              </w:rPr>
              <w:t xml:space="preserve">-293.4 </w:t>
            </w:r>
          </w:p>
        </w:tc>
      </w:tr>
      <w:tr w:rsidR="000B5C96" w:rsidRPr="009D4336"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Align w:val="center"/>
          </w:tcPr>
          <w:p w:rsidR="000B5C96" w:rsidRPr="009D4336" w:rsidRDefault="000B5C96" w:rsidP="003F606A">
            <w:pPr>
              <w:keepNext/>
              <w:keepLines/>
              <w:spacing w:line="240" w:lineRule="auto"/>
              <w:ind w:left="57" w:right="57"/>
              <w:rPr>
                <w:rFonts w:ascii="Calibri" w:hAnsi="Calibri"/>
                <w:sz w:val="20"/>
                <w:szCs w:val="20"/>
              </w:rPr>
            </w:pPr>
            <w:r w:rsidRPr="009D4336">
              <w:rPr>
                <w:rFonts w:ascii="Calibri" w:hAnsi="Calibri"/>
                <w:sz w:val="20"/>
                <w:szCs w:val="20"/>
              </w:rPr>
              <w:t>Headline cash balance</w:t>
            </w:r>
          </w:p>
        </w:tc>
        <w:tc>
          <w:tcPr>
            <w:tcW w:w="682" w:type="pct"/>
            <w:vAlign w:val="center"/>
          </w:tcPr>
          <w:p w:rsidR="000B5C96" w:rsidRPr="009D433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D4336">
              <w:rPr>
                <w:rFonts w:ascii="Calibri" w:hAnsi="Calibri"/>
                <w:sz w:val="20"/>
              </w:rPr>
              <w:t xml:space="preserve">-285.2 </w:t>
            </w:r>
          </w:p>
        </w:tc>
        <w:tc>
          <w:tcPr>
            <w:tcW w:w="682" w:type="pct"/>
            <w:vAlign w:val="center"/>
          </w:tcPr>
          <w:p w:rsidR="000B5C96" w:rsidRPr="009D433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D4336">
              <w:rPr>
                <w:rFonts w:ascii="Calibri" w:hAnsi="Calibri"/>
                <w:sz w:val="20"/>
              </w:rPr>
              <w:t xml:space="preserve">-263.2 </w:t>
            </w:r>
          </w:p>
        </w:tc>
        <w:tc>
          <w:tcPr>
            <w:tcW w:w="682" w:type="pct"/>
            <w:vAlign w:val="center"/>
          </w:tcPr>
          <w:p w:rsidR="000B5C96" w:rsidRPr="009D433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D4336">
              <w:rPr>
                <w:rFonts w:ascii="Calibri" w:hAnsi="Calibri"/>
                <w:sz w:val="20"/>
              </w:rPr>
              <w:t xml:space="preserve">-240.7 </w:t>
            </w:r>
          </w:p>
        </w:tc>
        <w:tc>
          <w:tcPr>
            <w:tcW w:w="682" w:type="pct"/>
            <w:vAlign w:val="center"/>
          </w:tcPr>
          <w:p w:rsidR="000B5C96" w:rsidRPr="009D433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D4336">
              <w:rPr>
                <w:rFonts w:ascii="Calibri" w:hAnsi="Calibri"/>
                <w:sz w:val="20"/>
              </w:rPr>
              <w:t xml:space="preserve">-224.2 </w:t>
            </w:r>
          </w:p>
        </w:tc>
        <w:tc>
          <w:tcPr>
            <w:tcW w:w="681" w:type="pct"/>
            <w:vAlign w:val="center"/>
          </w:tcPr>
          <w:p w:rsidR="000B5C96" w:rsidRPr="009D433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rPr>
            </w:pPr>
            <w:r w:rsidRPr="009D4336">
              <w:rPr>
                <w:rFonts w:ascii="Calibri" w:hAnsi="Calibri"/>
                <w:b/>
                <w:sz w:val="20"/>
              </w:rPr>
              <w:t xml:space="preserve">-1,013.4 </w:t>
            </w:r>
          </w:p>
        </w:tc>
      </w:tr>
    </w:tbl>
    <w:p w:rsidR="000B5C96" w:rsidRPr="009D4336" w:rsidRDefault="000B5C96" w:rsidP="00E46AB6">
      <w:pPr>
        <w:pStyle w:val="Footnotes"/>
        <w:keepNext/>
        <w:keepLines/>
        <w:numPr>
          <w:ilvl w:val="0"/>
          <w:numId w:val="248"/>
        </w:numPr>
        <w:ind w:left="284" w:hanging="284"/>
      </w:pPr>
      <w:r w:rsidRPr="009D4336">
        <w:t>A positive number indicates an increase in the relevant budget balance, a negative number a decrease.</w:t>
      </w:r>
    </w:p>
    <w:p w:rsidR="000B5C96" w:rsidRPr="009D4336" w:rsidRDefault="000B5C96" w:rsidP="000B5C96">
      <w:pPr>
        <w:pStyle w:val="Footnotes"/>
        <w:numPr>
          <w:ilvl w:val="0"/>
          <w:numId w:val="7"/>
        </w:numPr>
        <w:ind w:left="284" w:hanging="284"/>
      </w:pPr>
      <w:r w:rsidRPr="009D4336">
        <w:t>Figures may not sum to totals due to rounding.</w:t>
      </w:r>
    </w:p>
    <w:p w:rsidR="000B5C96" w:rsidRPr="009D4336" w:rsidRDefault="000B5C96" w:rsidP="003F606A">
      <w:pPr>
        <w:pStyle w:val="CostingsH7"/>
      </w:pPr>
      <w:r w:rsidRPr="009D4336">
        <w:t>Key assumption</w:t>
      </w:r>
    </w:p>
    <w:p w:rsidR="000B5C96" w:rsidRPr="009D4336" w:rsidRDefault="000B5C96" w:rsidP="003F606A">
      <w:pPr>
        <w:pStyle w:val="BodyText"/>
      </w:pPr>
      <w:r w:rsidRPr="009D4336">
        <w:t>The full allocation of funding and loans would be provided over the 10 months of 2016-17 from the commencement date of 1 September 2016.</w:t>
      </w:r>
    </w:p>
    <w:p w:rsidR="000B5C96" w:rsidRPr="009D4336" w:rsidRDefault="000B5C96" w:rsidP="003F606A">
      <w:pPr>
        <w:pStyle w:val="CostingsH7"/>
      </w:pPr>
      <w:r w:rsidRPr="009D4336">
        <w:t>Methodology</w:t>
      </w:r>
    </w:p>
    <w:p w:rsidR="000B5C96" w:rsidRPr="008E0685" w:rsidRDefault="000B5C96" w:rsidP="003F606A">
      <w:pPr>
        <w:pStyle w:val="CostingsH8"/>
        <w:rPr>
          <w:rFonts w:eastAsia="Calibri"/>
          <w:b w:val="0"/>
          <w:color w:val="auto"/>
          <w:sz w:val="22"/>
          <w:szCs w:val="22"/>
          <w:u w:val="single"/>
        </w:rPr>
      </w:pPr>
      <w:r w:rsidRPr="008E0685">
        <w:rPr>
          <w:rFonts w:eastAsia="Calibri"/>
          <w:b w:val="0"/>
          <w:color w:val="auto"/>
          <w:sz w:val="22"/>
          <w:szCs w:val="22"/>
          <w:u w:val="single"/>
        </w:rPr>
        <w:t>Component 1 - Develop world-class water quality monitoring and reporting / Component 2 - Strengthen our Reef guardians and scientists</w:t>
      </w:r>
    </w:p>
    <w:p w:rsidR="000B5C96" w:rsidRPr="009D4336" w:rsidRDefault="000B5C96" w:rsidP="003F606A">
      <w:pPr>
        <w:pStyle w:val="BodyText"/>
      </w:pPr>
      <w:r w:rsidRPr="009D4336">
        <w:t xml:space="preserve">Departmental expenditure estimates for both components are as specified in the request.  </w:t>
      </w:r>
    </w:p>
    <w:p w:rsidR="000B5C96" w:rsidRPr="008E0685" w:rsidRDefault="000B5C96" w:rsidP="003F606A">
      <w:pPr>
        <w:pStyle w:val="CostingsH8"/>
        <w:rPr>
          <w:rFonts w:eastAsia="Calibri"/>
          <w:b w:val="0"/>
          <w:color w:val="auto"/>
          <w:sz w:val="22"/>
          <w:szCs w:val="22"/>
          <w:u w:val="single"/>
        </w:rPr>
      </w:pPr>
      <w:r w:rsidRPr="008E0685">
        <w:rPr>
          <w:rFonts w:eastAsia="Calibri"/>
          <w:b w:val="0"/>
          <w:color w:val="auto"/>
          <w:sz w:val="22"/>
          <w:szCs w:val="22"/>
          <w:u w:val="single"/>
        </w:rPr>
        <w:t>Component 3 - Stop illegal fishing and poaching in the protected “Green Zones”/ Component 4 - Reef Water Quality Program</w:t>
      </w:r>
    </w:p>
    <w:p w:rsidR="000B5C96" w:rsidRPr="009D4336" w:rsidRDefault="000B5C96" w:rsidP="003F606A">
      <w:pPr>
        <w:pStyle w:val="BodyText"/>
      </w:pPr>
      <w:r w:rsidRPr="009D4336">
        <w:t>Administered expenditure estimates for the grants are as specified in the request.  Departmental expenditure estimates are based on other like programs and estimates account for the net effect of indexation parameters and the efficiency dividend, in accordance with the Department of Finance’s costing practices.</w:t>
      </w:r>
    </w:p>
    <w:p w:rsidR="000B5C96" w:rsidRPr="008E0685" w:rsidRDefault="000B5C96" w:rsidP="003F606A">
      <w:pPr>
        <w:pStyle w:val="CostingsH8"/>
        <w:rPr>
          <w:rFonts w:eastAsia="Calibri"/>
          <w:b w:val="0"/>
          <w:color w:val="auto"/>
          <w:sz w:val="22"/>
          <w:szCs w:val="22"/>
          <w:u w:val="single"/>
        </w:rPr>
      </w:pPr>
      <w:r w:rsidRPr="008E0685">
        <w:rPr>
          <w:rFonts w:eastAsia="Calibri"/>
          <w:b w:val="0"/>
          <w:color w:val="auto"/>
          <w:sz w:val="22"/>
          <w:szCs w:val="22"/>
          <w:u w:val="single"/>
        </w:rPr>
        <w:t>Component 5 - Concessional loan facility</w:t>
      </w:r>
    </w:p>
    <w:p w:rsidR="000B5C96" w:rsidRPr="009D4336" w:rsidRDefault="000B5C96" w:rsidP="003F606A">
      <w:pPr>
        <w:pStyle w:val="BodyText"/>
      </w:pPr>
      <w:r w:rsidRPr="009D4336">
        <w:t xml:space="preserve">The Parliamentary Budget Office (PBO) projected the gross cost of establishing the loan facility by applying concessional loan discount and interest calculations, based on the Department of Finance Accounting for Concessional Loans policy guides (see </w:t>
      </w:r>
      <w:r w:rsidRPr="009D4336">
        <w:rPr>
          <w:i/>
        </w:rPr>
        <w:t>Data sources</w:t>
      </w:r>
      <w:r w:rsidRPr="009D4336">
        <w:t xml:space="preserve">), to the $240 million of loans that would be issued each year over five years.  </w:t>
      </w:r>
    </w:p>
    <w:p w:rsidR="000B5C96" w:rsidRPr="009D4336" w:rsidRDefault="000B5C96" w:rsidP="003F606A">
      <w:pPr>
        <w:pStyle w:val="BodyText"/>
      </w:pPr>
      <w:r w:rsidRPr="009D4336">
        <w:t xml:space="preserve">The fiscal balance impact for each year is derived as follows: </w:t>
      </w:r>
    </w:p>
    <w:p w:rsidR="000B5C96" w:rsidRPr="00EE6783" w:rsidRDefault="000B5C96" w:rsidP="000B5C96">
      <w:pPr>
        <w:pStyle w:val="ListBullet"/>
        <w:numPr>
          <w:ilvl w:val="0"/>
          <w:numId w:val="123"/>
        </w:numPr>
        <w:ind w:left="454" w:hanging="454"/>
        <w:rPr>
          <w:lang w:eastAsia="en-AU"/>
        </w:rPr>
      </w:pPr>
      <w:r w:rsidRPr="00EE6783">
        <w:rPr>
          <w:lang w:eastAsia="en-AU"/>
        </w:rPr>
        <w:t>the departmental costs (negative impact)</w:t>
      </w:r>
    </w:p>
    <w:p w:rsidR="000B5C96" w:rsidRPr="00EE6783" w:rsidRDefault="000B5C96" w:rsidP="000B5C96">
      <w:pPr>
        <w:pStyle w:val="ListBullet"/>
        <w:numPr>
          <w:ilvl w:val="0"/>
          <w:numId w:val="123"/>
        </w:numPr>
        <w:ind w:left="454" w:hanging="454"/>
        <w:rPr>
          <w:lang w:eastAsia="en-AU"/>
        </w:rPr>
      </w:pPr>
      <w:r w:rsidRPr="00EE6783">
        <w:rPr>
          <w:lang w:eastAsia="en-AU"/>
        </w:rPr>
        <w:t>interest revenue that accrues (positive impact)</w:t>
      </w:r>
    </w:p>
    <w:p w:rsidR="000B5C96" w:rsidRPr="00EE6783" w:rsidRDefault="000B5C96" w:rsidP="000B5C96">
      <w:pPr>
        <w:pStyle w:val="ListBullet"/>
        <w:numPr>
          <w:ilvl w:val="0"/>
          <w:numId w:val="123"/>
        </w:numPr>
        <w:ind w:left="454" w:hanging="454"/>
        <w:rPr>
          <w:lang w:eastAsia="en-AU"/>
        </w:rPr>
      </w:pPr>
      <w:r w:rsidRPr="00EE6783">
        <w:rPr>
          <w:lang w:eastAsia="en-AU"/>
        </w:rPr>
        <w:t>the concessional loan discount expense (negative impact)</w:t>
      </w:r>
    </w:p>
    <w:p w:rsidR="000B5C96" w:rsidRPr="00EE6783" w:rsidRDefault="000B5C96" w:rsidP="000B5C96">
      <w:pPr>
        <w:pStyle w:val="ListBullet"/>
        <w:numPr>
          <w:ilvl w:val="0"/>
          <w:numId w:val="123"/>
        </w:numPr>
        <w:ind w:left="454" w:hanging="454"/>
        <w:rPr>
          <w:lang w:eastAsia="en-AU"/>
        </w:rPr>
      </w:pPr>
      <w:r w:rsidRPr="00EE6783">
        <w:rPr>
          <w:lang w:eastAsia="en-AU"/>
        </w:rPr>
        <w:t>the unwinding of the concessional loan discount expense (positive impact)</w:t>
      </w:r>
    </w:p>
    <w:p w:rsidR="000B5C96" w:rsidRPr="00EE6783" w:rsidRDefault="000B5C96" w:rsidP="000B5C96">
      <w:pPr>
        <w:pStyle w:val="ListBullet"/>
        <w:numPr>
          <w:ilvl w:val="0"/>
          <w:numId w:val="123"/>
        </w:numPr>
        <w:ind w:left="454" w:hanging="454"/>
        <w:rPr>
          <w:lang w:eastAsia="en-AU"/>
        </w:rPr>
      </w:pPr>
      <w:r w:rsidRPr="00EE6783">
        <w:rPr>
          <w:lang w:eastAsia="en-AU"/>
        </w:rPr>
        <w:t xml:space="preserve">the PDI/financing cost (negative impact). </w:t>
      </w:r>
    </w:p>
    <w:p w:rsidR="000B5C96" w:rsidRPr="00C452EB" w:rsidRDefault="000B5C96" w:rsidP="003F606A">
      <w:pPr>
        <w:pStyle w:val="BodyText"/>
        <w:keepNext/>
        <w:keepLines/>
      </w:pPr>
      <w:r w:rsidRPr="00C452EB">
        <w:t>The underlying cash balance impact for each year is derived as follows:</w:t>
      </w:r>
    </w:p>
    <w:p w:rsidR="000B5C96" w:rsidRPr="00C452EB" w:rsidRDefault="000B5C96" w:rsidP="000B5C96">
      <w:pPr>
        <w:pStyle w:val="ListBullet"/>
        <w:keepNext/>
        <w:numPr>
          <w:ilvl w:val="0"/>
          <w:numId w:val="123"/>
        </w:numPr>
        <w:ind w:left="454" w:hanging="454"/>
      </w:pPr>
      <w:r w:rsidRPr="00C452EB">
        <w:t>the departmental costs (</w:t>
      </w:r>
      <w:r w:rsidRPr="00D3121D">
        <w:rPr>
          <w:i/>
        </w:rPr>
        <w:t>negative impact</w:t>
      </w:r>
      <w:r w:rsidRPr="00C452EB">
        <w:t>)</w:t>
      </w:r>
    </w:p>
    <w:p w:rsidR="000B5C96" w:rsidRPr="00C452EB" w:rsidRDefault="000B5C96" w:rsidP="000B5C96">
      <w:pPr>
        <w:pStyle w:val="ListBullet"/>
        <w:numPr>
          <w:ilvl w:val="0"/>
          <w:numId w:val="123"/>
        </w:numPr>
        <w:ind w:left="454" w:hanging="454"/>
      </w:pPr>
      <w:r w:rsidRPr="00C452EB">
        <w:t>interest receipts received by the Government from loan recipients (</w:t>
      </w:r>
      <w:r w:rsidRPr="00D3121D">
        <w:rPr>
          <w:i/>
        </w:rPr>
        <w:t>positive impact</w:t>
      </w:r>
      <w:r w:rsidRPr="00C452EB">
        <w:t>)</w:t>
      </w:r>
    </w:p>
    <w:p w:rsidR="000B5C96" w:rsidRPr="00C452EB" w:rsidRDefault="000B5C96" w:rsidP="000B5C96">
      <w:pPr>
        <w:pStyle w:val="ListBullet"/>
        <w:numPr>
          <w:ilvl w:val="0"/>
          <w:numId w:val="123"/>
        </w:numPr>
        <w:ind w:left="454" w:hanging="454"/>
      </w:pPr>
      <w:r w:rsidRPr="00C452EB">
        <w:t>the PDI/financing cost (</w:t>
      </w:r>
      <w:r w:rsidRPr="00D3121D">
        <w:rPr>
          <w:i/>
        </w:rPr>
        <w:t>negative impact</w:t>
      </w:r>
      <w:r w:rsidRPr="00C452EB">
        <w:t>).</w:t>
      </w:r>
    </w:p>
    <w:p w:rsidR="000B5C96" w:rsidRPr="00C452EB" w:rsidRDefault="000B5C96" w:rsidP="003F606A">
      <w:pPr>
        <w:pStyle w:val="BodyText"/>
      </w:pPr>
      <w:r w:rsidRPr="00C452EB">
        <w:t>The headline cash balance impact for each year is derived as follows:</w:t>
      </w:r>
    </w:p>
    <w:p w:rsidR="000B5C96" w:rsidRPr="00C452EB" w:rsidRDefault="000B5C96" w:rsidP="000B5C96">
      <w:pPr>
        <w:pStyle w:val="ListBullet"/>
        <w:numPr>
          <w:ilvl w:val="0"/>
          <w:numId w:val="123"/>
        </w:numPr>
        <w:ind w:left="454" w:hanging="454"/>
      </w:pPr>
      <w:r w:rsidRPr="00C452EB">
        <w:t>the departmental costs (</w:t>
      </w:r>
      <w:r w:rsidRPr="00D3121D">
        <w:rPr>
          <w:i/>
        </w:rPr>
        <w:t>negative impact</w:t>
      </w:r>
      <w:r w:rsidRPr="00C452EB">
        <w:t>)</w:t>
      </w:r>
    </w:p>
    <w:p w:rsidR="000B5C96" w:rsidRPr="00C452EB" w:rsidRDefault="000B5C96" w:rsidP="000B5C96">
      <w:pPr>
        <w:pStyle w:val="ListBullet"/>
        <w:numPr>
          <w:ilvl w:val="0"/>
          <w:numId w:val="123"/>
        </w:numPr>
        <w:ind w:left="454" w:hanging="454"/>
      </w:pPr>
      <w:r w:rsidRPr="00C452EB">
        <w:t>the loan principal advanced under the financing facility (</w:t>
      </w:r>
      <w:r w:rsidRPr="00D3121D">
        <w:rPr>
          <w:i/>
        </w:rPr>
        <w:t>negative impact</w:t>
      </w:r>
      <w:r w:rsidRPr="00C452EB">
        <w:t>)</w:t>
      </w:r>
    </w:p>
    <w:p w:rsidR="000B5C96" w:rsidRPr="00C452EB" w:rsidRDefault="000B5C96" w:rsidP="000B5C96">
      <w:pPr>
        <w:pStyle w:val="ListBullet"/>
        <w:numPr>
          <w:ilvl w:val="0"/>
          <w:numId w:val="123"/>
        </w:numPr>
        <w:ind w:left="454" w:hanging="454"/>
      </w:pPr>
      <w:r w:rsidRPr="00C452EB">
        <w:t>interest receipts received by the Government from loan recipients (</w:t>
      </w:r>
      <w:r w:rsidRPr="00D3121D">
        <w:rPr>
          <w:i/>
        </w:rPr>
        <w:t>positive impact</w:t>
      </w:r>
      <w:r w:rsidRPr="00C452EB">
        <w:t>)</w:t>
      </w:r>
    </w:p>
    <w:p w:rsidR="000B5C96" w:rsidRPr="00C452EB" w:rsidRDefault="000B5C96" w:rsidP="000B5C96">
      <w:pPr>
        <w:pStyle w:val="ListBullet"/>
        <w:numPr>
          <w:ilvl w:val="0"/>
          <w:numId w:val="123"/>
        </w:numPr>
        <w:ind w:left="454" w:hanging="454"/>
      </w:pPr>
      <w:r w:rsidRPr="00C452EB">
        <w:t>loan repayments (</w:t>
      </w:r>
      <w:r w:rsidRPr="00D3121D">
        <w:rPr>
          <w:i/>
        </w:rPr>
        <w:t>positive impact</w:t>
      </w:r>
      <w:r w:rsidRPr="00C452EB">
        <w:t>)</w:t>
      </w:r>
    </w:p>
    <w:p w:rsidR="000B5C96" w:rsidRPr="00C452EB" w:rsidRDefault="000B5C96" w:rsidP="000B5C96">
      <w:pPr>
        <w:pStyle w:val="ListBullet"/>
        <w:numPr>
          <w:ilvl w:val="0"/>
          <w:numId w:val="123"/>
        </w:numPr>
        <w:ind w:left="454" w:hanging="454"/>
      </w:pPr>
      <w:r w:rsidRPr="00C452EB">
        <w:t>the PDI/financing cost (</w:t>
      </w:r>
      <w:r w:rsidRPr="00D3121D">
        <w:rPr>
          <w:i/>
        </w:rPr>
        <w:t>negative impact</w:t>
      </w:r>
      <w:r w:rsidRPr="00C452EB">
        <w:t>).</w:t>
      </w:r>
    </w:p>
    <w:p w:rsidR="000B5C96" w:rsidRPr="001848A0" w:rsidRDefault="000B5C96" w:rsidP="003F606A">
      <w:pPr>
        <w:pStyle w:val="BodyText"/>
      </w:pPr>
      <w:r w:rsidRPr="001848A0">
        <w:t>The impact on departmental expenses for GBRMPA was based on departmental funding provided under the Northern Australia Infrastructure Facility, adjusted for the scale of the concessional loan facility.</w:t>
      </w:r>
    </w:p>
    <w:p w:rsidR="000B5C96" w:rsidRPr="00FC6579" w:rsidRDefault="000B5C96" w:rsidP="003F606A">
      <w:pPr>
        <w:pStyle w:val="CostingsH7"/>
      </w:pPr>
      <w:r w:rsidRPr="00FC6579">
        <w:t>Data sources</w:t>
      </w:r>
    </w:p>
    <w:p w:rsidR="000B5C96" w:rsidRPr="00C452EB" w:rsidRDefault="000B5C96" w:rsidP="000B5C96">
      <w:pPr>
        <w:pStyle w:val="Bullet1"/>
        <w:numPr>
          <w:ilvl w:val="0"/>
          <w:numId w:val="12"/>
        </w:numPr>
      </w:pPr>
      <w:r w:rsidRPr="00323E47">
        <w:t xml:space="preserve">The </w:t>
      </w:r>
      <w:r w:rsidRPr="00C452EB">
        <w:t>Department of Finance provided indexation and efficiency dividend parameters.</w:t>
      </w:r>
    </w:p>
    <w:p w:rsidR="000B5C96" w:rsidRDefault="000B5C96" w:rsidP="000B5C96">
      <w:pPr>
        <w:pStyle w:val="Bullet1"/>
        <w:numPr>
          <w:ilvl w:val="0"/>
          <w:numId w:val="12"/>
        </w:numPr>
        <w:rPr>
          <w:rStyle w:val="Hyperlink"/>
        </w:rPr>
      </w:pPr>
      <w:r w:rsidRPr="00C452EB">
        <w:t xml:space="preserve">Department of Finance, Accounting Policy Guides – RMG 115 – Accounting for concessional loans – </w:t>
      </w:r>
      <w:hyperlink r:id="rId525" w:history="1">
        <w:r w:rsidRPr="00C452EB">
          <w:rPr>
            <w:rStyle w:val="Hyperlink"/>
          </w:rPr>
          <w:t>http://www.finance.gov.au/resource-management/reporting-accounting/accounting-guidance/</w:t>
        </w:r>
      </w:hyperlink>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Pr="00EE6783" w:rsidRDefault="000B5C96" w:rsidP="000B5C96">
      <w:pPr>
        <w:pStyle w:val="Heading6"/>
        <w:numPr>
          <w:ilvl w:val="0"/>
          <w:numId w:val="5"/>
        </w:numPr>
        <w:tabs>
          <w:tab w:val="right" w:pos="1418"/>
          <w:tab w:val="right" w:pos="1701"/>
          <w:tab w:val="right" w:pos="1985"/>
        </w:tabs>
      </w:pPr>
      <w:r w:rsidRPr="00EE6783">
        <w:t>Attachment A:  Saving the Reef—financial implications</w:t>
      </w:r>
    </w:p>
    <w:p w:rsidR="000B5C96" w:rsidRPr="00EE6783" w:rsidRDefault="000B5C96" w:rsidP="003F606A">
      <w:pPr>
        <w:pStyle w:val="Caption"/>
      </w:pPr>
      <w:r w:rsidRPr="00EE6783">
        <w:t>Table A1: Financial implications (outturn prices)—Fiscal balance</w:t>
      </w:r>
      <w:r w:rsidRPr="00EE6783">
        <w:rPr>
          <w:vertAlign w:val="superscript"/>
        </w:rPr>
        <w:t>(a)(b)</w:t>
      </w:r>
    </w:p>
    <w:tbl>
      <w:tblPr>
        <w:tblStyle w:val="TableGrid32"/>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EE6783" w:rsidTr="003F606A">
        <w:trPr>
          <w:cantSplit/>
          <w:tblHeader/>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($m)</w:t>
            </w:r>
          </w:p>
        </w:tc>
        <w:tc>
          <w:tcPr>
            <w:tcW w:w="326"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6783">
              <w:rPr>
                <w:rFonts w:ascii="Calibri" w:hAnsi="Calibri"/>
                <w:sz w:val="20"/>
                <w:szCs w:val="20"/>
              </w:rPr>
              <w:t>2016–17</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6783">
              <w:rPr>
                <w:rFonts w:ascii="Calibri" w:hAnsi="Calibri"/>
                <w:sz w:val="20"/>
                <w:szCs w:val="20"/>
              </w:rPr>
              <w:t>2017–18</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6783">
              <w:rPr>
                <w:rFonts w:ascii="Calibri" w:hAnsi="Calibri"/>
                <w:sz w:val="20"/>
                <w:szCs w:val="20"/>
              </w:rPr>
              <w:t>2018–19</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6783">
              <w:rPr>
                <w:rFonts w:ascii="Calibri" w:hAnsi="Calibri"/>
                <w:sz w:val="20"/>
                <w:szCs w:val="20"/>
              </w:rPr>
              <w:t>2019–20</w:t>
            </w:r>
          </w:p>
        </w:tc>
        <w:tc>
          <w:tcPr>
            <w:tcW w:w="327"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6783">
              <w:rPr>
                <w:rFonts w:ascii="Calibri" w:hAnsi="Calibri"/>
                <w:b/>
                <w:sz w:val="20"/>
                <w:szCs w:val="20"/>
              </w:rPr>
              <w:t>Total to 2019–20</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6783">
              <w:rPr>
                <w:rFonts w:ascii="Calibri" w:hAnsi="Calibri"/>
                <w:sz w:val="20"/>
                <w:szCs w:val="20"/>
              </w:rPr>
              <w:t>2020–21</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6783">
              <w:rPr>
                <w:rFonts w:ascii="Calibri" w:hAnsi="Calibri"/>
                <w:sz w:val="20"/>
                <w:szCs w:val="20"/>
              </w:rPr>
              <w:t>2021–22</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6783">
              <w:rPr>
                <w:rFonts w:ascii="Calibri" w:hAnsi="Calibri"/>
                <w:sz w:val="20"/>
                <w:szCs w:val="20"/>
              </w:rPr>
              <w:t>2022–23</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6783">
              <w:rPr>
                <w:rFonts w:ascii="Calibri" w:hAnsi="Calibri"/>
                <w:sz w:val="20"/>
                <w:szCs w:val="20"/>
              </w:rPr>
              <w:t>2023–24</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6783">
              <w:rPr>
                <w:rFonts w:ascii="Calibri" w:hAnsi="Calibri"/>
                <w:sz w:val="20"/>
                <w:szCs w:val="20"/>
              </w:rPr>
              <w:t>2024–25</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6783">
              <w:rPr>
                <w:rFonts w:ascii="Calibri" w:hAnsi="Calibri"/>
                <w:sz w:val="20"/>
                <w:szCs w:val="20"/>
              </w:rPr>
              <w:t>2025–26</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E6783">
              <w:rPr>
                <w:rFonts w:ascii="Calibri" w:hAnsi="Calibri"/>
                <w:sz w:val="20"/>
                <w:szCs w:val="20"/>
              </w:rPr>
              <w:t>2026–27</w:t>
            </w:r>
          </w:p>
        </w:tc>
        <w:tc>
          <w:tcPr>
            <w:tcW w:w="326"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E6783">
              <w:rPr>
                <w:rFonts w:ascii="Calibri" w:hAnsi="Calibri"/>
                <w:b/>
                <w:sz w:val="20"/>
                <w:szCs w:val="20"/>
              </w:rPr>
              <w:t>Total to 2026–27</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b/>
                <w:sz w:val="20"/>
                <w:szCs w:val="20"/>
              </w:rPr>
              <w:t>Expenses</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u w:val="single"/>
              </w:rPr>
              <w:t>Component 1 - Develop world-class water quality monitoring and reporting</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Departmental</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-3.8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-3.8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-3.8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-3.8 </w:t>
            </w:r>
          </w:p>
        </w:tc>
        <w:tc>
          <w:tcPr>
            <w:tcW w:w="327"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 xml:space="preserve">-15.0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 xml:space="preserve">-15.0 </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u w:val="single"/>
              </w:rPr>
              <w:t>Component 2 - Strengthen our reef guardians and scientists</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Departmental</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-20.0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-20.0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-20.0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-20.0 </w:t>
            </w:r>
          </w:p>
        </w:tc>
        <w:tc>
          <w:tcPr>
            <w:tcW w:w="327"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 xml:space="preserve">-80.0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 xml:space="preserve">-80.0 </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u w:val="single"/>
              </w:rPr>
              <w:t>Component 3 - Stop illegal fishing and poaching in the protected “Green Zones”</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Administered</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-1.2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-1.2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-1.2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-1.2 </w:t>
            </w:r>
          </w:p>
        </w:tc>
        <w:tc>
          <w:tcPr>
            <w:tcW w:w="327"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 xml:space="preserve">-4.8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 xml:space="preserve">-4.8 </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Departmental</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-0.1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-0.1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-0.1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-0.1 </w:t>
            </w:r>
          </w:p>
        </w:tc>
        <w:tc>
          <w:tcPr>
            <w:tcW w:w="327"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 xml:space="preserve">-0.2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 xml:space="preserve"> -   </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 xml:space="preserve">-0.2 </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u w:val="single"/>
              </w:rPr>
              <w:t>Component 4 - Reef Water Quality Program</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Administered</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-43.4</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-43.4</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-43.4</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-43.4</w:t>
            </w:r>
          </w:p>
        </w:tc>
        <w:tc>
          <w:tcPr>
            <w:tcW w:w="327"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-173.7</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-43.4</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-217.1</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Departmental</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-1.6</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-1.6</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-1.6</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-1.6</w:t>
            </w:r>
          </w:p>
        </w:tc>
        <w:tc>
          <w:tcPr>
            <w:tcW w:w="327"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-6.3</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-1.6</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E6783">
              <w:rPr>
                <w:rFonts w:ascii="Calibri" w:hAnsi="Calibri"/>
                <w:i/>
                <w:sz w:val="20"/>
                <w:szCs w:val="20"/>
              </w:rPr>
              <w:t>-</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E6783">
              <w:rPr>
                <w:rFonts w:ascii="Calibri" w:hAnsi="Calibri"/>
                <w:b/>
                <w:i/>
                <w:sz w:val="20"/>
                <w:szCs w:val="20"/>
              </w:rPr>
              <w:t>-7.9</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u w:val="single"/>
              </w:rPr>
              <w:t>Component 5 - Concessional loan facility</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Administered: Concessional loan discount</w:t>
            </w:r>
          </w:p>
        </w:tc>
        <w:tc>
          <w:tcPr>
            <w:tcW w:w="326"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-66.9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-67.1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-67.5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-58.1 </w:t>
            </w:r>
          </w:p>
        </w:tc>
        <w:tc>
          <w:tcPr>
            <w:tcW w:w="327"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E6783">
              <w:rPr>
                <w:rFonts w:ascii="Calibri" w:hAnsi="Calibri"/>
                <w:b/>
                <w:i/>
                <w:sz w:val="20"/>
              </w:rPr>
              <w:t xml:space="preserve">-259.6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-52.8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   </w:t>
            </w:r>
          </w:p>
        </w:tc>
        <w:tc>
          <w:tcPr>
            <w:tcW w:w="326"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E6783">
              <w:rPr>
                <w:rFonts w:ascii="Calibri" w:hAnsi="Calibri"/>
                <w:b/>
                <w:i/>
                <w:sz w:val="20"/>
              </w:rPr>
              <w:t xml:space="preserve">-312.3 </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Departmental</w:t>
            </w:r>
          </w:p>
        </w:tc>
        <w:tc>
          <w:tcPr>
            <w:tcW w:w="326"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-2.3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-3.0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-3.0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-3.0 </w:t>
            </w:r>
          </w:p>
        </w:tc>
        <w:tc>
          <w:tcPr>
            <w:tcW w:w="327"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E6783">
              <w:rPr>
                <w:rFonts w:ascii="Calibri" w:hAnsi="Calibri"/>
                <w:b/>
                <w:i/>
                <w:sz w:val="20"/>
              </w:rPr>
              <w:t xml:space="preserve">-11.3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-3.1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-3.1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-3.1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-3.1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-3.2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-3.2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-3.2 </w:t>
            </w:r>
          </w:p>
        </w:tc>
        <w:tc>
          <w:tcPr>
            <w:tcW w:w="326"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E6783">
              <w:rPr>
                <w:rFonts w:ascii="Calibri" w:hAnsi="Calibri"/>
                <w:b/>
                <w:i/>
                <w:sz w:val="20"/>
              </w:rPr>
              <w:t xml:space="preserve">-33.2 </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0B5C96" w:rsidRPr="00EE6783" w:rsidRDefault="000B5C96" w:rsidP="003F606A">
            <w:pPr>
              <w:spacing w:line="240" w:lineRule="auto"/>
              <w:ind w:left="57" w:right="57"/>
              <w:rPr>
                <w:rFonts w:ascii="Calibri" w:hAnsi="Calibri"/>
                <w:sz w:val="20"/>
                <w:szCs w:val="20"/>
              </w:rPr>
            </w:pPr>
            <w:r w:rsidRPr="00EE6783">
              <w:rPr>
                <w:rFonts w:ascii="Calibri" w:hAnsi="Calibri"/>
                <w:sz w:val="20"/>
                <w:szCs w:val="20"/>
              </w:rPr>
              <w:t>Total expenses</w:t>
            </w:r>
          </w:p>
        </w:tc>
        <w:tc>
          <w:tcPr>
            <w:tcW w:w="326"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-139.1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-140.1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-140.5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-131.2 </w:t>
            </w:r>
          </w:p>
        </w:tc>
        <w:tc>
          <w:tcPr>
            <w:tcW w:w="327"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-550.9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-100.8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-3.1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-3.1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-3.1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-3.2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-3.2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-3.2 </w:t>
            </w:r>
          </w:p>
        </w:tc>
        <w:tc>
          <w:tcPr>
            <w:tcW w:w="326"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-670.6 </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b/>
                <w:sz w:val="20"/>
                <w:szCs w:val="20"/>
              </w:rPr>
              <w:t>Revenue</w:t>
            </w:r>
            <w:r w:rsidRPr="00EE6783">
              <w:rPr>
                <w:rFonts w:ascii="Calibri" w:hAnsi="Calibri"/>
                <w:b/>
                <w:sz w:val="20"/>
                <w:szCs w:val="20"/>
                <w:vertAlign w:val="superscript"/>
              </w:rPr>
              <w:t xml:space="preserve">(c) </w:t>
            </w:r>
            <w:r w:rsidRPr="00EE6783">
              <w:rPr>
                <w:rFonts w:ascii="Calibri" w:hAnsi="Calibri"/>
                <w:sz w:val="20"/>
                <w:szCs w:val="20"/>
              </w:rPr>
              <w:t>(Related to component 5)</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Unwinding loan discount</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10.7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20.7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30.0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37.1 </w:t>
            </w:r>
          </w:p>
        </w:tc>
        <w:tc>
          <w:tcPr>
            <w:tcW w:w="327"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E6783">
              <w:rPr>
                <w:rFonts w:ascii="Calibri" w:hAnsi="Calibri"/>
                <w:b/>
                <w:i/>
                <w:sz w:val="20"/>
              </w:rPr>
              <w:t xml:space="preserve"> 98.4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42.5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38.6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34.4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29.7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24.6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18.9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12.7 </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E6783">
              <w:rPr>
                <w:rFonts w:ascii="Calibri" w:hAnsi="Calibri"/>
                <w:b/>
                <w:i/>
                <w:sz w:val="20"/>
              </w:rPr>
              <w:t xml:space="preserve"> 299.7 </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Interest received</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6.6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12.6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17.8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24.7 </w:t>
            </w:r>
          </w:p>
        </w:tc>
        <w:tc>
          <w:tcPr>
            <w:tcW w:w="327"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E6783">
              <w:rPr>
                <w:rFonts w:ascii="Calibri" w:hAnsi="Calibri"/>
                <w:b/>
                <w:i/>
                <w:sz w:val="20"/>
              </w:rPr>
              <w:t xml:space="preserve"> 61.7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32.2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28.3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24.4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20.5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16.6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12.7 </w:t>
            </w:r>
          </w:p>
        </w:tc>
        <w:tc>
          <w:tcPr>
            <w:tcW w:w="325"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E6783">
              <w:rPr>
                <w:rFonts w:ascii="Calibri" w:hAnsi="Calibri"/>
                <w:i/>
                <w:sz w:val="20"/>
              </w:rPr>
              <w:t xml:space="preserve"> 8.8 </w:t>
            </w:r>
          </w:p>
        </w:tc>
        <w:tc>
          <w:tcPr>
            <w:tcW w:w="326" w:type="pct"/>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E6783">
              <w:rPr>
                <w:rFonts w:ascii="Calibri" w:hAnsi="Calibri"/>
                <w:b/>
                <w:i/>
                <w:sz w:val="20"/>
              </w:rPr>
              <w:t xml:space="preserve"> 204.9 </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Total revenue</w:t>
            </w:r>
          </w:p>
        </w:tc>
        <w:tc>
          <w:tcPr>
            <w:tcW w:w="326"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 17.3 </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 33.3 </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 47.8 </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 61.8 </w:t>
            </w:r>
          </w:p>
        </w:tc>
        <w:tc>
          <w:tcPr>
            <w:tcW w:w="327"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 160.1 </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 74.6 </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 66.9 </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 58.7 </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 50.2 </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 41.1 </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 31.6 </w:t>
            </w:r>
          </w:p>
        </w:tc>
        <w:tc>
          <w:tcPr>
            <w:tcW w:w="325"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 21.5 </w:t>
            </w:r>
          </w:p>
        </w:tc>
        <w:tc>
          <w:tcPr>
            <w:tcW w:w="326" w:type="pct"/>
            <w:shd w:val="clear" w:color="auto" w:fill="D7DDE9"/>
            <w:vAlign w:val="center"/>
          </w:tcPr>
          <w:p w:rsidR="000B5C96" w:rsidRPr="00EE6783"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 504.6 </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EE6783" w:rsidRDefault="000B5C96" w:rsidP="003F606A">
            <w:pPr>
              <w:keepNext/>
              <w:keepLines/>
              <w:spacing w:line="240" w:lineRule="auto"/>
              <w:ind w:left="57" w:right="57"/>
              <w:rPr>
                <w:rFonts w:ascii="Calibri" w:hAnsi="Calibri"/>
                <w:i/>
                <w:sz w:val="20"/>
                <w:szCs w:val="20"/>
              </w:rPr>
            </w:pPr>
            <w:r w:rsidRPr="00EE6783">
              <w:rPr>
                <w:rFonts w:ascii="Calibri" w:hAnsi="Calibri"/>
                <w:b/>
                <w:sz w:val="20"/>
                <w:szCs w:val="20"/>
              </w:rPr>
              <w:t>Other</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sz w:val="20"/>
                <w:szCs w:val="20"/>
              </w:rPr>
              <w:t>Public debt interest</w:t>
            </w:r>
            <w:r w:rsidRPr="00EE6783">
              <w:rPr>
                <w:rFonts w:ascii="Calibri" w:hAnsi="Calibri"/>
                <w:sz w:val="20"/>
                <w:szCs w:val="20"/>
                <w:vertAlign w:val="superscript"/>
              </w:rPr>
              <w:t>(d)</w:t>
            </w:r>
          </w:p>
        </w:tc>
        <w:tc>
          <w:tcPr>
            <w:tcW w:w="326"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-3.9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-11.3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-17.9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-33.0 </w:t>
            </w:r>
          </w:p>
        </w:tc>
        <w:tc>
          <w:tcPr>
            <w:tcW w:w="327"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-66.1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-46.6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-53.3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-52.5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-50.5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-47.5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-43.9 </w:t>
            </w:r>
          </w:p>
        </w:tc>
        <w:tc>
          <w:tcPr>
            <w:tcW w:w="325"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6783">
              <w:rPr>
                <w:rFonts w:ascii="Calibri" w:hAnsi="Calibri"/>
                <w:sz w:val="20"/>
              </w:rPr>
              <w:t xml:space="preserve">-42.5 </w:t>
            </w:r>
          </w:p>
        </w:tc>
        <w:tc>
          <w:tcPr>
            <w:tcW w:w="326" w:type="pct"/>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-402.7 </w:t>
            </w:r>
          </w:p>
        </w:tc>
      </w:tr>
      <w:tr w:rsidR="000B5C96" w:rsidRPr="00EE6783"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0B5C96" w:rsidRPr="00EE6783" w:rsidRDefault="000B5C96" w:rsidP="003F606A">
            <w:pPr>
              <w:keepNext/>
              <w:keepLines/>
              <w:spacing w:line="240" w:lineRule="auto"/>
              <w:ind w:left="57" w:right="57"/>
              <w:rPr>
                <w:rFonts w:ascii="Calibri" w:hAnsi="Calibri"/>
                <w:sz w:val="20"/>
                <w:szCs w:val="20"/>
              </w:rPr>
            </w:pPr>
            <w:r w:rsidRPr="00EE6783">
              <w:rPr>
                <w:rFonts w:ascii="Calibri" w:hAnsi="Calibri"/>
                <w:b/>
                <w:bCs/>
                <w:color w:val="000000"/>
                <w:sz w:val="20"/>
                <w:szCs w:val="20"/>
              </w:rPr>
              <w:t>Total</w:t>
            </w:r>
          </w:p>
        </w:tc>
        <w:tc>
          <w:tcPr>
            <w:tcW w:w="326"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-125.7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-118.1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-110.6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-102.4 </w:t>
            </w:r>
          </w:p>
        </w:tc>
        <w:tc>
          <w:tcPr>
            <w:tcW w:w="327"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-456.8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-72.8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 10.5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 3.1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-3.4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-9.5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-15.5 </w:t>
            </w:r>
          </w:p>
        </w:tc>
        <w:tc>
          <w:tcPr>
            <w:tcW w:w="325"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-24.2 </w:t>
            </w:r>
          </w:p>
        </w:tc>
        <w:tc>
          <w:tcPr>
            <w:tcW w:w="326" w:type="pct"/>
            <w:shd w:val="clear" w:color="auto" w:fill="D7DDE9"/>
            <w:vAlign w:val="center"/>
          </w:tcPr>
          <w:p w:rsidR="000B5C96" w:rsidRPr="00EE6783"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E6783">
              <w:rPr>
                <w:rFonts w:ascii="Calibri" w:hAnsi="Calibri"/>
                <w:b/>
                <w:sz w:val="20"/>
              </w:rPr>
              <w:t xml:space="preserve">-568.7 </w:t>
            </w:r>
          </w:p>
        </w:tc>
      </w:tr>
    </w:tbl>
    <w:p w:rsidR="000B5C96" w:rsidRPr="00EE6783" w:rsidRDefault="000B5C96" w:rsidP="00E46AB6">
      <w:pPr>
        <w:pStyle w:val="Footnotes"/>
        <w:numPr>
          <w:ilvl w:val="0"/>
          <w:numId w:val="249"/>
        </w:numPr>
        <w:ind w:left="284" w:hanging="284"/>
      </w:pPr>
      <w:r w:rsidRPr="00EE6783">
        <w:t xml:space="preserve">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   </w:t>
      </w:r>
    </w:p>
    <w:p w:rsidR="000B5C96" w:rsidRDefault="000B5C96" w:rsidP="000B5C96">
      <w:pPr>
        <w:pStyle w:val="Footnotes"/>
        <w:numPr>
          <w:ilvl w:val="0"/>
          <w:numId w:val="7"/>
        </w:numPr>
        <w:ind w:left="284" w:hanging="284"/>
      </w:pPr>
      <w:r w:rsidRPr="00EE6783">
        <w:t>Figures may not sum to totals due to rounding.</w:t>
      </w:r>
    </w:p>
    <w:p w:rsidR="000B5C96" w:rsidRDefault="000B5C96" w:rsidP="000B5C96">
      <w:pPr>
        <w:pStyle w:val="Footnotes"/>
        <w:numPr>
          <w:ilvl w:val="0"/>
          <w:numId w:val="7"/>
        </w:numPr>
        <w:ind w:left="284" w:hanging="284"/>
      </w:pPr>
      <w:r w:rsidRPr="00EE6783">
        <w:t>Amounts relate to the loan facility component.</w:t>
      </w:r>
    </w:p>
    <w:p w:rsidR="000B5C96" w:rsidRPr="00EE6783" w:rsidRDefault="000B5C96" w:rsidP="000B5C96">
      <w:pPr>
        <w:pStyle w:val="Footnotes"/>
        <w:numPr>
          <w:ilvl w:val="0"/>
          <w:numId w:val="7"/>
        </w:numPr>
        <w:ind w:left="284" w:hanging="284"/>
      </w:pPr>
      <w:r w:rsidRPr="00EE6783">
        <w:t>Relates to all components.</w:t>
      </w:r>
    </w:p>
    <w:p w:rsidR="000B5C96" w:rsidRDefault="000B5C96" w:rsidP="000B5C96">
      <w:pPr>
        <w:pStyle w:val="Footnotes"/>
        <w:numPr>
          <w:ilvl w:val="0"/>
          <w:numId w:val="115"/>
        </w:numPr>
        <w:ind w:left="284" w:hanging="284"/>
        <w:sectPr w:rsidR="000B5C96" w:rsidSect="003F606A">
          <w:headerReference w:type="even" r:id="rId526"/>
          <w:headerReference w:type="default" r:id="rId527"/>
          <w:footerReference w:type="even" r:id="rId528"/>
          <w:footerReference w:type="default" r:id="rId529"/>
          <w:pgSz w:w="16839" w:h="11907" w:orient="landscape" w:code="9"/>
          <w:pgMar w:top="1361" w:right="1797" w:bottom="1474" w:left="1797" w:header="283" w:footer="454" w:gutter="0"/>
          <w:cols w:space="708"/>
          <w:docGrid w:linePitch="360"/>
        </w:sectPr>
      </w:pPr>
      <w:r w:rsidRPr="00EE6783">
        <w:t>Indicates nil.</w:t>
      </w:r>
    </w:p>
    <w:p w:rsidR="000B5C96" w:rsidRPr="00747939" w:rsidRDefault="000B5C96" w:rsidP="003F606A">
      <w:pPr>
        <w:keepNext/>
        <w:keepLines/>
        <w:spacing w:before="340" w:after="114"/>
        <w:rPr>
          <w:rFonts w:ascii="Calibri" w:eastAsia="Calibri" w:hAnsi="Calibri" w:cs="Times New Roman"/>
          <w:b/>
          <w:bCs/>
          <w:color w:val="1F497D"/>
          <w:spacing w:val="-4"/>
        </w:rPr>
      </w:pPr>
      <w:r w:rsidRPr="00747939">
        <w:rPr>
          <w:rFonts w:ascii="Calibri" w:eastAsia="Calibri" w:hAnsi="Calibri" w:cs="Times New Roman"/>
          <w:b/>
          <w:bCs/>
          <w:color w:val="1F497D"/>
          <w:spacing w:val="-4"/>
        </w:rPr>
        <w:t>Table A2: Financial implications (outturn prices) - Underling cash balance</w:t>
      </w:r>
      <w:r w:rsidRPr="00747939">
        <w:rPr>
          <w:rFonts w:ascii="Calibri" w:eastAsia="Calibri" w:hAnsi="Calibri" w:cs="Times New Roman"/>
          <w:b/>
          <w:bCs/>
          <w:color w:val="1F497D"/>
          <w:spacing w:val="-4"/>
          <w:vertAlign w:val="superscript"/>
        </w:rPr>
        <w:t>(a)(b)</w:t>
      </w:r>
    </w:p>
    <w:tbl>
      <w:tblPr>
        <w:tblStyle w:val="TableGrid120"/>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747939" w:rsidTr="003F606A">
        <w:trPr>
          <w:cantSplit/>
          <w:tblHeader/>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rPr>
              <w:t>($m)</w:t>
            </w:r>
          </w:p>
        </w:tc>
        <w:tc>
          <w:tcPr>
            <w:tcW w:w="326"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2016–17</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2017–18</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2018–19</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2019–20</w:t>
            </w:r>
          </w:p>
        </w:tc>
        <w:tc>
          <w:tcPr>
            <w:tcW w:w="327"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Total to 2019–20</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2020–21</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2021–22</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2022–23</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2023–24</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2024–25</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2025–26</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2026–27</w:t>
            </w:r>
          </w:p>
        </w:tc>
        <w:tc>
          <w:tcPr>
            <w:tcW w:w="326"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Total to 2026–27</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b/>
                <w:sz w:val="20"/>
                <w:szCs w:val="20"/>
              </w:rPr>
              <w:t>Expenses</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u w:val="single"/>
              </w:rPr>
              <w:t>Component 1 - Develop world-class water quality monitoring and reporting</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rPr>
              <w:t>Departmental</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-3.8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-3.8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-3.8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-3.8 </w:t>
            </w:r>
          </w:p>
        </w:tc>
        <w:tc>
          <w:tcPr>
            <w:tcW w:w="327"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 xml:space="preserve">-15.0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 xml:space="preserve">-15.0 </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u w:val="single"/>
              </w:rPr>
              <w:t>Component 2 - Strengthen our reef guardians and scientists</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rPr>
              <w:t>Departmental</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-20.0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-20.0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-20.0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-20.0 </w:t>
            </w:r>
          </w:p>
        </w:tc>
        <w:tc>
          <w:tcPr>
            <w:tcW w:w="327"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 xml:space="preserve">-80.0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 xml:space="preserve">-80.0 </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u w:val="single"/>
              </w:rPr>
              <w:t>Component 3 - Stop illegal fishing and poaching in the protected “Green Zones”</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rPr>
              <w:t>Administered</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-1.2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-1.2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-1.2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-1.2 </w:t>
            </w:r>
          </w:p>
        </w:tc>
        <w:tc>
          <w:tcPr>
            <w:tcW w:w="327"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 xml:space="preserve">-4.8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 xml:space="preserve">-4.8 </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rPr>
              <w:t>Departmental</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-0.1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-0.1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-0.1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-0.1 </w:t>
            </w:r>
          </w:p>
        </w:tc>
        <w:tc>
          <w:tcPr>
            <w:tcW w:w="327"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 xml:space="preserve">-0.2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 -   </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 xml:space="preserve">-0.2 </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u w:val="single"/>
              </w:rPr>
              <w:t>Component 4 - Reef Water Quality Program</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rPr>
              <w:t>Administered</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-43.4</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-43.4</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-43.4</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-43.4</w:t>
            </w:r>
          </w:p>
        </w:tc>
        <w:tc>
          <w:tcPr>
            <w:tcW w:w="327"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-173.7</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-43.4</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-217.1</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rPr>
              <w:t>Departmental</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-1.6</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-1.6</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-1.6</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-1.6</w:t>
            </w:r>
          </w:p>
        </w:tc>
        <w:tc>
          <w:tcPr>
            <w:tcW w:w="327"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-6.3</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-1.6</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-7.9</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u w:val="single"/>
              </w:rPr>
              <w:t>Component 5 - Concessional loan facility</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rPr>
              <w:t>Departmental</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-2.3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-3.0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-3.0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-3.0 </w:t>
            </w:r>
          </w:p>
        </w:tc>
        <w:tc>
          <w:tcPr>
            <w:tcW w:w="327"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 xml:space="preserve">-11.3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-3.1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-3.1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-3.1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-3.1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-3.2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-3.2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747939">
              <w:rPr>
                <w:rFonts w:ascii="Calibri" w:hAnsi="Calibri"/>
                <w:i/>
                <w:sz w:val="20"/>
                <w:szCs w:val="20"/>
              </w:rPr>
              <w:t xml:space="preserve">-3.2 </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747939">
              <w:rPr>
                <w:rFonts w:ascii="Calibri" w:hAnsi="Calibri"/>
                <w:b/>
                <w:i/>
                <w:sz w:val="20"/>
                <w:szCs w:val="20"/>
              </w:rPr>
              <w:t xml:space="preserve">-33.2 </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0B5C96" w:rsidRPr="00747939" w:rsidRDefault="000B5C96" w:rsidP="003F606A">
            <w:pPr>
              <w:spacing w:line="240" w:lineRule="auto"/>
              <w:ind w:left="57" w:right="57"/>
              <w:rPr>
                <w:rFonts w:ascii="Calibri" w:hAnsi="Calibri"/>
                <w:sz w:val="20"/>
                <w:szCs w:val="20"/>
              </w:rPr>
            </w:pPr>
            <w:r w:rsidRPr="00747939">
              <w:rPr>
                <w:rFonts w:ascii="Calibri" w:hAnsi="Calibri"/>
                <w:b/>
                <w:sz w:val="20"/>
                <w:szCs w:val="20"/>
              </w:rPr>
              <w:t>Total expenses</w:t>
            </w:r>
          </w:p>
        </w:tc>
        <w:tc>
          <w:tcPr>
            <w:tcW w:w="326"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-72.3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-73.0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-73.0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-73.0 </w:t>
            </w:r>
          </w:p>
        </w:tc>
        <w:tc>
          <w:tcPr>
            <w:tcW w:w="327"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-291.3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-48.1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-3.1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-3.1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-3.1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-3.2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-3.2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-3.2 </w:t>
            </w:r>
          </w:p>
        </w:tc>
        <w:tc>
          <w:tcPr>
            <w:tcW w:w="326"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-358.2 </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b/>
                <w:sz w:val="20"/>
                <w:szCs w:val="20"/>
              </w:rPr>
              <w:t>Revenue</w:t>
            </w:r>
            <w:r w:rsidRPr="00747939">
              <w:rPr>
                <w:rFonts w:ascii="Calibri" w:hAnsi="Calibri"/>
                <w:b/>
                <w:sz w:val="20"/>
                <w:szCs w:val="20"/>
                <w:vertAlign w:val="superscript"/>
              </w:rPr>
              <w:t xml:space="preserve">(c) </w:t>
            </w:r>
            <w:r w:rsidRPr="00747939">
              <w:rPr>
                <w:rFonts w:ascii="Calibri" w:hAnsi="Calibri"/>
                <w:sz w:val="20"/>
                <w:szCs w:val="20"/>
              </w:rPr>
              <w:t>(Related to component 5)</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rPr>
              <w:t>Interest received</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 6.6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 12.6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 17.8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 24.7 </w:t>
            </w:r>
          </w:p>
        </w:tc>
        <w:tc>
          <w:tcPr>
            <w:tcW w:w="327"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 61.7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 32.2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 28.3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 24.4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 20.5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 16.6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 12.7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 8.8 </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sz w:val="20"/>
                <w:szCs w:val="20"/>
              </w:rPr>
              <w:t xml:space="preserve"> </w:t>
            </w:r>
            <w:r w:rsidRPr="00747939">
              <w:rPr>
                <w:rFonts w:ascii="Calibri" w:hAnsi="Calibri"/>
                <w:b/>
                <w:sz w:val="20"/>
                <w:szCs w:val="20"/>
              </w:rPr>
              <w:t xml:space="preserve">204.9 </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rsidR="000B5C96" w:rsidRPr="00747939" w:rsidRDefault="000B5C96" w:rsidP="003F606A">
            <w:pPr>
              <w:keepNext/>
              <w:keepLines/>
              <w:spacing w:line="240" w:lineRule="auto"/>
              <w:ind w:left="57" w:right="57"/>
              <w:rPr>
                <w:rFonts w:ascii="Calibri" w:hAnsi="Calibri"/>
                <w:b/>
                <w:sz w:val="20"/>
                <w:szCs w:val="20"/>
              </w:rPr>
            </w:pPr>
            <w:r w:rsidRPr="00747939">
              <w:rPr>
                <w:rFonts w:ascii="Calibri" w:hAnsi="Calibri"/>
                <w:b/>
                <w:sz w:val="20"/>
                <w:szCs w:val="20"/>
              </w:rPr>
              <w:t>Other</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771" w:type="pct"/>
            <w:vAlign w:val="center"/>
          </w:tcPr>
          <w:p w:rsidR="000B5C96" w:rsidRPr="00747939" w:rsidRDefault="000B5C96" w:rsidP="003F606A">
            <w:pPr>
              <w:keepNext/>
              <w:keepLines/>
              <w:spacing w:line="240" w:lineRule="auto"/>
              <w:ind w:left="57" w:right="57"/>
              <w:rPr>
                <w:rFonts w:ascii="Calibri" w:hAnsi="Calibri"/>
                <w:sz w:val="20"/>
                <w:szCs w:val="20"/>
              </w:rPr>
            </w:pPr>
            <w:r w:rsidRPr="00747939">
              <w:rPr>
                <w:rFonts w:ascii="Calibri" w:hAnsi="Calibri"/>
                <w:sz w:val="20"/>
                <w:szCs w:val="20"/>
              </w:rPr>
              <w:t>Public debt interest</w:t>
            </w:r>
            <w:r w:rsidRPr="00747939">
              <w:rPr>
                <w:rFonts w:ascii="Calibri" w:hAnsi="Calibri"/>
                <w:sz w:val="20"/>
                <w:szCs w:val="20"/>
                <w:vertAlign w:val="superscript"/>
              </w:rPr>
              <w:t>(d)</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-3.6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-10.8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-17.4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-31.9 </w:t>
            </w:r>
          </w:p>
        </w:tc>
        <w:tc>
          <w:tcPr>
            <w:tcW w:w="327"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-63.8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-45.6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-52.8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-52.5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-50.6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-47.7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-44.2 </w:t>
            </w:r>
          </w:p>
        </w:tc>
        <w:tc>
          <w:tcPr>
            <w:tcW w:w="325"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47939">
              <w:rPr>
                <w:rFonts w:ascii="Calibri" w:hAnsi="Calibri"/>
                <w:sz w:val="20"/>
                <w:szCs w:val="20"/>
              </w:rPr>
              <w:t xml:space="preserve">-42.6 </w:t>
            </w:r>
          </w:p>
        </w:tc>
        <w:tc>
          <w:tcPr>
            <w:tcW w:w="326" w:type="pct"/>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-399.8 </w:t>
            </w:r>
          </w:p>
        </w:tc>
      </w:tr>
      <w:tr w:rsidR="000B5C96" w:rsidRPr="0074793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vAlign w:val="center"/>
          </w:tcPr>
          <w:p w:rsidR="000B5C96" w:rsidRPr="00747939" w:rsidRDefault="000B5C96" w:rsidP="003F606A">
            <w:pPr>
              <w:spacing w:line="240" w:lineRule="auto"/>
              <w:ind w:left="57" w:right="57"/>
              <w:rPr>
                <w:rFonts w:ascii="Calibri" w:hAnsi="Calibri"/>
                <w:sz w:val="20"/>
                <w:szCs w:val="20"/>
              </w:rPr>
            </w:pPr>
            <w:r w:rsidRPr="00747939">
              <w:rPr>
                <w:rFonts w:ascii="Calibri" w:hAnsi="Calibri"/>
                <w:b/>
                <w:bCs/>
                <w:color w:val="000000"/>
                <w:sz w:val="20"/>
                <w:szCs w:val="20"/>
              </w:rPr>
              <w:t>Total</w:t>
            </w:r>
          </w:p>
        </w:tc>
        <w:tc>
          <w:tcPr>
            <w:tcW w:w="326"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-69.2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-71.2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-72.7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-80.2 </w:t>
            </w:r>
          </w:p>
        </w:tc>
        <w:tc>
          <w:tcPr>
            <w:tcW w:w="327"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-293.4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-61.5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-27.6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-31.3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-33.3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-34.3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-34.7 </w:t>
            </w:r>
          </w:p>
        </w:tc>
        <w:tc>
          <w:tcPr>
            <w:tcW w:w="325"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-37.0 </w:t>
            </w:r>
          </w:p>
        </w:tc>
        <w:tc>
          <w:tcPr>
            <w:tcW w:w="326" w:type="pct"/>
            <w:shd w:val="clear" w:color="auto" w:fill="D7DDE9"/>
            <w:vAlign w:val="center"/>
          </w:tcPr>
          <w:p w:rsidR="000B5C96" w:rsidRPr="00747939"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47939">
              <w:rPr>
                <w:rFonts w:ascii="Calibri" w:hAnsi="Calibri"/>
                <w:b/>
                <w:sz w:val="20"/>
                <w:szCs w:val="20"/>
              </w:rPr>
              <w:t xml:space="preserve">-553.1 </w:t>
            </w:r>
          </w:p>
        </w:tc>
      </w:tr>
    </w:tbl>
    <w:p w:rsidR="000B5C96" w:rsidRPr="00E46AB6" w:rsidRDefault="000B5C96" w:rsidP="00E46AB6">
      <w:pPr>
        <w:pStyle w:val="Footnotes"/>
        <w:numPr>
          <w:ilvl w:val="0"/>
          <w:numId w:val="250"/>
        </w:numPr>
        <w:ind w:left="284" w:hanging="284"/>
        <w:rPr>
          <w:rFonts w:ascii="Calibri" w:eastAsia="Calibri" w:hAnsi="Calibri" w:cs="Times New Roman"/>
        </w:rPr>
      </w:pPr>
      <w:r w:rsidRPr="00E46AB6">
        <w:rPr>
          <w:rFonts w:ascii="Calibri" w:eastAsia="Calibri" w:hAnsi="Calibri" w:cs="Times New Roman"/>
        </w:rPr>
        <w:t>A positive number for the underlying cash balance indicates an increase in receipts or a decrease in outlays or net capital investment in cash terms.  A negative number for the fiscal balance indicates a decrease in receipts or an increase in outlays or net capital investment in cash terms.</w:t>
      </w:r>
    </w:p>
    <w:p w:rsidR="000B5C96" w:rsidRPr="00747939" w:rsidRDefault="000B5C96" w:rsidP="000B5C96">
      <w:pPr>
        <w:numPr>
          <w:ilvl w:val="0"/>
          <w:numId w:val="7"/>
        </w:numPr>
        <w:spacing w:before="113" w:line="260" w:lineRule="atLeast"/>
        <w:ind w:left="284" w:hanging="284"/>
        <w:rPr>
          <w:rFonts w:ascii="Calibri" w:eastAsia="Calibri" w:hAnsi="Calibri" w:cs="Times New Roman"/>
          <w:sz w:val="20"/>
          <w:szCs w:val="20"/>
        </w:rPr>
      </w:pPr>
      <w:r w:rsidRPr="00747939">
        <w:rPr>
          <w:rFonts w:ascii="Calibri" w:eastAsia="Calibri" w:hAnsi="Calibri" w:cs="Times New Roman"/>
          <w:sz w:val="20"/>
          <w:szCs w:val="20"/>
        </w:rPr>
        <w:t>Figures may not sum to totals due to rounding.</w:t>
      </w:r>
    </w:p>
    <w:p w:rsidR="000B5C96" w:rsidRDefault="000B5C96" w:rsidP="000B5C96">
      <w:pPr>
        <w:numPr>
          <w:ilvl w:val="0"/>
          <w:numId w:val="7"/>
        </w:numPr>
        <w:spacing w:before="113" w:line="260" w:lineRule="atLeast"/>
        <w:ind w:left="284" w:hanging="284"/>
        <w:rPr>
          <w:rFonts w:ascii="Calibri" w:eastAsia="Calibri" w:hAnsi="Calibri" w:cs="Times New Roman"/>
          <w:sz w:val="20"/>
          <w:szCs w:val="20"/>
        </w:rPr>
      </w:pPr>
      <w:r w:rsidRPr="00747939">
        <w:rPr>
          <w:rFonts w:ascii="Calibri" w:eastAsia="Calibri" w:hAnsi="Calibri" w:cs="Times New Roman"/>
          <w:sz w:val="20"/>
          <w:szCs w:val="20"/>
        </w:rPr>
        <w:t>Amounts relate to the loan facility component.</w:t>
      </w:r>
    </w:p>
    <w:p w:rsidR="000B5C96" w:rsidRPr="00747939" w:rsidRDefault="000B5C96" w:rsidP="000B5C96">
      <w:pPr>
        <w:numPr>
          <w:ilvl w:val="0"/>
          <w:numId w:val="7"/>
        </w:numPr>
        <w:spacing w:before="113" w:line="260" w:lineRule="atLeast"/>
        <w:ind w:left="284" w:hanging="284"/>
        <w:rPr>
          <w:rFonts w:ascii="Calibri" w:eastAsia="Calibri" w:hAnsi="Calibri" w:cs="Times New Roman"/>
          <w:sz w:val="20"/>
          <w:szCs w:val="20"/>
        </w:rPr>
      </w:pPr>
      <w:r w:rsidRPr="00747939">
        <w:rPr>
          <w:rFonts w:ascii="Calibri" w:eastAsia="Calibri" w:hAnsi="Calibri" w:cs="Times New Roman"/>
          <w:sz w:val="20"/>
          <w:szCs w:val="20"/>
        </w:rPr>
        <w:t>Relates to all components.</w:t>
      </w:r>
    </w:p>
    <w:p w:rsidR="000B5C96" w:rsidRPr="00747939" w:rsidRDefault="000B5C96" w:rsidP="000B5C96">
      <w:pPr>
        <w:numPr>
          <w:ilvl w:val="0"/>
          <w:numId w:val="134"/>
        </w:numPr>
        <w:tabs>
          <w:tab w:val="left" w:pos="284"/>
        </w:tabs>
        <w:spacing w:before="113" w:line="260" w:lineRule="atLeast"/>
        <w:ind w:left="284" w:hanging="284"/>
        <w:rPr>
          <w:rFonts w:ascii="Calibri" w:eastAsia="Calibri" w:hAnsi="Calibri" w:cs="Times New Roman"/>
          <w:sz w:val="20"/>
          <w:szCs w:val="20"/>
        </w:rPr>
      </w:pPr>
      <w:r w:rsidRPr="00747939">
        <w:rPr>
          <w:rFonts w:ascii="Calibri" w:eastAsia="Calibri" w:hAnsi="Calibri" w:cs="Times New Roman"/>
          <w:sz w:val="20"/>
          <w:szCs w:val="20"/>
        </w:rPr>
        <w:t>Indicates nil.</w:t>
      </w:r>
    </w:p>
    <w:p w:rsidR="000B5C96" w:rsidRDefault="000B5C96" w:rsidP="003F606A">
      <w:pPr>
        <w:pStyle w:val="Footnotes"/>
        <w:numPr>
          <w:ilvl w:val="0"/>
          <w:numId w:val="0"/>
        </w:numPr>
      </w:pPr>
    </w:p>
    <w:p w:rsidR="000B5C96" w:rsidRPr="00EE6783" w:rsidRDefault="000B5C96" w:rsidP="000B5C96">
      <w:pPr>
        <w:pStyle w:val="Footnotes"/>
        <w:numPr>
          <w:ilvl w:val="0"/>
          <w:numId w:val="115"/>
        </w:numPr>
        <w:ind w:left="284" w:hanging="284"/>
        <w:sectPr w:rsidR="000B5C96" w:rsidRPr="00EE6783" w:rsidSect="003F606A">
          <w:pgSz w:w="16839" w:h="11907" w:orient="landscape" w:code="9"/>
          <w:pgMar w:top="1361" w:right="1797" w:bottom="1474" w:left="1797" w:header="283" w:footer="454" w:gutter="0"/>
          <w:cols w:space="708"/>
          <w:docGrid w:linePitch="360"/>
        </w:sectPr>
      </w:pPr>
    </w:p>
    <w:p w:rsidR="000B5C96" w:rsidRDefault="000B5C96" w:rsidP="003F606A">
      <w:pPr>
        <w:pStyle w:val="Heading5"/>
      </w:pPr>
      <w:bookmarkStart w:id="181" w:name="_Toc458001970"/>
      <w:bookmarkStart w:id="182" w:name="_Toc458069455"/>
      <w:r>
        <w:t>GRN061: Protecting our Precious Places</w:t>
      </w:r>
      <w:bookmarkEnd w:id="181"/>
      <w:bookmarkEnd w:id="182"/>
    </w:p>
    <w:p w:rsidR="000B5C96" w:rsidRPr="008A0AE1" w:rsidRDefault="000B5C96" w:rsidP="003F606A">
      <w:pPr>
        <w:pStyle w:val="BodyText"/>
      </w:pPr>
      <w:r>
        <w:rPr>
          <w:noProof/>
          <w:lang w:eastAsia="en-AU"/>
        </w:rPr>
        <w:drawing>
          <wp:inline distT="0" distB="0" distL="0" distR="0" wp14:anchorId="1C4611D8" wp14:editId="472751E7">
            <wp:extent cx="2696845" cy="572135"/>
            <wp:effectExtent l="0" t="0" r="8255" b="0"/>
            <wp:docPr id="474" name="Picture 47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DB256B" w:rsidRDefault="000B5C96" w:rsidP="000B5C96">
      <w:pPr>
        <w:pStyle w:val="Heading6"/>
        <w:numPr>
          <w:ilvl w:val="0"/>
          <w:numId w:val="5"/>
        </w:numPr>
        <w:tabs>
          <w:tab w:val="right" w:pos="1418"/>
          <w:tab w:val="right" w:pos="1701"/>
          <w:tab w:val="right" w:pos="1985"/>
        </w:tabs>
      </w:pPr>
      <w:r w:rsidRPr="00DB256B">
        <w:t>Policy costing—during the caretaker period for the 2016 general election</w:t>
      </w:r>
    </w:p>
    <w:tbl>
      <w:tblPr>
        <w:tblStyle w:val="Style14"/>
        <w:tblW w:w="8340" w:type="dxa"/>
        <w:tblLook w:val="04A0" w:firstRow="1" w:lastRow="0" w:firstColumn="1" w:lastColumn="0" w:noHBand="0" w:noVBand="1"/>
      </w:tblPr>
      <w:tblGrid>
        <w:gridCol w:w="2802"/>
        <w:gridCol w:w="553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2802"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val="0"/>
              </w:rPr>
            </w:pPr>
            <w:r w:rsidRPr="00EA7F7A">
              <w:t>Name of proposal:</w:t>
            </w:r>
          </w:p>
        </w:tc>
        <w:tc>
          <w:tcPr>
            <w:tcW w:w="5538"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val="0"/>
              </w:rPr>
            </w:pPr>
            <w:r w:rsidRPr="00EA7F7A">
              <w:t>Protecting Our Precious Places</w:t>
            </w:r>
          </w:p>
        </w:tc>
      </w:tr>
      <w:tr w:rsidR="000B5C96" w:rsidRPr="00DB256B" w:rsidTr="003F606A">
        <w:tc>
          <w:tcPr>
            <w:tcW w:w="2802"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pPr>
            <w:r w:rsidRPr="00DB256B">
              <w:t>Summary of proposal:</w:t>
            </w:r>
          </w:p>
        </w:tc>
        <w:tc>
          <w:tcPr>
            <w:tcW w:w="5538"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pPr>
            <w:r w:rsidRPr="00DB256B">
              <w:rPr>
                <w:lang w:eastAsia="en-AU"/>
              </w:rPr>
              <w:t>The proposal includes the following components</w:t>
            </w:r>
            <w:r w:rsidRPr="00DB256B">
              <w:t>:</w:t>
            </w:r>
          </w:p>
          <w:p w:rsidR="000B5C96" w:rsidRPr="00DB256B" w:rsidRDefault="000B5C96" w:rsidP="003F606A">
            <w:pPr>
              <w:pStyle w:val="PullOutBoxBodyText"/>
              <w:rPr>
                <w:u w:val="single"/>
                <w:lang w:eastAsia="en-AU"/>
              </w:rPr>
            </w:pPr>
            <w:r w:rsidRPr="00DB256B">
              <w:rPr>
                <w:u w:val="single"/>
                <w:lang w:eastAsia="en-AU"/>
              </w:rPr>
              <w:t>Component 1: Taskforce to create a new Environment Act</w:t>
            </w:r>
          </w:p>
          <w:p w:rsidR="000B5C96" w:rsidRPr="00DB256B" w:rsidRDefault="000B5C96" w:rsidP="003F606A">
            <w:pPr>
              <w:pStyle w:val="PullOutBoxBodyText"/>
              <w:rPr>
                <w:u w:val="single"/>
              </w:rPr>
            </w:pPr>
            <w:r w:rsidRPr="00DB256B">
              <w:t>This component would provide $2 million in 2016-17.</w:t>
            </w:r>
          </w:p>
          <w:p w:rsidR="000B5C96" w:rsidRPr="00DB256B" w:rsidRDefault="000B5C96" w:rsidP="003F606A">
            <w:pPr>
              <w:pStyle w:val="PullOutBoxBodyText"/>
              <w:rPr>
                <w:u w:val="single"/>
                <w:lang w:eastAsia="en-AU"/>
              </w:rPr>
            </w:pPr>
            <w:r w:rsidRPr="00DB256B">
              <w:rPr>
                <w:u w:val="single"/>
                <w:lang w:eastAsia="en-AU"/>
              </w:rPr>
              <w:t>Component 2: Establish a new independent National Environment Protection Authority (NEPA)</w:t>
            </w:r>
          </w:p>
          <w:p w:rsidR="000B5C96" w:rsidRPr="00DB256B" w:rsidRDefault="000B5C96" w:rsidP="000B5C96">
            <w:pPr>
              <w:pStyle w:val="PullOutBoxBullet"/>
              <w:numPr>
                <w:ilvl w:val="0"/>
                <w:numId w:val="2"/>
              </w:numPr>
              <w:ind w:left="397"/>
            </w:pPr>
            <w:r w:rsidRPr="00DB256B">
              <w:t>This component would provide $130 million per year.  All funds from Department of the Environment Program 1.5 would be transferred to the new NEPA.  Any shortfall would be covered by new funding.</w:t>
            </w:r>
          </w:p>
          <w:p w:rsidR="000B5C96" w:rsidRPr="002E51A9" w:rsidRDefault="000B5C96" w:rsidP="003F606A">
            <w:pPr>
              <w:pStyle w:val="PullOutBoxBodyText"/>
              <w:rPr>
                <w:u w:val="single"/>
                <w:lang w:eastAsia="en-AU"/>
              </w:rPr>
            </w:pPr>
            <w:r w:rsidRPr="002E51A9">
              <w:rPr>
                <w:u w:val="single"/>
                <w:lang w:eastAsia="en-AU"/>
              </w:rPr>
              <w:t>Component 3: Restore Biodiversity Fund</w:t>
            </w:r>
          </w:p>
          <w:p w:rsidR="000B5C96" w:rsidRPr="00DB256B" w:rsidRDefault="000B5C96" w:rsidP="000B5C96">
            <w:pPr>
              <w:pStyle w:val="PullOutBoxBullet"/>
              <w:numPr>
                <w:ilvl w:val="0"/>
                <w:numId w:val="2"/>
              </w:numPr>
              <w:ind w:left="397"/>
            </w:pPr>
            <w:r w:rsidRPr="00DB256B">
              <w:t>This component would provide $2 billion in funding over six years, with $1 billion to be injected immediately and $1 billion invested in the first year beyond the 2016</w:t>
            </w:r>
            <w:r w:rsidRPr="00DB256B">
              <w:noBreakHyphen/>
              <w:t>17 Budget forward estimates period.</w:t>
            </w:r>
          </w:p>
          <w:p w:rsidR="000B5C96" w:rsidRPr="002E51A9" w:rsidRDefault="000B5C96" w:rsidP="003F606A">
            <w:pPr>
              <w:pStyle w:val="PullOutBoxBodyText"/>
              <w:rPr>
                <w:u w:val="single"/>
              </w:rPr>
            </w:pPr>
            <w:r w:rsidRPr="002E51A9">
              <w:rPr>
                <w:rFonts w:eastAsia="Times New Roman"/>
                <w:u w:val="single"/>
                <w:lang w:eastAsia="en-AU"/>
              </w:rPr>
              <w:t xml:space="preserve">Component 4: </w:t>
            </w:r>
            <w:r w:rsidRPr="002E51A9">
              <w:rPr>
                <w:u w:val="single"/>
              </w:rPr>
              <w:t>Threatened species – habitat mapping</w:t>
            </w:r>
          </w:p>
          <w:p w:rsidR="000B5C96" w:rsidRPr="00DB256B" w:rsidRDefault="000B5C96" w:rsidP="000B5C96">
            <w:pPr>
              <w:pStyle w:val="PullOutBoxBullet"/>
              <w:numPr>
                <w:ilvl w:val="0"/>
                <w:numId w:val="2"/>
              </w:numPr>
              <w:ind w:left="397"/>
            </w:pPr>
            <w:r w:rsidRPr="00DB256B">
              <w:t>This component would provide $30 million per year for three years for comprehensive studies to identify and map important habitat, bioregional planning and other matters.</w:t>
            </w:r>
          </w:p>
          <w:p w:rsidR="000B5C96" w:rsidRPr="002E51A9" w:rsidRDefault="000B5C96" w:rsidP="003F606A">
            <w:pPr>
              <w:pStyle w:val="PullOutBoxBodyText"/>
              <w:rPr>
                <w:u w:val="single"/>
              </w:rPr>
            </w:pPr>
            <w:r w:rsidRPr="002E51A9">
              <w:rPr>
                <w:u w:val="single"/>
              </w:rPr>
              <w:t>Component 5: Threatened species – listing, recovery plans and research</w:t>
            </w:r>
          </w:p>
          <w:p w:rsidR="000B5C96" w:rsidRPr="00DB256B" w:rsidRDefault="000B5C96" w:rsidP="000B5C96">
            <w:pPr>
              <w:pStyle w:val="PullOutBoxBullet"/>
              <w:numPr>
                <w:ilvl w:val="0"/>
                <w:numId w:val="2"/>
              </w:numPr>
              <w:ind w:left="397"/>
            </w:pPr>
            <w:r w:rsidRPr="00DB256B">
              <w:t>This component would provide $10 million per year to:</w:t>
            </w:r>
          </w:p>
          <w:p w:rsidR="000B5C96" w:rsidRPr="00DB256B" w:rsidRDefault="000B5C96" w:rsidP="000B5C96">
            <w:pPr>
              <w:pStyle w:val="PullOutBoxBullet2"/>
              <w:numPr>
                <w:ilvl w:val="1"/>
                <w:numId w:val="2"/>
              </w:numPr>
              <w:ind w:left="737"/>
            </w:pPr>
            <w:r w:rsidRPr="00DB256B">
              <w:t>support the rapid listing of all species and ecological communities which belong on the threatened list</w:t>
            </w:r>
          </w:p>
          <w:p w:rsidR="000B5C96" w:rsidRPr="00DB256B" w:rsidRDefault="000B5C96" w:rsidP="000B5C96">
            <w:pPr>
              <w:pStyle w:val="PullOutBoxBullet2"/>
              <w:numPr>
                <w:ilvl w:val="1"/>
                <w:numId w:val="2"/>
              </w:numPr>
              <w:ind w:left="737"/>
            </w:pPr>
            <w:r w:rsidRPr="00DB256B">
              <w:t>develop and resource the implementation of recovery plans and threat abatement plans for listed species and ecological communities</w:t>
            </w:r>
          </w:p>
          <w:p w:rsidR="000B5C96" w:rsidRPr="00DB256B" w:rsidRDefault="000B5C96" w:rsidP="000B5C96">
            <w:pPr>
              <w:pStyle w:val="PullOutBoxBullet2"/>
              <w:numPr>
                <w:ilvl w:val="1"/>
                <w:numId w:val="2"/>
              </w:numPr>
              <w:ind w:left="737"/>
            </w:pPr>
            <w:r w:rsidRPr="00DB256B">
              <w:t>fund additional research.</w:t>
            </w:r>
          </w:p>
          <w:p w:rsidR="000B5C96" w:rsidRPr="002E51A9" w:rsidRDefault="000B5C96" w:rsidP="003F606A">
            <w:pPr>
              <w:pStyle w:val="PullOutBoxBodyText"/>
              <w:rPr>
                <w:u w:val="single"/>
              </w:rPr>
            </w:pPr>
            <w:r w:rsidRPr="002E51A9">
              <w:rPr>
                <w:u w:val="single"/>
              </w:rPr>
              <w:t>Component 6: Reform Federal Court system</w:t>
            </w:r>
          </w:p>
          <w:p w:rsidR="000B5C96" w:rsidRPr="00DB256B" w:rsidRDefault="000B5C96" w:rsidP="000B5C96">
            <w:pPr>
              <w:pStyle w:val="PullOutBoxBullet"/>
              <w:numPr>
                <w:ilvl w:val="0"/>
                <w:numId w:val="2"/>
              </w:numPr>
              <w:spacing w:after="240"/>
              <w:ind w:left="397"/>
            </w:pPr>
            <w:r w:rsidRPr="00DB256B">
              <w:t>This component wou</w:t>
            </w:r>
            <w:r>
              <w:t>ld provide $2 million over four </w:t>
            </w:r>
            <w:r w:rsidRPr="00DB256B">
              <w:t>years to allow better access to justice.</w:t>
            </w:r>
          </w:p>
          <w:p w:rsidR="000B5C96" w:rsidRPr="002E51A9" w:rsidRDefault="000B5C96" w:rsidP="003F606A">
            <w:pPr>
              <w:pStyle w:val="PullOutBoxBodyText"/>
              <w:rPr>
                <w:u w:val="single"/>
              </w:rPr>
            </w:pPr>
            <w:r w:rsidRPr="002E51A9">
              <w:rPr>
                <w:u w:val="single"/>
              </w:rPr>
              <w:t>Component 7: World Heritage Areas (WHAs) and Ramsar Convention review</w:t>
            </w:r>
          </w:p>
          <w:p w:rsidR="000B5C96" w:rsidRPr="00DB256B" w:rsidRDefault="000B5C96" w:rsidP="000B5C96">
            <w:pPr>
              <w:pStyle w:val="PullOutBoxBullet"/>
              <w:numPr>
                <w:ilvl w:val="0"/>
                <w:numId w:val="2"/>
              </w:numPr>
              <w:ind w:left="397"/>
            </w:pPr>
            <w:r w:rsidRPr="00DB256B">
              <w:t>This component would provide the NEPA with additional funding of:</w:t>
            </w:r>
          </w:p>
          <w:p w:rsidR="000B5C96" w:rsidRPr="00DB256B" w:rsidRDefault="000B5C96" w:rsidP="000B5C96">
            <w:pPr>
              <w:pStyle w:val="PullOutBoxBullet2"/>
              <w:numPr>
                <w:ilvl w:val="1"/>
                <w:numId w:val="2"/>
              </w:numPr>
              <w:ind w:left="737"/>
            </w:pPr>
            <w:r w:rsidRPr="00DB256B">
              <w:t>$3 million in 2016-17 for a review of WHAs</w:t>
            </w:r>
          </w:p>
          <w:p w:rsidR="000B5C96" w:rsidRPr="00DB256B" w:rsidRDefault="000B5C96" w:rsidP="000B5C96">
            <w:pPr>
              <w:pStyle w:val="PullOutBoxBullet2"/>
              <w:numPr>
                <w:ilvl w:val="1"/>
                <w:numId w:val="2"/>
              </w:numPr>
              <w:ind w:left="737"/>
            </w:pPr>
            <w:r w:rsidRPr="00DB256B">
              <w:t>$20 million per year for three years from 2017-18 to implement results of the review to improve protection of heritage values.</w:t>
            </w:r>
          </w:p>
          <w:p w:rsidR="000B5C96" w:rsidRPr="002E51A9" w:rsidRDefault="000B5C96" w:rsidP="003F606A">
            <w:pPr>
              <w:pStyle w:val="PullOutBoxBodyText"/>
              <w:rPr>
                <w:u w:val="single"/>
              </w:rPr>
            </w:pPr>
            <w:r w:rsidRPr="002E51A9">
              <w:rPr>
                <w:u w:val="single"/>
              </w:rPr>
              <w:t>Component 8: Yellow Crazy Ant eradication</w:t>
            </w:r>
          </w:p>
          <w:p w:rsidR="000B5C96" w:rsidRPr="00E06199" w:rsidRDefault="000B5C96" w:rsidP="000B5C96">
            <w:pPr>
              <w:pStyle w:val="PullOutBoxBullet"/>
              <w:numPr>
                <w:ilvl w:val="0"/>
                <w:numId w:val="2"/>
              </w:numPr>
              <w:ind w:left="397"/>
            </w:pPr>
            <w:r w:rsidRPr="00E06199">
              <w:t>This component would provide funding over 10 years to the Wet Tropics Management Authority (WTMA) to deliver Yellow Crazy Ant eradication programs.</w:t>
            </w:r>
          </w:p>
          <w:p w:rsidR="000B5C96" w:rsidRPr="00E06199" w:rsidRDefault="000B5C96" w:rsidP="000B5C96">
            <w:pPr>
              <w:pStyle w:val="PullOutBoxBullet2"/>
              <w:numPr>
                <w:ilvl w:val="1"/>
                <w:numId w:val="2"/>
              </w:numPr>
              <w:ind w:left="737"/>
            </w:pPr>
            <w:r w:rsidRPr="00E06199">
              <w:t>The funding would be $5.0 million per year for three years (2016-17 to 2018-19) and $2.5 million per year for the following seven years, with the latter 7 years to be matched by the Queensland State Government.</w:t>
            </w:r>
          </w:p>
          <w:p w:rsidR="000B5C96" w:rsidRPr="00DB256B" w:rsidRDefault="000B5C96" w:rsidP="003F606A">
            <w:pPr>
              <w:pStyle w:val="PullOutBoxBodyText"/>
            </w:pPr>
            <w:r w:rsidRPr="00DB256B">
              <w:t>The proposal would have effect from 1 September 2016.</w:t>
            </w:r>
          </w:p>
        </w:tc>
      </w:tr>
      <w:tr w:rsidR="000B5C96" w:rsidRPr="00DB256B" w:rsidTr="003F606A">
        <w:tc>
          <w:tcPr>
            <w:tcW w:w="2802"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pPr>
            <w:r w:rsidRPr="00DB256B">
              <w:t>Person/party requesting costing:</w:t>
            </w:r>
          </w:p>
        </w:tc>
        <w:tc>
          <w:tcPr>
            <w:tcW w:w="5538"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pPr>
            <w:r w:rsidRPr="00DB256B">
              <w:t>Senator Richard Di Natale, Australian Greens</w:t>
            </w:r>
          </w:p>
        </w:tc>
      </w:tr>
      <w:tr w:rsidR="000B5C96" w:rsidRPr="00DB256B" w:rsidTr="003F606A">
        <w:tc>
          <w:tcPr>
            <w:tcW w:w="2802"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pPr>
            <w:r w:rsidRPr="00DB256B">
              <w:t>Date of public release of policy:</w:t>
            </w:r>
          </w:p>
        </w:tc>
        <w:tc>
          <w:tcPr>
            <w:tcW w:w="5538"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rPr>
                <w:rFonts w:eastAsia="Times New Roman"/>
              </w:rPr>
            </w:pPr>
            <w:r w:rsidRPr="00DB256B">
              <w:rPr>
                <w:rFonts w:eastAsia="Times New Roman"/>
              </w:rPr>
              <w:t>5 June 2016</w:t>
            </w:r>
          </w:p>
          <w:p w:rsidR="000B5C96" w:rsidRPr="00DB256B" w:rsidRDefault="00E46526" w:rsidP="003F606A">
            <w:pPr>
              <w:pStyle w:val="PullOutBoxBodyText"/>
              <w:rPr>
                <w:rFonts w:eastAsia="Times New Roman"/>
              </w:rPr>
            </w:pPr>
            <w:hyperlink r:id="rId530" w:history="1">
              <w:r w:rsidR="000B5C96" w:rsidRPr="00DB256B">
                <w:rPr>
                  <w:rFonts w:eastAsia="Times New Roman"/>
                  <w:color w:val="0000FF"/>
                  <w:u w:val="single"/>
                </w:rPr>
                <w:t>http://greens.org.au/wildlife</w:t>
              </w:r>
            </w:hyperlink>
            <w:r w:rsidR="000B5C96" w:rsidRPr="00DB256B">
              <w:rPr>
                <w:rFonts w:eastAsia="Times New Roman"/>
              </w:rPr>
              <w:t xml:space="preserve"> </w:t>
            </w:r>
          </w:p>
          <w:p w:rsidR="000B5C96" w:rsidRPr="00DB256B" w:rsidRDefault="000B5C96" w:rsidP="003F606A">
            <w:pPr>
              <w:pStyle w:val="PullOutBoxBodyText"/>
              <w:rPr>
                <w:rFonts w:eastAsia="Times New Roman"/>
              </w:rPr>
            </w:pPr>
            <w:r w:rsidRPr="00DB256B">
              <w:rPr>
                <w:rFonts w:eastAsia="Times New Roman"/>
              </w:rPr>
              <w:t xml:space="preserve">23 June 2016 </w:t>
            </w:r>
          </w:p>
          <w:p w:rsidR="000B5C96" w:rsidRPr="00DB256B" w:rsidRDefault="00E46526" w:rsidP="003F606A">
            <w:pPr>
              <w:pStyle w:val="PullOutBoxBodyText"/>
              <w:rPr>
                <w:rFonts w:eastAsia="Times New Roman"/>
              </w:rPr>
            </w:pPr>
            <w:hyperlink r:id="rId531" w:history="1">
              <w:r w:rsidR="000B5C96" w:rsidRPr="00DB256B">
                <w:rPr>
                  <w:rFonts w:eastAsia="Times New Roman"/>
                  <w:color w:val="0000FF"/>
                  <w:u w:val="single"/>
                </w:rPr>
                <w:t>http://greens.org.au/news/qld/greens-commit-full-funding-eradicate-yellow-crazy-ants-while-other-parties-make-half</w:t>
              </w:r>
            </w:hyperlink>
          </w:p>
        </w:tc>
      </w:tr>
      <w:tr w:rsidR="000B5C96" w:rsidRPr="00DB256B" w:rsidTr="003F606A">
        <w:tc>
          <w:tcPr>
            <w:tcW w:w="2802"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pPr>
            <w:r w:rsidRPr="00DB256B">
              <w:t>Date costing request received:</w:t>
            </w:r>
          </w:p>
        </w:tc>
        <w:tc>
          <w:tcPr>
            <w:tcW w:w="5538"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pPr>
            <w:r w:rsidRPr="00DB256B">
              <w:t>30 June 2016</w:t>
            </w:r>
          </w:p>
        </w:tc>
      </w:tr>
      <w:tr w:rsidR="000B5C96" w:rsidRPr="00DB256B" w:rsidTr="003F606A">
        <w:tc>
          <w:tcPr>
            <w:tcW w:w="2802"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pPr>
            <w:r w:rsidRPr="00DB256B">
              <w:t>Date costing completed:</w:t>
            </w:r>
          </w:p>
        </w:tc>
        <w:tc>
          <w:tcPr>
            <w:tcW w:w="5538"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pPr>
            <w:r w:rsidRPr="00DB256B">
              <w:t>30 June 2016</w:t>
            </w:r>
          </w:p>
        </w:tc>
      </w:tr>
      <w:tr w:rsidR="000B5C96" w:rsidRPr="00DB256B" w:rsidTr="003F606A">
        <w:tc>
          <w:tcPr>
            <w:tcW w:w="2802"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pPr>
            <w:r w:rsidRPr="00DB256B">
              <w:t>Expiry date for the costing:</w:t>
            </w:r>
          </w:p>
        </w:tc>
        <w:tc>
          <w:tcPr>
            <w:tcW w:w="5538" w:type="dxa"/>
            <w:tcBorders>
              <w:top w:val="single" w:sz="4" w:space="0" w:color="788182"/>
              <w:left w:val="single" w:sz="4" w:space="0" w:color="788182"/>
              <w:bottom w:val="single" w:sz="4" w:space="0" w:color="788182"/>
              <w:right w:val="single" w:sz="4" w:space="0" w:color="788182"/>
            </w:tcBorders>
            <w:hideMark/>
          </w:tcPr>
          <w:p w:rsidR="000B5C96" w:rsidRPr="00DB256B" w:rsidRDefault="000B5C96" w:rsidP="003F606A">
            <w:pPr>
              <w:pStyle w:val="PullOutBoxBodyText"/>
            </w:pPr>
            <w:r w:rsidRPr="00DB256B">
              <w:t>Release of the next economic and fiscal outlook report</w:t>
            </w:r>
          </w:p>
        </w:tc>
      </w:tr>
    </w:tbl>
    <w:p w:rsidR="000B5C96" w:rsidRPr="00DB256B" w:rsidRDefault="000B5C96" w:rsidP="003F606A">
      <w:pPr>
        <w:pStyle w:val="CostingsH7"/>
      </w:pPr>
      <w:r w:rsidRPr="00DB256B">
        <w:t>Costing overview</w:t>
      </w:r>
    </w:p>
    <w:p w:rsidR="000B5C96" w:rsidRPr="00DB256B" w:rsidRDefault="000B5C96" w:rsidP="003F606A">
      <w:pPr>
        <w:pStyle w:val="BodyText"/>
      </w:pPr>
      <w:r w:rsidRPr="00DB256B">
        <w:t>This proposal would decrease both the fiscal and underlying cash balances by $1,523.2 million over the 2016-17 Budget forward estimates period.  This impact reflects an increase in administered expenses of $1,024.1 million and an increase in departmental expenses of $499.1 million over this period.</w:t>
      </w:r>
    </w:p>
    <w:p w:rsidR="000B5C96" w:rsidRPr="00E06199" w:rsidRDefault="000B5C96" w:rsidP="003F606A">
      <w:pPr>
        <w:pStyle w:val="BodyText"/>
      </w:pPr>
      <w:r w:rsidRPr="00E06199">
        <w:t xml:space="preserve">The proposal would have an ongoing impact that extends beyond the forward estimates period.  Detailed financial implications for the proposal, and by component, are provided at </w:t>
      </w:r>
      <w:r w:rsidRPr="00E06199">
        <w:rPr>
          <w:u w:val="single"/>
        </w:rPr>
        <w:t>Attachment A</w:t>
      </w:r>
      <w:r w:rsidRPr="00E06199">
        <w:t>.</w:t>
      </w:r>
    </w:p>
    <w:p w:rsidR="000B5C96" w:rsidRPr="00E06199" w:rsidRDefault="000B5C96" w:rsidP="003F606A">
      <w:pPr>
        <w:pStyle w:val="BodyText"/>
      </w:pPr>
      <w:r w:rsidRPr="00E06199">
        <w:t>This costing is considered to be of high reliability as it is based on specified capped amounts and the application of administrative costs based on similar programs.  However, no analysis has been undertaken to determine the adequacy of the prescribed funding amounts to achieve the objective of the proposal.</w:t>
      </w:r>
    </w:p>
    <w:p w:rsidR="000B5C96" w:rsidRPr="00E06199" w:rsidRDefault="000B5C96" w:rsidP="003F606A">
      <w:pPr>
        <w:pStyle w:val="Caption"/>
      </w:pPr>
      <w:r w:rsidRPr="00E06199">
        <w:t>Table 1: Financial implications (outturn prices)</w:t>
      </w:r>
      <w:r w:rsidRPr="00E06199">
        <w:rPr>
          <w:vertAlign w:val="superscript"/>
        </w:rPr>
        <w:t>(a)(b)</w:t>
      </w:r>
    </w:p>
    <w:tbl>
      <w:tblPr>
        <w:tblStyle w:val="TableGrid33"/>
        <w:tblW w:w="4993" w:type="pct"/>
        <w:tblLook w:val="04A0" w:firstRow="1" w:lastRow="0" w:firstColumn="1" w:lastColumn="0" w:noHBand="0" w:noVBand="1"/>
      </w:tblPr>
      <w:tblGrid>
        <w:gridCol w:w="2645"/>
        <w:gridCol w:w="1134"/>
        <w:gridCol w:w="1133"/>
        <w:gridCol w:w="1133"/>
        <w:gridCol w:w="1133"/>
        <w:gridCol w:w="1132"/>
      </w:tblGrid>
      <w:tr w:rsidR="000B5C96" w:rsidRPr="00E06199"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E06199" w:rsidRDefault="000B5C96" w:rsidP="003F606A">
            <w:pPr>
              <w:keepNext/>
              <w:keepLines/>
              <w:spacing w:line="240" w:lineRule="auto"/>
              <w:ind w:left="57" w:right="57"/>
              <w:rPr>
                <w:szCs w:val="20"/>
              </w:rPr>
            </w:pPr>
            <w:r w:rsidRPr="00E06199">
              <w:rPr>
                <w:szCs w:val="20"/>
              </w:rPr>
              <w:t>Impact on ($m)</w:t>
            </w:r>
          </w:p>
        </w:tc>
        <w:tc>
          <w:tcPr>
            <w:tcW w:w="682" w:type="pct"/>
            <w:vAlign w:val="center"/>
          </w:tcPr>
          <w:p w:rsidR="000B5C96" w:rsidRPr="00E0619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06199">
              <w:rPr>
                <w:szCs w:val="20"/>
              </w:rPr>
              <w:t>2016–17</w:t>
            </w:r>
          </w:p>
        </w:tc>
        <w:tc>
          <w:tcPr>
            <w:tcW w:w="682" w:type="pct"/>
            <w:vAlign w:val="center"/>
          </w:tcPr>
          <w:p w:rsidR="000B5C96" w:rsidRPr="00E0619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06199">
              <w:rPr>
                <w:szCs w:val="20"/>
              </w:rPr>
              <w:t>2017–18</w:t>
            </w:r>
          </w:p>
        </w:tc>
        <w:tc>
          <w:tcPr>
            <w:tcW w:w="682" w:type="pct"/>
            <w:vAlign w:val="center"/>
          </w:tcPr>
          <w:p w:rsidR="000B5C96" w:rsidRPr="00E0619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06199">
              <w:rPr>
                <w:szCs w:val="20"/>
              </w:rPr>
              <w:t>2018–19</w:t>
            </w:r>
          </w:p>
        </w:tc>
        <w:tc>
          <w:tcPr>
            <w:tcW w:w="682" w:type="pct"/>
            <w:vAlign w:val="center"/>
          </w:tcPr>
          <w:p w:rsidR="000B5C96" w:rsidRPr="00E0619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06199">
              <w:rPr>
                <w:szCs w:val="20"/>
              </w:rPr>
              <w:t>2019–20</w:t>
            </w:r>
          </w:p>
        </w:tc>
        <w:tc>
          <w:tcPr>
            <w:tcW w:w="681" w:type="pct"/>
            <w:vAlign w:val="center"/>
          </w:tcPr>
          <w:p w:rsidR="000B5C96" w:rsidRPr="00E06199"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06199">
              <w:rPr>
                <w:b/>
                <w:szCs w:val="20"/>
              </w:rPr>
              <w:t>Total</w:t>
            </w:r>
          </w:p>
        </w:tc>
      </w:tr>
      <w:tr w:rsidR="000B5C96" w:rsidRPr="00E06199"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E06199" w:rsidRDefault="000B5C96" w:rsidP="003F606A">
            <w:pPr>
              <w:keepNext/>
              <w:keepLines/>
              <w:ind w:left="57" w:right="57"/>
              <w:rPr>
                <w:szCs w:val="20"/>
              </w:rPr>
            </w:pPr>
            <w:r w:rsidRPr="00E06199">
              <w:rPr>
                <w:szCs w:val="20"/>
              </w:rPr>
              <w:t>Fiscal balance</w:t>
            </w:r>
          </w:p>
        </w:tc>
        <w:tc>
          <w:tcPr>
            <w:tcW w:w="682" w:type="pct"/>
          </w:tcPr>
          <w:p w:rsidR="000B5C96" w:rsidRPr="00E0619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E06199">
              <w:rPr>
                <w:rFonts w:ascii="Calibri" w:hAnsi="Calibri"/>
              </w:rPr>
              <w:t>-1,120.8</w:t>
            </w:r>
          </w:p>
        </w:tc>
        <w:tc>
          <w:tcPr>
            <w:tcW w:w="682" w:type="pct"/>
          </w:tcPr>
          <w:p w:rsidR="000B5C96" w:rsidRPr="00E0619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E06199">
              <w:rPr>
                <w:rFonts w:ascii="Calibri" w:hAnsi="Calibri"/>
              </w:rPr>
              <w:t>-142.3</w:t>
            </w:r>
          </w:p>
        </w:tc>
        <w:tc>
          <w:tcPr>
            <w:tcW w:w="682" w:type="pct"/>
          </w:tcPr>
          <w:p w:rsidR="000B5C96" w:rsidRPr="00E0619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E06199">
              <w:rPr>
                <w:rFonts w:ascii="Calibri" w:hAnsi="Calibri"/>
              </w:rPr>
              <w:t>-146.0</w:t>
            </w:r>
          </w:p>
        </w:tc>
        <w:tc>
          <w:tcPr>
            <w:tcW w:w="682" w:type="pct"/>
          </w:tcPr>
          <w:p w:rsidR="000B5C96" w:rsidRPr="00E0619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E06199">
              <w:rPr>
                <w:rFonts w:ascii="Calibri" w:hAnsi="Calibri"/>
              </w:rPr>
              <w:t>-114.1</w:t>
            </w:r>
          </w:p>
        </w:tc>
        <w:tc>
          <w:tcPr>
            <w:tcW w:w="681" w:type="pct"/>
          </w:tcPr>
          <w:p w:rsidR="000B5C96" w:rsidRPr="00E0619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 w:val="24"/>
                <w:szCs w:val="24"/>
              </w:rPr>
            </w:pPr>
            <w:r w:rsidRPr="00E06199">
              <w:rPr>
                <w:rFonts w:ascii="Calibri" w:hAnsi="Calibri"/>
                <w:b/>
              </w:rPr>
              <w:t>-1,523.2</w:t>
            </w:r>
          </w:p>
        </w:tc>
      </w:tr>
      <w:tr w:rsidR="000B5C96" w:rsidRPr="00E06199"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E06199" w:rsidRDefault="000B5C96" w:rsidP="003F606A">
            <w:pPr>
              <w:keepNext/>
              <w:keepLines/>
              <w:ind w:left="57" w:right="57"/>
              <w:rPr>
                <w:szCs w:val="20"/>
              </w:rPr>
            </w:pPr>
            <w:r w:rsidRPr="00E06199">
              <w:rPr>
                <w:szCs w:val="20"/>
              </w:rPr>
              <w:t>Underlying cash balance</w:t>
            </w:r>
          </w:p>
        </w:tc>
        <w:tc>
          <w:tcPr>
            <w:tcW w:w="682"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E06199">
              <w:rPr>
                <w:rFonts w:ascii="Calibri" w:hAnsi="Calibri"/>
              </w:rPr>
              <w:t>-1,120.8</w:t>
            </w:r>
          </w:p>
        </w:tc>
        <w:tc>
          <w:tcPr>
            <w:tcW w:w="682"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E06199">
              <w:rPr>
                <w:rFonts w:ascii="Calibri" w:hAnsi="Calibri"/>
              </w:rPr>
              <w:t>-142.3</w:t>
            </w:r>
          </w:p>
        </w:tc>
        <w:tc>
          <w:tcPr>
            <w:tcW w:w="682"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E06199">
              <w:rPr>
                <w:rFonts w:ascii="Calibri" w:hAnsi="Calibri"/>
              </w:rPr>
              <w:t>-146.0</w:t>
            </w:r>
          </w:p>
        </w:tc>
        <w:tc>
          <w:tcPr>
            <w:tcW w:w="682"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E06199">
              <w:rPr>
                <w:rFonts w:ascii="Calibri" w:hAnsi="Calibri"/>
              </w:rPr>
              <w:t>-114.1</w:t>
            </w:r>
          </w:p>
        </w:tc>
        <w:tc>
          <w:tcPr>
            <w:tcW w:w="681"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 w:val="24"/>
                <w:szCs w:val="24"/>
              </w:rPr>
            </w:pPr>
            <w:r w:rsidRPr="00E06199">
              <w:rPr>
                <w:rFonts w:ascii="Calibri" w:hAnsi="Calibri"/>
                <w:b/>
              </w:rPr>
              <w:t>-1,523.2</w:t>
            </w:r>
          </w:p>
        </w:tc>
      </w:tr>
    </w:tbl>
    <w:p w:rsidR="000B5C96" w:rsidRPr="00E06199" w:rsidRDefault="000B5C96" w:rsidP="00E921F4">
      <w:pPr>
        <w:pStyle w:val="Footnotes"/>
        <w:numPr>
          <w:ilvl w:val="0"/>
          <w:numId w:val="251"/>
        </w:numPr>
        <w:ind w:left="284" w:hanging="284"/>
      </w:pPr>
      <w:r w:rsidRPr="00E06199">
        <w:t>A negative number indicates a decrease in the relevant budget balance.</w:t>
      </w:r>
    </w:p>
    <w:p w:rsidR="000B5C96" w:rsidRPr="00E06199" w:rsidRDefault="000B5C96" w:rsidP="000B5C96">
      <w:pPr>
        <w:pStyle w:val="Footnotes"/>
        <w:numPr>
          <w:ilvl w:val="0"/>
          <w:numId w:val="7"/>
        </w:numPr>
        <w:ind w:left="284" w:hanging="284"/>
      </w:pPr>
      <w:r w:rsidRPr="00E06199">
        <w:t>Figures may not sum to totals due to rounding.</w:t>
      </w:r>
    </w:p>
    <w:p w:rsidR="000B5C96" w:rsidRPr="00E06199" w:rsidRDefault="000B5C96" w:rsidP="003F606A">
      <w:pPr>
        <w:pStyle w:val="CostingsH7"/>
      </w:pPr>
      <w:r w:rsidRPr="00E06199">
        <w:t>Key assumptions</w:t>
      </w:r>
    </w:p>
    <w:p w:rsidR="000B5C96" w:rsidRPr="00E06199" w:rsidRDefault="000B5C96" w:rsidP="003F606A">
      <w:pPr>
        <w:pStyle w:val="BodyText"/>
      </w:pPr>
      <w:r w:rsidRPr="00E06199">
        <w:t>It is assumed that components would receive a full year of funding in 2016</w:t>
      </w:r>
      <w:r w:rsidRPr="00E06199">
        <w:noBreakHyphen/>
        <w:t>17.</w:t>
      </w:r>
    </w:p>
    <w:p w:rsidR="000B5C96" w:rsidRPr="00E06199" w:rsidRDefault="000B5C96" w:rsidP="003F606A">
      <w:pPr>
        <w:pStyle w:val="CostingsH7"/>
      </w:pPr>
      <w:r w:rsidRPr="00E06199">
        <w:t>Methodology</w:t>
      </w:r>
    </w:p>
    <w:p w:rsidR="000B5C96" w:rsidRPr="00E06199" w:rsidRDefault="000B5C96" w:rsidP="003F606A">
      <w:pPr>
        <w:pStyle w:val="BodyText"/>
      </w:pPr>
      <w:r w:rsidRPr="00E06199">
        <w:t>Administered expenditure estimates for component 3 (Restore Biodiversity Fund) and component 5 (Threatened species – listing, recovery plans and research) are as specified in the request.</w:t>
      </w:r>
    </w:p>
    <w:p w:rsidR="000B5C96" w:rsidRPr="00E06199" w:rsidRDefault="000B5C96" w:rsidP="003F606A">
      <w:pPr>
        <w:pStyle w:val="BodyText"/>
      </w:pPr>
      <w:r w:rsidRPr="00E06199">
        <w:t>Departmental expenditure estimates (where not specified in the request) are based on other like initiatives and estimates account for the net effect of indexation parameters and the efficiency dividend, in accordance with the Department of Finance’s costing practices.</w:t>
      </w:r>
    </w:p>
    <w:p w:rsidR="000B5C96" w:rsidRPr="00E06199" w:rsidRDefault="000B5C96" w:rsidP="003F606A">
      <w:pPr>
        <w:pStyle w:val="CostingsH7"/>
      </w:pPr>
      <w:r w:rsidRPr="00E06199">
        <w:t>Data sources</w:t>
      </w:r>
    </w:p>
    <w:p w:rsidR="000B5C96" w:rsidRPr="00E06199" w:rsidRDefault="000B5C96" w:rsidP="000B5C96">
      <w:pPr>
        <w:pStyle w:val="ListBullet"/>
        <w:numPr>
          <w:ilvl w:val="0"/>
          <w:numId w:val="123"/>
        </w:numPr>
        <w:ind w:left="454" w:hanging="454"/>
        <w:rPr>
          <w:lang w:eastAsia="en-AU"/>
        </w:rPr>
      </w:pPr>
      <w:r w:rsidRPr="00E06199">
        <w:rPr>
          <w:lang w:eastAsia="en-AU"/>
        </w:rPr>
        <w:t>The Department of Finance provided indexation parameters.</w:t>
      </w:r>
    </w:p>
    <w:p w:rsidR="000B5C96" w:rsidRPr="00E06199" w:rsidRDefault="000B5C96" w:rsidP="000B5C96">
      <w:pPr>
        <w:pStyle w:val="ListBullet"/>
        <w:numPr>
          <w:ilvl w:val="0"/>
          <w:numId w:val="123"/>
        </w:numPr>
        <w:ind w:left="454" w:hanging="454"/>
        <w:rPr>
          <w:lang w:eastAsia="en-AU"/>
        </w:rPr>
      </w:pPr>
      <w:r w:rsidRPr="00E06199">
        <w:rPr>
          <w:lang w:eastAsia="en-AU"/>
        </w:rPr>
        <w:t>The Treasury provided Consumer Price Index projections.</w:t>
      </w:r>
    </w:p>
    <w:p w:rsidR="000B5C96" w:rsidRPr="00E06199" w:rsidRDefault="000B5C96" w:rsidP="000B5C96">
      <w:pPr>
        <w:pStyle w:val="ListBullet"/>
        <w:numPr>
          <w:ilvl w:val="0"/>
          <w:numId w:val="123"/>
        </w:numPr>
        <w:ind w:left="454" w:hanging="454"/>
        <w:rPr>
          <w:lang w:eastAsia="en-AU"/>
        </w:rPr>
      </w:pPr>
      <w:r w:rsidRPr="00E06199">
        <w:rPr>
          <w:lang w:eastAsia="en-AU"/>
        </w:rPr>
        <w:t>The Department of the Environment confirmed that Program 1.5 would be ongoing beyond 2019-20.</w:t>
      </w:r>
    </w:p>
    <w:p w:rsidR="000B5C96" w:rsidRPr="00E06199" w:rsidRDefault="000B5C96" w:rsidP="000B5C96">
      <w:pPr>
        <w:pStyle w:val="ListBullet"/>
        <w:numPr>
          <w:ilvl w:val="0"/>
          <w:numId w:val="123"/>
        </w:numPr>
        <w:ind w:left="454" w:hanging="454"/>
        <w:rPr>
          <w:rFonts w:eastAsia="Calibri"/>
          <w:sz w:val="20"/>
          <w:szCs w:val="20"/>
          <w:highlight w:val="yellow"/>
        </w:rPr>
        <w:sectPr w:rsidR="000B5C96" w:rsidRPr="00E06199" w:rsidSect="003F606A">
          <w:headerReference w:type="even" r:id="rId532"/>
          <w:headerReference w:type="default" r:id="rId533"/>
          <w:footerReference w:type="even" r:id="rId534"/>
          <w:footerReference w:type="default" r:id="rId535"/>
          <w:headerReference w:type="first" r:id="rId536"/>
          <w:footerReference w:type="first" r:id="rId537"/>
          <w:pgSz w:w="11906" w:h="16838"/>
          <w:pgMar w:top="1361" w:right="1797" w:bottom="1474" w:left="1797" w:header="283" w:footer="454" w:gutter="0"/>
          <w:cols w:space="708"/>
          <w:docGrid w:linePitch="360"/>
        </w:sectPr>
      </w:pPr>
    </w:p>
    <w:p w:rsidR="000B5C96" w:rsidRPr="00E06199" w:rsidRDefault="000B5C96" w:rsidP="000B5C96">
      <w:pPr>
        <w:pStyle w:val="Heading6"/>
        <w:numPr>
          <w:ilvl w:val="0"/>
          <w:numId w:val="5"/>
        </w:numPr>
        <w:tabs>
          <w:tab w:val="right" w:pos="1418"/>
          <w:tab w:val="right" w:pos="1701"/>
          <w:tab w:val="right" w:pos="1985"/>
        </w:tabs>
      </w:pPr>
      <w:r w:rsidRPr="00E06199">
        <w:t>Attachment A: Protecting our Precious Places—financial implications</w:t>
      </w:r>
    </w:p>
    <w:p w:rsidR="000B5C96" w:rsidRPr="00E06199" w:rsidRDefault="000B5C96" w:rsidP="003F606A">
      <w:pPr>
        <w:pStyle w:val="Caption"/>
      </w:pPr>
      <w:r w:rsidRPr="00E06199">
        <w:t>Table A1: Combined impact of all components—Financial implications</w:t>
      </w:r>
      <w:r w:rsidRPr="00E06199">
        <w:rPr>
          <w:vertAlign w:val="superscript"/>
        </w:rPr>
        <w:t>(a)(b)</w:t>
      </w:r>
    </w:p>
    <w:tbl>
      <w:tblPr>
        <w:tblStyle w:val="TableGrid34"/>
        <w:tblW w:w="4949" w:type="pct"/>
        <w:tblLook w:val="0680" w:firstRow="0" w:lastRow="0" w:firstColumn="1" w:lastColumn="0" w:noHBand="1" w:noVBand="1"/>
      </w:tblPr>
      <w:tblGrid>
        <w:gridCol w:w="2138"/>
        <w:gridCol w:w="901"/>
        <w:gridCol w:w="901"/>
        <w:gridCol w:w="901"/>
        <w:gridCol w:w="902"/>
        <w:gridCol w:w="907"/>
        <w:gridCol w:w="902"/>
        <w:gridCol w:w="902"/>
        <w:gridCol w:w="902"/>
        <w:gridCol w:w="902"/>
        <w:gridCol w:w="902"/>
        <w:gridCol w:w="902"/>
        <w:gridCol w:w="902"/>
        <w:gridCol w:w="907"/>
      </w:tblGrid>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E06199" w:rsidRDefault="000B5C96" w:rsidP="003F606A">
            <w:pPr>
              <w:keepNext/>
              <w:keepLines/>
              <w:ind w:left="57" w:right="57"/>
              <w:rPr>
                <w:szCs w:val="20"/>
              </w:rPr>
            </w:pPr>
            <w:r w:rsidRPr="00E06199">
              <w:rPr>
                <w:szCs w:val="20"/>
              </w:rPr>
              <w:t>($m)</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2016–17</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2017–18</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2018–19</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2019–20</w:t>
            </w:r>
          </w:p>
        </w:tc>
        <w:tc>
          <w:tcPr>
            <w:tcW w:w="32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2019–20</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2020–21</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2021–22</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2022–23</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2023–24</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2024–25</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2025–26</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2026–27</w:t>
            </w:r>
          </w:p>
        </w:tc>
        <w:tc>
          <w:tcPr>
            <w:tcW w:w="32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2026–27</w:t>
            </w:r>
          </w:p>
        </w:tc>
      </w:tr>
      <w:tr w:rsidR="000B5C96" w:rsidRPr="00E06199"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B5C96" w:rsidRPr="00E06199" w:rsidRDefault="000B5C96" w:rsidP="003F606A">
            <w:pPr>
              <w:keepNext/>
              <w:keepLines/>
              <w:ind w:left="57" w:right="57"/>
              <w:rPr>
                <w:b/>
                <w:szCs w:val="20"/>
              </w:rPr>
            </w:pPr>
            <w:r w:rsidRPr="00E06199">
              <w:rPr>
                <w:b/>
                <w:szCs w:val="20"/>
              </w:rPr>
              <w:t>Impact on fiscal and underlying cash balances</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E06199" w:rsidRDefault="000B5C96" w:rsidP="003F606A">
            <w:pPr>
              <w:keepNext/>
              <w:keepLines/>
              <w:ind w:left="57" w:right="57"/>
              <w:rPr>
                <w:szCs w:val="20"/>
              </w:rPr>
            </w:pPr>
            <w:r w:rsidRPr="00E06199">
              <w:rPr>
                <w:szCs w:val="20"/>
              </w:rPr>
              <w:t>Administered</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-997.1</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-7.3</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-1,024.1</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-994.6</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-7.3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-7.3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-7.3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-7.3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-7.3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-2,060.2</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E06199" w:rsidRDefault="000B5C96" w:rsidP="003F606A">
            <w:pPr>
              <w:keepNext/>
              <w:keepLines/>
              <w:ind w:left="57" w:right="57"/>
              <w:rPr>
                <w:szCs w:val="20"/>
              </w:rPr>
            </w:pPr>
            <w:r w:rsidRPr="00E06199">
              <w:rPr>
                <w:szCs w:val="20"/>
              </w:rPr>
              <w:t>Departmental</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-123.7</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-132.4</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-136.1</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-106.8</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-499.1</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-101.5</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-91.3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-94.0</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-96.7</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-99.5</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-102.3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-105.3</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-1,189.6</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E06199" w:rsidRDefault="000B5C96" w:rsidP="003F606A">
            <w:pPr>
              <w:keepNext/>
              <w:keepLines/>
              <w:ind w:left="57" w:right="57"/>
              <w:rPr>
                <w:b/>
                <w:szCs w:val="20"/>
              </w:rPr>
            </w:pPr>
            <w:r w:rsidRPr="00E06199">
              <w:rPr>
                <w:b/>
                <w:szCs w:val="20"/>
              </w:rPr>
              <w:t>Total</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-1,120.8</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-142.3</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-146.0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-114.1</w:t>
            </w:r>
          </w:p>
        </w:tc>
        <w:tc>
          <w:tcPr>
            <w:tcW w:w="32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-1,523.2</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-1,096.1</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-98.7</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-101.3</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-104.0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-106.8</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-109.7</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-110.1</w:t>
            </w:r>
          </w:p>
        </w:tc>
        <w:tc>
          <w:tcPr>
            <w:tcW w:w="32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E06199">
              <w:rPr>
                <w:rFonts w:ascii="Calibri" w:hAnsi="Calibri"/>
                <w:b/>
                <w:bCs/>
                <w:color w:val="000000"/>
                <w:szCs w:val="20"/>
              </w:rPr>
              <w:t>-3,249.8</w:t>
            </w:r>
          </w:p>
        </w:tc>
      </w:tr>
    </w:tbl>
    <w:p w:rsidR="000B5C96" w:rsidRPr="00E06199" w:rsidRDefault="000B5C96" w:rsidP="00E921F4">
      <w:pPr>
        <w:pStyle w:val="Footnotes"/>
        <w:numPr>
          <w:ilvl w:val="0"/>
          <w:numId w:val="252"/>
        </w:numPr>
        <w:ind w:left="284" w:hanging="284"/>
      </w:pPr>
      <w:r w:rsidRPr="00E06199">
        <w:t xml:space="preserve">A negative number indicates a decrease in revenue or an increase in expenses or net capital investment in accrual and cash terms. </w:t>
      </w:r>
    </w:p>
    <w:p w:rsidR="000B5C96" w:rsidRPr="00E06199" w:rsidRDefault="000B5C96" w:rsidP="00E921F4">
      <w:pPr>
        <w:pStyle w:val="Footnotes"/>
        <w:numPr>
          <w:ilvl w:val="0"/>
          <w:numId w:val="7"/>
        </w:numPr>
        <w:ind w:left="284" w:hanging="284"/>
      </w:pPr>
      <w:r w:rsidRPr="00E06199">
        <w:t>Figures may not sum to total due to rounding.</w:t>
      </w:r>
    </w:p>
    <w:p w:rsidR="000B5C96" w:rsidRPr="00E06199" w:rsidRDefault="000B5C96" w:rsidP="003F606A">
      <w:pPr>
        <w:pStyle w:val="Caption"/>
      </w:pPr>
      <w:r w:rsidRPr="00E06199">
        <w:t>Table A2: Component 1: Taskforce to create a new Environment Act—Financial implications</w:t>
      </w:r>
      <w:r w:rsidRPr="00E06199">
        <w:rPr>
          <w:vertAlign w:val="superscript"/>
        </w:rPr>
        <w:t>(a)(b)</w:t>
      </w:r>
    </w:p>
    <w:tbl>
      <w:tblPr>
        <w:tblStyle w:val="TableGrid34"/>
        <w:tblW w:w="2375" w:type="pct"/>
        <w:tblLook w:val="0680" w:firstRow="0" w:lastRow="0" w:firstColumn="1" w:lastColumn="0" w:noHBand="1" w:noVBand="1"/>
      </w:tblPr>
      <w:tblGrid>
        <w:gridCol w:w="2147"/>
        <w:gridCol w:w="906"/>
        <w:gridCol w:w="901"/>
        <w:gridCol w:w="901"/>
        <w:gridCol w:w="901"/>
        <w:gridCol w:w="901"/>
      </w:tblGrid>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2" w:type="pct"/>
            <w:shd w:val="clear" w:color="auto" w:fill="D7DDE9"/>
          </w:tcPr>
          <w:p w:rsidR="000B5C96" w:rsidRPr="00E06199" w:rsidRDefault="000B5C96" w:rsidP="003F606A">
            <w:pPr>
              <w:keepNext/>
              <w:keepLines/>
              <w:ind w:left="57" w:right="57"/>
              <w:rPr>
                <w:szCs w:val="20"/>
              </w:rPr>
            </w:pPr>
            <w:r w:rsidRPr="00E06199">
              <w:rPr>
                <w:szCs w:val="20"/>
              </w:rPr>
              <w:t>($m)</w:t>
            </w:r>
          </w:p>
        </w:tc>
        <w:tc>
          <w:tcPr>
            <w:tcW w:w="680"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2016–17</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2017–18</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2018–19</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2019–20</w:t>
            </w:r>
          </w:p>
        </w:tc>
        <w:tc>
          <w:tcPr>
            <w:tcW w:w="678"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2019–20</w:t>
            </w:r>
          </w:p>
        </w:tc>
      </w:tr>
      <w:tr w:rsidR="000B5C96" w:rsidRPr="00E06199"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E06199" w:rsidRDefault="000B5C96" w:rsidP="003F606A">
            <w:pPr>
              <w:keepNext/>
              <w:keepLines/>
              <w:ind w:left="57" w:right="57"/>
              <w:rPr>
                <w:b/>
                <w:szCs w:val="20"/>
              </w:rPr>
            </w:pPr>
            <w:r w:rsidRPr="00E06199">
              <w:rPr>
                <w:b/>
                <w:szCs w:val="20"/>
              </w:rPr>
              <w:t>Impact on fiscal and underlying cash balances</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2" w:type="pct"/>
          </w:tcPr>
          <w:p w:rsidR="000B5C96" w:rsidRPr="00E06199" w:rsidRDefault="000B5C96" w:rsidP="003F606A">
            <w:pPr>
              <w:keepNext/>
              <w:keepLines/>
              <w:ind w:left="57" w:right="57"/>
              <w:rPr>
                <w:szCs w:val="20"/>
              </w:rPr>
            </w:pPr>
            <w:r w:rsidRPr="00E06199">
              <w:rPr>
                <w:szCs w:val="20"/>
              </w:rPr>
              <w:t>Departmental</w:t>
            </w:r>
          </w:p>
        </w:tc>
        <w:tc>
          <w:tcPr>
            <w:tcW w:w="680"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-2.0</w:t>
            </w:r>
          </w:p>
        </w:tc>
        <w:tc>
          <w:tcPr>
            <w:tcW w:w="67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67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67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678"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-2.0</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2" w:type="pct"/>
            <w:shd w:val="clear" w:color="auto" w:fill="E9ECF3"/>
          </w:tcPr>
          <w:p w:rsidR="000B5C96" w:rsidRPr="00E06199" w:rsidRDefault="000B5C96" w:rsidP="003F606A">
            <w:pPr>
              <w:keepNext/>
              <w:keepLines/>
              <w:ind w:left="57" w:right="57"/>
              <w:rPr>
                <w:b/>
                <w:szCs w:val="20"/>
              </w:rPr>
            </w:pPr>
            <w:r w:rsidRPr="00E06199">
              <w:rPr>
                <w:b/>
                <w:szCs w:val="20"/>
              </w:rPr>
              <w:t>Total</w:t>
            </w:r>
          </w:p>
        </w:tc>
        <w:tc>
          <w:tcPr>
            <w:tcW w:w="680"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-2.0</w:t>
            </w:r>
          </w:p>
        </w:tc>
        <w:tc>
          <w:tcPr>
            <w:tcW w:w="67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67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67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678"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-2.0</w:t>
            </w:r>
          </w:p>
        </w:tc>
      </w:tr>
    </w:tbl>
    <w:p w:rsidR="000B5C96" w:rsidRPr="00E06199" w:rsidRDefault="000B5C96" w:rsidP="00E921F4">
      <w:pPr>
        <w:pStyle w:val="Footnotes"/>
        <w:numPr>
          <w:ilvl w:val="0"/>
          <w:numId w:val="253"/>
        </w:numPr>
        <w:ind w:left="284" w:hanging="284"/>
      </w:pPr>
      <w:r w:rsidRPr="00E06199">
        <w:t xml:space="preserve">A negative number indicates a decrease in revenue or an increase in expenses or net capital investment in accrual and cash terms. </w:t>
      </w:r>
    </w:p>
    <w:p w:rsidR="000B5C96" w:rsidRPr="00E06199" w:rsidRDefault="000B5C96" w:rsidP="00E921F4">
      <w:pPr>
        <w:pStyle w:val="Footnotes"/>
        <w:numPr>
          <w:ilvl w:val="0"/>
          <w:numId w:val="7"/>
        </w:numPr>
        <w:ind w:left="284" w:hanging="284"/>
      </w:pPr>
      <w:r w:rsidRPr="00E06199">
        <w:t>Figures may not sum to total due to rounding.</w:t>
      </w:r>
    </w:p>
    <w:p w:rsidR="000B5C96" w:rsidRPr="00E06199" w:rsidRDefault="000B5C96" w:rsidP="000B5C96">
      <w:pPr>
        <w:pStyle w:val="Footnotes"/>
        <w:numPr>
          <w:ilvl w:val="0"/>
          <w:numId w:val="115"/>
        </w:numPr>
        <w:ind w:left="284" w:hanging="284"/>
      </w:pPr>
      <w:r w:rsidRPr="00E06199">
        <w:t>Indicates nil.</w:t>
      </w:r>
    </w:p>
    <w:p w:rsidR="000B5C96" w:rsidRPr="00E06199" w:rsidRDefault="000B5C96" w:rsidP="003F606A">
      <w:pPr>
        <w:pStyle w:val="Caption"/>
      </w:pPr>
      <w:r w:rsidRPr="00E06199">
        <w:t>Table A3: Component 2: Establish independent NEPA—Financial implications</w:t>
      </w:r>
      <w:r w:rsidRPr="00E06199">
        <w:rPr>
          <w:vertAlign w:val="superscript"/>
        </w:rPr>
        <w:t>(a)(b)</w:t>
      </w:r>
    </w:p>
    <w:tbl>
      <w:tblPr>
        <w:tblStyle w:val="TableGrid35"/>
        <w:tblW w:w="4949" w:type="pct"/>
        <w:tblLook w:val="0680" w:firstRow="0" w:lastRow="0" w:firstColumn="1" w:lastColumn="0" w:noHBand="1" w:noVBand="1"/>
      </w:tblPr>
      <w:tblGrid>
        <w:gridCol w:w="2138"/>
        <w:gridCol w:w="901"/>
        <w:gridCol w:w="901"/>
        <w:gridCol w:w="901"/>
        <w:gridCol w:w="902"/>
        <w:gridCol w:w="907"/>
        <w:gridCol w:w="902"/>
        <w:gridCol w:w="902"/>
        <w:gridCol w:w="902"/>
        <w:gridCol w:w="902"/>
        <w:gridCol w:w="902"/>
        <w:gridCol w:w="902"/>
        <w:gridCol w:w="902"/>
        <w:gridCol w:w="907"/>
      </w:tblGrid>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E06199" w:rsidRDefault="000B5C96" w:rsidP="003F606A">
            <w:pPr>
              <w:keepNext/>
              <w:keepLines/>
              <w:ind w:left="57" w:right="57"/>
              <w:rPr>
                <w:szCs w:val="20"/>
              </w:rPr>
            </w:pPr>
            <w:r w:rsidRPr="00E06199">
              <w:rPr>
                <w:szCs w:val="20"/>
              </w:rPr>
              <w:t>($m)</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2016–17</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2017–18</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2018–19</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2019–20</w:t>
            </w:r>
          </w:p>
        </w:tc>
        <w:tc>
          <w:tcPr>
            <w:tcW w:w="32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2019–20</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2020–21</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2021–22</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2022–23</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2023–24</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2024–25</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2025–26</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2026–27</w:t>
            </w:r>
          </w:p>
        </w:tc>
        <w:tc>
          <w:tcPr>
            <w:tcW w:w="32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2026–27</w:t>
            </w:r>
          </w:p>
        </w:tc>
      </w:tr>
      <w:tr w:rsidR="000B5C96" w:rsidRPr="00E06199"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B5C96" w:rsidRPr="00E06199" w:rsidRDefault="000B5C96" w:rsidP="003F606A">
            <w:pPr>
              <w:keepNext/>
              <w:keepLines/>
              <w:ind w:left="57" w:right="57"/>
              <w:rPr>
                <w:b/>
                <w:szCs w:val="20"/>
              </w:rPr>
            </w:pPr>
            <w:r w:rsidRPr="00E06199">
              <w:rPr>
                <w:b/>
                <w:szCs w:val="20"/>
              </w:rPr>
              <w:t>Impact on fiscal and underlying cash balances</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E06199" w:rsidRDefault="000B5C96" w:rsidP="003F606A">
            <w:pPr>
              <w:keepNext/>
              <w:keepLines/>
              <w:ind w:left="57" w:right="57"/>
              <w:rPr>
                <w:szCs w:val="20"/>
              </w:rPr>
            </w:pPr>
            <w:r w:rsidRPr="00E06199">
              <w:rPr>
                <w:szCs w:val="20"/>
              </w:rPr>
              <w:t>Departmental</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-70.3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-76.8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-80.5</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-81.1</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-308.7</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-83.6</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-86.2</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-88.8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-91.5</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-94.3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-97.2</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-100.1</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-950.3</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E06199" w:rsidRDefault="000B5C96" w:rsidP="003F606A">
            <w:pPr>
              <w:keepNext/>
              <w:keepLines/>
              <w:ind w:left="57" w:right="57"/>
              <w:rPr>
                <w:b/>
                <w:szCs w:val="20"/>
              </w:rPr>
            </w:pPr>
            <w:r w:rsidRPr="00E06199">
              <w:rPr>
                <w:b/>
                <w:szCs w:val="20"/>
              </w:rPr>
              <w:t>Total</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-70.3</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-76.8</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-80.5</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-81.1</w:t>
            </w:r>
          </w:p>
        </w:tc>
        <w:tc>
          <w:tcPr>
            <w:tcW w:w="32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-308.7</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-83.6</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-86.2</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-88.8</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-91.5</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-94.3</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-97.2</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-100.1</w:t>
            </w:r>
          </w:p>
        </w:tc>
        <w:tc>
          <w:tcPr>
            <w:tcW w:w="32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-950.3</w:t>
            </w:r>
          </w:p>
        </w:tc>
      </w:tr>
    </w:tbl>
    <w:p w:rsidR="000B5C96" w:rsidRPr="00E06199" w:rsidRDefault="000B5C96" w:rsidP="00E921F4">
      <w:pPr>
        <w:pStyle w:val="Footnotes"/>
        <w:numPr>
          <w:ilvl w:val="0"/>
          <w:numId w:val="254"/>
        </w:numPr>
        <w:ind w:left="284" w:hanging="284"/>
      </w:pPr>
      <w:r w:rsidRPr="00E06199">
        <w:t xml:space="preserve">A negative number indicates a decrease in revenue or an increase in expenses or net capital investment in accrual and cash terms. </w:t>
      </w:r>
    </w:p>
    <w:p w:rsidR="000B5C96" w:rsidRPr="00E06199" w:rsidRDefault="000B5C96" w:rsidP="00E921F4">
      <w:pPr>
        <w:pStyle w:val="Footnotes"/>
        <w:numPr>
          <w:ilvl w:val="0"/>
          <w:numId w:val="7"/>
        </w:numPr>
        <w:ind w:left="284" w:hanging="284"/>
      </w:pPr>
      <w:r w:rsidRPr="00E06199">
        <w:t>Figures may not sum to total due to rounding.</w:t>
      </w:r>
    </w:p>
    <w:p w:rsidR="000B5C96" w:rsidRPr="00E06199" w:rsidRDefault="000B5C96" w:rsidP="003F606A">
      <w:pPr>
        <w:pStyle w:val="Caption"/>
      </w:pPr>
      <w:r w:rsidRPr="00E06199">
        <w:t>Table A4: Component 3: Restore Biodiversity Fund—Financial implications</w:t>
      </w:r>
      <w:r w:rsidRPr="00E06199">
        <w:rPr>
          <w:vertAlign w:val="superscript"/>
        </w:rPr>
        <w:t>(a)(b)</w:t>
      </w:r>
    </w:p>
    <w:tbl>
      <w:tblPr>
        <w:tblStyle w:val="TableGrid35"/>
        <w:tblW w:w="4949" w:type="pct"/>
        <w:tblLook w:val="0680" w:firstRow="0" w:lastRow="0" w:firstColumn="1" w:lastColumn="0" w:noHBand="1" w:noVBand="1"/>
      </w:tblPr>
      <w:tblGrid>
        <w:gridCol w:w="2138"/>
        <w:gridCol w:w="901"/>
        <w:gridCol w:w="901"/>
        <w:gridCol w:w="901"/>
        <w:gridCol w:w="902"/>
        <w:gridCol w:w="907"/>
        <w:gridCol w:w="902"/>
        <w:gridCol w:w="902"/>
        <w:gridCol w:w="902"/>
        <w:gridCol w:w="902"/>
        <w:gridCol w:w="902"/>
        <w:gridCol w:w="902"/>
        <w:gridCol w:w="902"/>
        <w:gridCol w:w="907"/>
      </w:tblGrid>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E06199" w:rsidRDefault="000B5C96" w:rsidP="003F606A">
            <w:pPr>
              <w:keepNext/>
              <w:keepLines/>
              <w:ind w:left="57" w:right="57"/>
              <w:rPr>
                <w:szCs w:val="20"/>
              </w:rPr>
            </w:pPr>
            <w:r w:rsidRPr="00E06199">
              <w:rPr>
                <w:szCs w:val="20"/>
              </w:rPr>
              <w:t>($m)</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2016–17</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2017–18</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2018–19</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2019–20</w:t>
            </w:r>
          </w:p>
        </w:tc>
        <w:tc>
          <w:tcPr>
            <w:tcW w:w="32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2019–20</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2020–21</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2021–22</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2022–23</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2023–24</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2024–25</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2025–26</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2026–27</w:t>
            </w:r>
          </w:p>
        </w:tc>
        <w:tc>
          <w:tcPr>
            <w:tcW w:w="32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2026–27</w:t>
            </w:r>
          </w:p>
        </w:tc>
      </w:tr>
      <w:tr w:rsidR="000B5C96" w:rsidRPr="00E06199"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B5C96" w:rsidRPr="00E06199" w:rsidRDefault="000B5C96" w:rsidP="003F606A">
            <w:pPr>
              <w:keepNext/>
              <w:keepLines/>
              <w:ind w:left="57" w:right="57"/>
              <w:rPr>
                <w:b/>
                <w:szCs w:val="20"/>
              </w:rPr>
            </w:pPr>
            <w:r w:rsidRPr="00E06199">
              <w:rPr>
                <w:b/>
                <w:szCs w:val="20"/>
              </w:rPr>
              <w:t>Impact on fiscal and underlying cash balances</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E06199" w:rsidRDefault="000B5C96" w:rsidP="003F606A">
            <w:pPr>
              <w:keepNext/>
              <w:keepLines/>
              <w:ind w:left="57" w:right="57"/>
              <w:rPr>
                <w:szCs w:val="20"/>
              </w:rPr>
            </w:pPr>
            <w:r w:rsidRPr="00E06199">
              <w:rPr>
                <w:szCs w:val="20"/>
              </w:rPr>
              <w:t>Administered</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-987.3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-987.3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-987.3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-1,974.6</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E06199" w:rsidRDefault="000B5C96" w:rsidP="003F606A">
            <w:pPr>
              <w:keepNext/>
              <w:keepLines/>
              <w:ind w:left="57" w:right="57"/>
              <w:rPr>
                <w:szCs w:val="20"/>
              </w:rPr>
            </w:pPr>
            <w:r w:rsidRPr="00E06199">
              <w:rPr>
                <w:szCs w:val="20"/>
              </w:rPr>
              <w:t>Departmental</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-12.7</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-12.7</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-12.7</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-25.4</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E06199" w:rsidRDefault="000B5C96" w:rsidP="003F606A">
            <w:pPr>
              <w:keepNext/>
              <w:keepLines/>
              <w:ind w:left="57" w:right="57"/>
              <w:rPr>
                <w:b/>
                <w:szCs w:val="20"/>
              </w:rPr>
            </w:pPr>
            <w:r w:rsidRPr="00E06199">
              <w:rPr>
                <w:b/>
                <w:szCs w:val="20"/>
              </w:rPr>
              <w:t>Total</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32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32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-2,000.0</w:t>
            </w:r>
          </w:p>
        </w:tc>
      </w:tr>
    </w:tbl>
    <w:p w:rsidR="000B5C96" w:rsidRPr="00E06199" w:rsidRDefault="000B5C96" w:rsidP="00E921F4">
      <w:pPr>
        <w:pStyle w:val="Footnotes"/>
        <w:numPr>
          <w:ilvl w:val="0"/>
          <w:numId w:val="255"/>
        </w:numPr>
        <w:ind w:left="284" w:hanging="284"/>
      </w:pPr>
      <w:r w:rsidRPr="00E06199">
        <w:t xml:space="preserve">A negative number indicates a decrease in revenue or an increase in expenses or net capital investment in accrual and cash terms. </w:t>
      </w:r>
    </w:p>
    <w:p w:rsidR="000B5C96" w:rsidRPr="00E06199" w:rsidRDefault="000B5C96" w:rsidP="00E921F4">
      <w:pPr>
        <w:pStyle w:val="Footnotes"/>
        <w:numPr>
          <w:ilvl w:val="0"/>
          <w:numId w:val="7"/>
        </w:numPr>
        <w:ind w:left="284" w:hanging="284"/>
      </w:pPr>
      <w:r w:rsidRPr="00E06199">
        <w:t>Figures may not sum to total due to rounding.</w:t>
      </w:r>
    </w:p>
    <w:p w:rsidR="000B5C96" w:rsidRDefault="000B5C96" w:rsidP="000B5C96">
      <w:pPr>
        <w:pStyle w:val="Footnotes"/>
        <w:numPr>
          <w:ilvl w:val="0"/>
          <w:numId w:val="115"/>
        </w:numPr>
        <w:ind w:left="284" w:hanging="284"/>
      </w:pPr>
      <w:r w:rsidRPr="00E06199">
        <w:t>Indicates nil.</w:t>
      </w:r>
    </w:p>
    <w:p w:rsidR="000B5C96" w:rsidRPr="00E06199" w:rsidRDefault="000B5C96" w:rsidP="003F606A">
      <w:pPr>
        <w:pStyle w:val="Caption"/>
      </w:pPr>
      <w:r w:rsidRPr="00E06199">
        <w:t>Table A5: Component 4: Threatened species - habitat mapping—Financial implications</w:t>
      </w:r>
      <w:r w:rsidRPr="00E06199">
        <w:rPr>
          <w:vertAlign w:val="superscript"/>
        </w:rPr>
        <w:t>(a)(b)</w:t>
      </w:r>
    </w:p>
    <w:tbl>
      <w:tblPr>
        <w:tblStyle w:val="TableGrid36"/>
        <w:tblW w:w="2375" w:type="pct"/>
        <w:tblLook w:val="0680" w:firstRow="0" w:lastRow="0" w:firstColumn="1" w:lastColumn="0" w:noHBand="1" w:noVBand="1"/>
      </w:tblPr>
      <w:tblGrid>
        <w:gridCol w:w="2146"/>
        <w:gridCol w:w="905"/>
        <w:gridCol w:w="901"/>
        <w:gridCol w:w="901"/>
        <w:gridCol w:w="901"/>
        <w:gridCol w:w="903"/>
      </w:tblGrid>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1" w:type="pct"/>
            <w:shd w:val="clear" w:color="auto" w:fill="D7DDE9"/>
          </w:tcPr>
          <w:p w:rsidR="000B5C96" w:rsidRPr="00E06199" w:rsidRDefault="000B5C96" w:rsidP="003F606A">
            <w:pPr>
              <w:keepNext/>
              <w:keepLines/>
              <w:ind w:left="57" w:right="57"/>
              <w:rPr>
                <w:szCs w:val="20"/>
              </w:rPr>
            </w:pPr>
            <w:r w:rsidRPr="00E06199">
              <w:rPr>
                <w:szCs w:val="20"/>
              </w:rPr>
              <w:t>($m)</w:t>
            </w:r>
          </w:p>
        </w:tc>
        <w:tc>
          <w:tcPr>
            <w:tcW w:w="680"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2016–17</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2017–18</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2018–19</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2019–20</w:t>
            </w:r>
          </w:p>
        </w:tc>
        <w:tc>
          <w:tcPr>
            <w:tcW w:w="679"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2019–20</w:t>
            </w:r>
          </w:p>
        </w:tc>
      </w:tr>
      <w:tr w:rsidR="000B5C96" w:rsidRPr="00E06199"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E06199" w:rsidRDefault="000B5C96" w:rsidP="003F606A">
            <w:pPr>
              <w:keepNext/>
              <w:keepLines/>
              <w:ind w:left="57" w:right="57"/>
              <w:rPr>
                <w:b/>
                <w:szCs w:val="20"/>
              </w:rPr>
            </w:pPr>
            <w:r w:rsidRPr="00E06199">
              <w:rPr>
                <w:b/>
                <w:szCs w:val="20"/>
              </w:rPr>
              <w:t>Impact on fiscal and underlying cash balances</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1" w:type="pct"/>
          </w:tcPr>
          <w:p w:rsidR="000B5C96" w:rsidRPr="00E06199" w:rsidRDefault="000B5C96" w:rsidP="003F606A">
            <w:pPr>
              <w:keepNext/>
              <w:keepLines/>
              <w:ind w:left="57" w:right="57"/>
              <w:rPr>
                <w:szCs w:val="20"/>
              </w:rPr>
            </w:pPr>
            <w:r w:rsidRPr="00E06199">
              <w:rPr>
                <w:szCs w:val="20"/>
              </w:rPr>
              <w:t>Departmental</w:t>
            </w:r>
          </w:p>
        </w:tc>
        <w:tc>
          <w:tcPr>
            <w:tcW w:w="680" w:type="pct"/>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-30.0</w:t>
            </w:r>
          </w:p>
        </w:tc>
        <w:tc>
          <w:tcPr>
            <w:tcW w:w="677" w:type="pct"/>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-30.0</w:t>
            </w:r>
          </w:p>
        </w:tc>
        <w:tc>
          <w:tcPr>
            <w:tcW w:w="677" w:type="pct"/>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-30.0</w:t>
            </w:r>
          </w:p>
        </w:tc>
        <w:tc>
          <w:tcPr>
            <w:tcW w:w="677" w:type="pct"/>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w:t>
            </w:r>
          </w:p>
        </w:tc>
        <w:tc>
          <w:tcPr>
            <w:tcW w:w="679" w:type="pct"/>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-90.0</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1" w:type="pct"/>
            <w:shd w:val="clear" w:color="auto" w:fill="E9ECF3"/>
          </w:tcPr>
          <w:p w:rsidR="000B5C96" w:rsidRPr="00E06199" w:rsidRDefault="000B5C96" w:rsidP="003F606A">
            <w:pPr>
              <w:keepNext/>
              <w:keepLines/>
              <w:ind w:left="57" w:right="57"/>
              <w:rPr>
                <w:b/>
                <w:szCs w:val="20"/>
              </w:rPr>
            </w:pPr>
            <w:r w:rsidRPr="00E06199">
              <w:rPr>
                <w:b/>
                <w:szCs w:val="20"/>
              </w:rPr>
              <w:t>Total</w:t>
            </w:r>
          </w:p>
        </w:tc>
        <w:tc>
          <w:tcPr>
            <w:tcW w:w="680" w:type="pct"/>
            <w:shd w:val="clear" w:color="auto" w:fill="E9ECF3"/>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-30.0</w:t>
            </w:r>
          </w:p>
        </w:tc>
        <w:tc>
          <w:tcPr>
            <w:tcW w:w="677" w:type="pct"/>
            <w:shd w:val="clear" w:color="auto" w:fill="E9ECF3"/>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-30.0</w:t>
            </w:r>
          </w:p>
        </w:tc>
        <w:tc>
          <w:tcPr>
            <w:tcW w:w="677" w:type="pct"/>
            <w:shd w:val="clear" w:color="auto" w:fill="E9ECF3"/>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-30.0</w:t>
            </w:r>
          </w:p>
        </w:tc>
        <w:tc>
          <w:tcPr>
            <w:tcW w:w="677" w:type="pct"/>
            <w:shd w:val="clear" w:color="auto" w:fill="E9ECF3"/>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w:t>
            </w:r>
          </w:p>
        </w:tc>
        <w:tc>
          <w:tcPr>
            <w:tcW w:w="679" w:type="pct"/>
            <w:shd w:val="clear" w:color="auto" w:fill="E9ECF3"/>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-90.0</w:t>
            </w:r>
          </w:p>
        </w:tc>
      </w:tr>
    </w:tbl>
    <w:p w:rsidR="000B5C96" w:rsidRDefault="000B5C96" w:rsidP="00E921F4">
      <w:pPr>
        <w:pStyle w:val="Footnotes"/>
        <w:keepNext/>
        <w:keepLines/>
        <w:numPr>
          <w:ilvl w:val="0"/>
          <w:numId w:val="256"/>
        </w:numPr>
        <w:ind w:left="284" w:hanging="284"/>
      </w:pPr>
      <w:r w:rsidRPr="00E06199">
        <w:t>A negative number indicates a decrease in revenue or an increase in expenses or net capital investment in accrual and cash terms.</w:t>
      </w:r>
    </w:p>
    <w:p w:rsidR="000B5C96" w:rsidRPr="00E06199" w:rsidRDefault="000B5C96" w:rsidP="00E921F4">
      <w:pPr>
        <w:pStyle w:val="Footnotes"/>
        <w:keepNext/>
        <w:keepLines/>
        <w:numPr>
          <w:ilvl w:val="0"/>
          <w:numId w:val="7"/>
        </w:numPr>
        <w:ind w:left="284" w:hanging="284"/>
      </w:pPr>
      <w:r w:rsidRPr="00E06199">
        <w:t>Figures may not sum to total due to rounding.</w:t>
      </w:r>
    </w:p>
    <w:p w:rsidR="000B5C96" w:rsidRPr="00E06199" w:rsidRDefault="000B5C96" w:rsidP="000B5C96">
      <w:pPr>
        <w:pStyle w:val="Footnotes"/>
        <w:numPr>
          <w:ilvl w:val="0"/>
          <w:numId w:val="115"/>
        </w:numPr>
        <w:ind w:left="284" w:hanging="284"/>
      </w:pPr>
      <w:r w:rsidRPr="00E06199">
        <w:t>Indicates nil.</w:t>
      </w:r>
    </w:p>
    <w:p w:rsidR="000B5C96" w:rsidRPr="00E06199" w:rsidRDefault="000B5C96" w:rsidP="003F606A">
      <w:pPr>
        <w:pStyle w:val="Caption"/>
      </w:pPr>
      <w:r w:rsidRPr="00E06199">
        <w:t>Table A6: Component 5: Threatened species - listing, recovery plans and research—Financial implications</w:t>
      </w:r>
      <w:r w:rsidRPr="00E06199">
        <w:rPr>
          <w:vertAlign w:val="superscript"/>
        </w:rPr>
        <w:t>(a)(b)</w:t>
      </w:r>
    </w:p>
    <w:tbl>
      <w:tblPr>
        <w:tblStyle w:val="TableGrid36"/>
        <w:tblW w:w="4949" w:type="pct"/>
        <w:tblLook w:val="0680" w:firstRow="0" w:lastRow="0" w:firstColumn="1" w:lastColumn="0" w:noHBand="1" w:noVBand="1"/>
      </w:tblPr>
      <w:tblGrid>
        <w:gridCol w:w="2138"/>
        <w:gridCol w:w="901"/>
        <w:gridCol w:w="901"/>
        <w:gridCol w:w="901"/>
        <w:gridCol w:w="902"/>
        <w:gridCol w:w="907"/>
        <w:gridCol w:w="902"/>
        <w:gridCol w:w="902"/>
        <w:gridCol w:w="902"/>
        <w:gridCol w:w="902"/>
        <w:gridCol w:w="902"/>
        <w:gridCol w:w="902"/>
        <w:gridCol w:w="902"/>
        <w:gridCol w:w="907"/>
      </w:tblGrid>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E06199" w:rsidRDefault="000B5C96" w:rsidP="003F606A">
            <w:pPr>
              <w:keepNext/>
              <w:keepLines/>
              <w:ind w:left="57" w:right="57"/>
              <w:rPr>
                <w:szCs w:val="20"/>
              </w:rPr>
            </w:pPr>
            <w:r w:rsidRPr="00E06199">
              <w:rPr>
                <w:szCs w:val="20"/>
              </w:rPr>
              <w:t>($m)</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2016–17</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2017–18</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2018–19</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2019–20</w:t>
            </w:r>
          </w:p>
        </w:tc>
        <w:tc>
          <w:tcPr>
            <w:tcW w:w="32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2019–20</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2020–21</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2021–22</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2022–23</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2023–24</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2024–25</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2025–26</w:t>
            </w:r>
          </w:p>
        </w:tc>
        <w:tc>
          <w:tcPr>
            <w:tcW w:w="325"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2026–27</w:t>
            </w:r>
          </w:p>
        </w:tc>
        <w:tc>
          <w:tcPr>
            <w:tcW w:w="326"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2026–27</w:t>
            </w:r>
          </w:p>
        </w:tc>
      </w:tr>
      <w:tr w:rsidR="000B5C96" w:rsidRPr="00E06199"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B5C96" w:rsidRPr="00E06199" w:rsidRDefault="000B5C96" w:rsidP="003F606A">
            <w:pPr>
              <w:keepNext/>
              <w:keepLines/>
              <w:ind w:left="57" w:right="57"/>
              <w:rPr>
                <w:b/>
                <w:szCs w:val="20"/>
              </w:rPr>
            </w:pPr>
            <w:r w:rsidRPr="00E06199">
              <w:rPr>
                <w:b/>
                <w:szCs w:val="20"/>
              </w:rPr>
              <w:t>Impact on fiscal and underlying cash balances</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E06199" w:rsidRDefault="000B5C96" w:rsidP="003F606A">
            <w:pPr>
              <w:keepNext/>
              <w:keepLines/>
              <w:ind w:left="57" w:right="57"/>
              <w:rPr>
                <w:szCs w:val="20"/>
              </w:rPr>
            </w:pPr>
            <w:r w:rsidRPr="00E06199">
              <w:rPr>
                <w:szCs w:val="20"/>
              </w:rPr>
              <w:t>Administered</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-19.3</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-4.8</w:t>
            </w:r>
          </w:p>
        </w:tc>
        <w:tc>
          <w:tcPr>
            <w:tcW w:w="326"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-53.1</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E06199" w:rsidRDefault="000B5C96" w:rsidP="003F606A">
            <w:pPr>
              <w:keepNext/>
              <w:keepLines/>
              <w:ind w:left="57" w:right="57"/>
              <w:rPr>
                <w:szCs w:val="20"/>
              </w:rPr>
            </w:pPr>
            <w:r w:rsidRPr="00E06199">
              <w:rPr>
                <w:szCs w:val="20"/>
              </w:rPr>
              <w:t>Departmental</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-5.2</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-5.2</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-5.2</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-5.2</w:t>
            </w:r>
          </w:p>
        </w:tc>
        <w:tc>
          <w:tcPr>
            <w:tcW w:w="32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-20.7</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-5.2</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-5.2</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-5.2</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-5.2</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-5.2</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-5.2</w:t>
            </w:r>
          </w:p>
        </w:tc>
        <w:tc>
          <w:tcPr>
            <w:tcW w:w="325"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-5.2</w:t>
            </w:r>
          </w:p>
        </w:tc>
        <w:tc>
          <w:tcPr>
            <w:tcW w:w="326"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-56.9</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E06199" w:rsidRDefault="000B5C96" w:rsidP="003F606A">
            <w:pPr>
              <w:keepNext/>
              <w:keepLines/>
              <w:ind w:left="57" w:right="57"/>
              <w:rPr>
                <w:b/>
                <w:szCs w:val="20"/>
              </w:rPr>
            </w:pPr>
            <w:r w:rsidRPr="00E06199">
              <w:rPr>
                <w:b/>
                <w:szCs w:val="20"/>
              </w:rPr>
              <w:t>Total</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w:t>
            </w:r>
          </w:p>
        </w:tc>
        <w:tc>
          <w:tcPr>
            <w:tcW w:w="32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-40.0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w:t>
            </w:r>
          </w:p>
        </w:tc>
        <w:tc>
          <w:tcPr>
            <w:tcW w:w="325"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-10.0</w:t>
            </w:r>
          </w:p>
        </w:tc>
        <w:tc>
          <w:tcPr>
            <w:tcW w:w="326"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-110.0</w:t>
            </w:r>
          </w:p>
        </w:tc>
      </w:tr>
    </w:tbl>
    <w:p w:rsidR="000B5C96" w:rsidRDefault="000B5C96" w:rsidP="00E921F4">
      <w:pPr>
        <w:pStyle w:val="Footnotes"/>
        <w:numPr>
          <w:ilvl w:val="0"/>
          <w:numId w:val="257"/>
        </w:numPr>
        <w:ind w:left="284" w:hanging="284"/>
      </w:pPr>
      <w:r w:rsidRPr="00E06199">
        <w:t>A negative number indicates a decrease in revenue or an increase in expenses or net capital investment in accrual and cash terms.</w:t>
      </w:r>
    </w:p>
    <w:p w:rsidR="000B5C96" w:rsidRPr="00E06199" w:rsidRDefault="000B5C96" w:rsidP="00E921F4">
      <w:pPr>
        <w:pStyle w:val="Footnotes"/>
        <w:numPr>
          <w:ilvl w:val="0"/>
          <w:numId w:val="7"/>
        </w:numPr>
        <w:ind w:left="284" w:hanging="284"/>
      </w:pPr>
      <w:r w:rsidRPr="00E06199">
        <w:t>Figures may not sum to total due to rounding.</w:t>
      </w:r>
    </w:p>
    <w:p w:rsidR="000B5C96" w:rsidRPr="00E06199" w:rsidRDefault="000B5C96" w:rsidP="003F606A">
      <w:pPr>
        <w:pStyle w:val="Caption"/>
      </w:pPr>
      <w:r w:rsidRPr="00E06199">
        <w:t>Table A7: Component 6: Reform Federal Court system—Financial implications</w:t>
      </w:r>
      <w:r w:rsidRPr="00E06199">
        <w:rPr>
          <w:vertAlign w:val="superscript"/>
        </w:rPr>
        <w:t>(a)(b)</w:t>
      </w:r>
    </w:p>
    <w:tbl>
      <w:tblPr>
        <w:tblStyle w:val="TableGrid37"/>
        <w:tblW w:w="2375" w:type="pct"/>
        <w:tblLook w:val="0680" w:firstRow="0" w:lastRow="0" w:firstColumn="1" w:lastColumn="0" w:noHBand="1" w:noVBand="1"/>
      </w:tblPr>
      <w:tblGrid>
        <w:gridCol w:w="2146"/>
        <w:gridCol w:w="905"/>
        <w:gridCol w:w="901"/>
        <w:gridCol w:w="901"/>
        <w:gridCol w:w="901"/>
        <w:gridCol w:w="903"/>
      </w:tblGrid>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1" w:type="pct"/>
            <w:shd w:val="clear" w:color="auto" w:fill="D7DDE9"/>
          </w:tcPr>
          <w:p w:rsidR="000B5C96" w:rsidRPr="00E06199" w:rsidRDefault="000B5C96" w:rsidP="003F606A">
            <w:pPr>
              <w:keepNext/>
              <w:keepLines/>
              <w:ind w:left="57" w:right="57"/>
              <w:rPr>
                <w:szCs w:val="20"/>
              </w:rPr>
            </w:pPr>
            <w:r w:rsidRPr="00E06199">
              <w:rPr>
                <w:szCs w:val="20"/>
              </w:rPr>
              <w:t>($m)</w:t>
            </w:r>
          </w:p>
        </w:tc>
        <w:tc>
          <w:tcPr>
            <w:tcW w:w="680"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2016–17</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2017–18</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2018–19</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2019–20</w:t>
            </w:r>
          </w:p>
        </w:tc>
        <w:tc>
          <w:tcPr>
            <w:tcW w:w="679"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2019–20</w:t>
            </w:r>
          </w:p>
        </w:tc>
      </w:tr>
      <w:tr w:rsidR="000B5C96" w:rsidRPr="00E06199"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E06199" w:rsidRDefault="000B5C96" w:rsidP="003F606A">
            <w:pPr>
              <w:keepNext/>
              <w:keepLines/>
              <w:ind w:left="57" w:right="57"/>
              <w:rPr>
                <w:b/>
                <w:szCs w:val="20"/>
              </w:rPr>
            </w:pPr>
            <w:r w:rsidRPr="00E06199">
              <w:rPr>
                <w:b/>
                <w:szCs w:val="20"/>
              </w:rPr>
              <w:t>Impact on fiscal and underlying cash balances</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1" w:type="pct"/>
          </w:tcPr>
          <w:p w:rsidR="000B5C96" w:rsidRPr="00E06199" w:rsidRDefault="000B5C96" w:rsidP="003F606A">
            <w:pPr>
              <w:keepNext/>
              <w:keepLines/>
              <w:ind w:left="57" w:right="57"/>
              <w:rPr>
                <w:szCs w:val="20"/>
              </w:rPr>
            </w:pPr>
            <w:r w:rsidRPr="00E06199">
              <w:rPr>
                <w:szCs w:val="20"/>
              </w:rPr>
              <w:t>Departmental</w:t>
            </w:r>
          </w:p>
        </w:tc>
        <w:tc>
          <w:tcPr>
            <w:tcW w:w="680" w:type="pct"/>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-0.5</w:t>
            </w:r>
          </w:p>
        </w:tc>
        <w:tc>
          <w:tcPr>
            <w:tcW w:w="677" w:type="pct"/>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-0.5</w:t>
            </w:r>
          </w:p>
        </w:tc>
        <w:tc>
          <w:tcPr>
            <w:tcW w:w="677" w:type="pct"/>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-0.5</w:t>
            </w:r>
          </w:p>
        </w:tc>
        <w:tc>
          <w:tcPr>
            <w:tcW w:w="677" w:type="pct"/>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-0.5</w:t>
            </w:r>
          </w:p>
        </w:tc>
        <w:tc>
          <w:tcPr>
            <w:tcW w:w="679" w:type="pct"/>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-2.0</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1" w:type="pct"/>
            <w:shd w:val="clear" w:color="auto" w:fill="E9ECF3"/>
          </w:tcPr>
          <w:p w:rsidR="000B5C96" w:rsidRPr="00E06199" w:rsidRDefault="000B5C96" w:rsidP="003F606A">
            <w:pPr>
              <w:keepNext/>
              <w:keepLines/>
              <w:ind w:left="57" w:right="57"/>
              <w:rPr>
                <w:b/>
                <w:szCs w:val="20"/>
              </w:rPr>
            </w:pPr>
            <w:r w:rsidRPr="00E06199">
              <w:rPr>
                <w:b/>
                <w:szCs w:val="20"/>
              </w:rPr>
              <w:t>Total</w:t>
            </w:r>
          </w:p>
        </w:tc>
        <w:tc>
          <w:tcPr>
            <w:tcW w:w="680" w:type="pct"/>
            <w:shd w:val="clear" w:color="auto" w:fill="E9ECF3"/>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-0.5</w:t>
            </w:r>
          </w:p>
        </w:tc>
        <w:tc>
          <w:tcPr>
            <w:tcW w:w="677" w:type="pct"/>
            <w:shd w:val="clear" w:color="auto" w:fill="E9ECF3"/>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-0.5</w:t>
            </w:r>
          </w:p>
        </w:tc>
        <w:tc>
          <w:tcPr>
            <w:tcW w:w="677" w:type="pct"/>
            <w:shd w:val="clear" w:color="auto" w:fill="E9ECF3"/>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-0.5</w:t>
            </w:r>
          </w:p>
        </w:tc>
        <w:tc>
          <w:tcPr>
            <w:tcW w:w="677" w:type="pct"/>
            <w:shd w:val="clear" w:color="auto" w:fill="E9ECF3"/>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-0.5</w:t>
            </w:r>
          </w:p>
        </w:tc>
        <w:tc>
          <w:tcPr>
            <w:tcW w:w="679" w:type="pct"/>
            <w:shd w:val="clear" w:color="auto" w:fill="E9ECF3"/>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-2.0</w:t>
            </w:r>
          </w:p>
        </w:tc>
      </w:tr>
    </w:tbl>
    <w:p w:rsidR="000B5C96" w:rsidRDefault="000B5C96" w:rsidP="00E921F4">
      <w:pPr>
        <w:pStyle w:val="Footnotes"/>
        <w:keepNext/>
        <w:keepLines/>
        <w:numPr>
          <w:ilvl w:val="0"/>
          <w:numId w:val="258"/>
        </w:numPr>
        <w:ind w:left="284" w:hanging="284"/>
      </w:pPr>
      <w:r w:rsidRPr="00E06199">
        <w:t>A negative number indicates a decrease in revenue or an increase in expenses or net capital investment in accrual and cash terms.</w:t>
      </w:r>
    </w:p>
    <w:p w:rsidR="000B5C96" w:rsidRPr="00E06199" w:rsidRDefault="000B5C96" w:rsidP="00E921F4">
      <w:pPr>
        <w:pStyle w:val="Footnotes"/>
        <w:keepNext/>
        <w:keepLines/>
        <w:numPr>
          <w:ilvl w:val="0"/>
          <w:numId w:val="7"/>
        </w:numPr>
        <w:ind w:left="284" w:hanging="284"/>
      </w:pPr>
      <w:r w:rsidRPr="00E06199">
        <w:t>Figures may not sum to total due to rounding.</w:t>
      </w:r>
    </w:p>
    <w:p w:rsidR="000B5C96" w:rsidRPr="00E06199" w:rsidRDefault="000B5C96" w:rsidP="003F606A">
      <w:pPr>
        <w:pStyle w:val="Caption"/>
      </w:pPr>
      <w:r w:rsidRPr="00E06199">
        <w:t>Table A8: Component 7: World Heritage Areas and Ramsar Convention review—Financial implications</w:t>
      </w:r>
      <w:r w:rsidRPr="00E06199">
        <w:rPr>
          <w:vertAlign w:val="superscript"/>
        </w:rPr>
        <w:t>(a)(b)</w:t>
      </w:r>
    </w:p>
    <w:tbl>
      <w:tblPr>
        <w:tblStyle w:val="TableGrid37"/>
        <w:tblW w:w="2375" w:type="pct"/>
        <w:tblLook w:val="0680" w:firstRow="0" w:lastRow="0" w:firstColumn="1" w:lastColumn="0" w:noHBand="1" w:noVBand="1"/>
      </w:tblPr>
      <w:tblGrid>
        <w:gridCol w:w="2145"/>
        <w:gridCol w:w="904"/>
        <w:gridCol w:w="901"/>
        <w:gridCol w:w="901"/>
        <w:gridCol w:w="901"/>
        <w:gridCol w:w="905"/>
      </w:tblGrid>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0" w:type="pct"/>
            <w:shd w:val="clear" w:color="auto" w:fill="D7DDE9"/>
          </w:tcPr>
          <w:p w:rsidR="000B5C96" w:rsidRPr="00E06199" w:rsidRDefault="000B5C96" w:rsidP="003F606A">
            <w:pPr>
              <w:keepNext/>
              <w:keepLines/>
              <w:ind w:left="57" w:right="57"/>
              <w:rPr>
                <w:szCs w:val="20"/>
              </w:rPr>
            </w:pPr>
            <w:r w:rsidRPr="00E06199">
              <w:rPr>
                <w:szCs w:val="20"/>
              </w:rPr>
              <w:t>($m)</w:t>
            </w:r>
          </w:p>
        </w:tc>
        <w:tc>
          <w:tcPr>
            <w:tcW w:w="679"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2016–17</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2017–18</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2018–19</w:t>
            </w:r>
          </w:p>
        </w:tc>
        <w:tc>
          <w:tcPr>
            <w:tcW w:w="677"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6199">
              <w:rPr>
                <w:rFonts w:ascii="Calibri" w:hAnsi="Calibri"/>
                <w:szCs w:val="20"/>
              </w:rPr>
              <w:t>2019–20</w:t>
            </w:r>
          </w:p>
        </w:tc>
        <w:tc>
          <w:tcPr>
            <w:tcW w:w="681" w:type="pct"/>
            <w:shd w:val="clear" w:color="auto" w:fill="D7DDE9"/>
          </w:tcPr>
          <w:p w:rsidR="000B5C96" w:rsidRPr="00E0619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Total to 2019–20</w:t>
            </w:r>
          </w:p>
        </w:tc>
      </w:tr>
      <w:tr w:rsidR="000B5C96" w:rsidRPr="00E06199"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E06199" w:rsidRDefault="000B5C96" w:rsidP="003F606A">
            <w:pPr>
              <w:keepNext/>
              <w:keepLines/>
              <w:ind w:left="57" w:right="57"/>
              <w:rPr>
                <w:b/>
                <w:szCs w:val="20"/>
              </w:rPr>
            </w:pPr>
            <w:r w:rsidRPr="00E06199">
              <w:rPr>
                <w:b/>
                <w:szCs w:val="20"/>
              </w:rPr>
              <w:t>Impact on fiscal and underlying cash balances</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0" w:type="pct"/>
          </w:tcPr>
          <w:p w:rsidR="000B5C96" w:rsidRPr="00E06199" w:rsidRDefault="000B5C96" w:rsidP="003F606A">
            <w:pPr>
              <w:keepNext/>
              <w:keepLines/>
              <w:ind w:left="57" w:right="57"/>
              <w:rPr>
                <w:szCs w:val="20"/>
              </w:rPr>
            </w:pPr>
            <w:r w:rsidRPr="00E06199">
              <w:rPr>
                <w:szCs w:val="20"/>
              </w:rPr>
              <w:t>Departmental</w:t>
            </w:r>
          </w:p>
        </w:tc>
        <w:tc>
          <w:tcPr>
            <w:tcW w:w="679"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-3.0</w:t>
            </w:r>
          </w:p>
        </w:tc>
        <w:tc>
          <w:tcPr>
            <w:tcW w:w="67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-20.0</w:t>
            </w:r>
          </w:p>
        </w:tc>
        <w:tc>
          <w:tcPr>
            <w:tcW w:w="67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-20.0</w:t>
            </w:r>
          </w:p>
        </w:tc>
        <w:tc>
          <w:tcPr>
            <w:tcW w:w="677"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E06199">
              <w:rPr>
                <w:rFonts w:ascii="Calibri" w:hAnsi="Calibri"/>
                <w:i/>
                <w:szCs w:val="20"/>
              </w:rPr>
              <w:t>-20.0</w:t>
            </w:r>
          </w:p>
        </w:tc>
        <w:tc>
          <w:tcPr>
            <w:tcW w:w="681" w:type="pct"/>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E06199">
              <w:rPr>
                <w:rFonts w:ascii="Calibri" w:hAnsi="Calibri"/>
                <w:b/>
                <w:i/>
                <w:szCs w:val="20"/>
              </w:rPr>
              <w:t>-63.0</w:t>
            </w:r>
          </w:p>
        </w:tc>
      </w:tr>
      <w:tr w:rsidR="000B5C96" w:rsidRPr="00E06199" w:rsidTr="003F606A">
        <w:trPr>
          <w:cantSplit/>
        </w:trPr>
        <w:tc>
          <w:tcPr>
            <w:cnfStyle w:val="001000000000" w:firstRow="0" w:lastRow="0" w:firstColumn="1" w:lastColumn="0" w:oddVBand="0" w:evenVBand="0" w:oddHBand="0" w:evenHBand="0" w:firstRowFirstColumn="0" w:firstRowLastColumn="0" w:lastRowFirstColumn="0" w:lastRowLastColumn="0"/>
            <w:tcW w:w="1610" w:type="pct"/>
            <w:shd w:val="clear" w:color="auto" w:fill="E9ECF3"/>
          </w:tcPr>
          <w:p w:rsidR="000B5C96" w:rsidRPr="00E06199" w:rsidRDefault="000B5C96" w:rsidP="003F606A">
            <w:pPr>
              <w:keepNext/>
              <w:keepLines/>
              <w:ind w:left="57" w:right="57"/>
              <w:rPr>
                <w:b/>
                <w:szCs w:val="20"/>
              </w:rPr>
            </w:pPr>
            <w:r w:rsidRPr="00E06199">
              <w:rPr>
                <w:b/>
                <w:szCs w:val="20"/>
              </w:rPr>
              <w:t>Total</w:t>
            </w:r>
          </w:p>
        </w:tc>
        <w:tc>
          <w:tcPr>
            <w:tcW w:w="679"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-3.0</w:t>
            </w:r>
          </w:p>
        </w:tc>
        <w:tc>
          <w:tcPr>
            <w:tcW w:w="67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-20.0</w:t>
            </w:r>
          </w:p>
        </w:tc>
        <w:tc>
          <w:tcPr>
            <w:tcW w:w="67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-20.0</w:t>
            </w:r>
          </w:p>
        </w:tc>
        <w:tc>
          <w:tcPr>
            <w:tcW w:w="677"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-20.0</w:t>
            </w:r>
          </w:p>
        </w:tc>
        <w:tc>
          <w:tcPr>
            <w:tcW w:w="681" w:type="pct"/>
            <w:shd w:val="clear" w:color="auto" w:fill="E9ECF3"/>
          </w:tcPr>
          <w:p w:rsidR="000B5C96" w:rsidRPr="00E0619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6199">
              <w:rPr>
                <w:rFonts w:ascii="Calibri" w:hAnsi="Calibri"/>
                <w:b/>
                <w:szCs w:val="20"/>
              </w:rPr>
              <w:t>-63.0</w:t>
            </w:r>
          </w:p>
        </w:tc>
      </w:tr>
    </w:tbl>
    <w:p w:rsidR="000B5C96" w:rsidRDefault="000B5C96" w:rsidP="00E921F4">
      <w:pPr>
        <w:pStyle w:val="Footnotes"/>
        <w:numPr>
          <w:ilvl w:val="0"/>
          <w:numId w:val="259"/>
        </w:numPr>
        <w:ind w:left="284" w:hanging="284"/>
      </w:pPr>
      <w:r w:rsidRPr="00E06199">
        <w:t>A negative number indicates a decrease in revenue or an increase in expenses or net capital investment in accrual and cash terms.</w:t>
      </w:r>
    </w:p>
    <w:p w:rsidR="000B5C96" w:rsidRPr="00E06199" w:rsidRDefault="000B5C96" w:rsidP="00E921F4">
      <w:pPr>
        <w:pStyle w:val="Footnotes"/>
        <w:numPr>
          <w:ilvl w:val="0"/>
          <w:numId w:val="7"/>
        </w:numPr>
        <w:ind w:left="284" w:hanging="284"/>
      </w:pPr>
      <w:r w:rsidRPr="00E06199">
        <w:t>Figures may not sum to total due to rounding.</w:t>
      </w:r>
    </w:p>
    <w:p w:rsidR="000B5C96" w:rsidRPr="00EF2592" w:rsidRDefault="000B5C96" w:rsidP="003F606A">
      <w:pPr>
        <w:pStyle w:val="Caption"/>
      </w:pPr>
      <w:r w:rsidRPr="00EF2592">
        <w:t>Table A9: Component 8: Yellow Crazy Ant eradication—Financial implications</w:t>
      </w:r>
      <w:r w:rsidRPr="00EF2592">
        <w:rPr>
          <w:vertAlign w:val="superscript"/>
        </w:rPr>
        <w:t>(a)(b)</w:t>
      </w:r>
    </w:p>
    <w:tbl>
      <w:tblPr>
        <w:tblStyle w:val="TableGrid118"/>
        <w:tblW w:w="2375" w:type="pct"/>
        <w:tblInd w:w="0" w:type="dxa"/>
        <w:tblLook w:val="0680" w:firstRow="0" w:lastRow="0" w:firstColumn="1" w:lastColumn="0" w:noHBand="1" w:noVBand="1"/>
      </w:tblPr>
      <w:tblGrid>
        <w:gridCol w:w="2147"/>
        <w:gridCol w:w="904"/>
        <w:gridCol w:w="901"/>
        <w:gridCol w:w="901"/>
        <w:gridCol w:w="901"/>
        <w:gridCol w:w="903"/>
      </w:tblGrid>
      <w:tr w:rsidR="000B5C96" w:rsidRPr="00EF2592" w:rsidTr="003F606A">
        <w:trPr>
          <w:cantSplit/>
        </w:trPr>
        <w:tc>
          <w:tcPr>
            <w:cnfStyle w:val="001000000000" w:firstRow="0" w:lastRow="0" w:firstColumn="1" w:lastColumn="0" w:oddVBand="0" w:evenVBand="0" w:oddHBand="0" w:evenHBand="0" w:firstRowFirstColumn="0" w:firstRowLastColumn="0" w:lastRowFirstColumn="0" w:lastRowLastColumn="0"/>
            <w:tcW w:w="161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EF2592" w:rsidRDefault="000B5C96" w:rsidP="003F606A">
            <w:pPr>
              <w:keepNext/>
              <w:keepLines/>
              <w:rPr>
                <w:rFonts w:eastAsia="Calibri"/>
                <w:lang w:eastAsia="en-AU"/>
              </w:rPr>
            </w:pPr>
            <w:r w:rsidRPr="00EF2592">
              <w:rPr>
                <w:rFonts w:eastAsia="Calibri"/>
                <w:lang w:eastAsia="en-AU"/>
              </w:rPr>
              <w:t>($m)</w:t>
            </w:r>
          </w:p>
        </w:tc>
        <w:tc>
          <w:tcPr>
            <w:tcW w:w="679"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EF259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szCs w:val="20"/>
                <w:lang w:eastAsia="en-AU"/>
              </w:rPr>
            </w:pPr>
            <w:r w:rsidRPr="00EF2592">
              <w:rPr>
                <w:szCs w:val="20"/>
                <w:lang w:eastAsia="en-AU"/>
              </w:rPr>
              <w:t>2016–17</w:t>
            </w:r>
          </w:p>
        </w:tc>
        <w:tc>
          <w:tcPr>
            <w:tcW w:w="67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EF259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szCs w:val="20"/>
                <w:lang w:eastAsia="en-AU"/>
              </w:rPr>
            </w:pPr>
            <w:r w:rsidRPr="00EF2592">
              <w:rPr>
                <w:szCs w:val="20"/>
                <w:lang w:eastAsia="en-AU"/>
              </w:rPr>
              <w:t>2017–18</w:t>
            </w:r>
          </w:p>
        </w:tc>
        <w:tc>
          <w:tcPr>
            <w:tcW w:w="67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EF259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szCs w:val="20"/>
                <w:lang w:eastAsia="en-AU"/>
              </w:rPr>
            </w:pPr>
            <w:r w:rsidRPr="00EF2592">
              <w:rPr>
                <w:szCs w:val="20"/>
                <w:lang w:eastAsia="en-AU"/>
              </w:rPr>
              <w:t>2018–19</w:t>
            </w:r>
          </w:p>
        </w:tc>
        <w:tc>
          <w:tcPr>
            <w:tcW w:w="67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EF259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szCs w:val="20"/>
                <w:lang w:eastAsia="en-AU"/>
              </w:rPr>
            </w:pPr>
            <w:r w:rsidRPr="00EF2592">
              <w:rPr>
                <w:szCs w:val="20"/>
                <w:lang w:eastAsia="en-AU"/>
              </w:rPr>
              <w:t>2019–20</w:t>
            </w:r>
          </w:p>
        </w:tc>
        <w:tc>
          <w:tcPr>
            <w:tcW w:w="679"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EF259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b/>
                <w:szCs w:val="20"/>
                <w:lang w:eastAsia="en-AU"/>
              </w:rPr>
            </w:pPr>
            <w:r w:rsidRPr="00EF2592">
              <w:rPr>
                <w:b/>
                <w:szCs w:val="20"/>
                <w:lang w:eastAsia="en-AU"/>
              </w:rPr>
              <w:t>Total to 2019–20</w:t>
            </w:r>
          </w:p>
        </w:tc>
      </w:tr>
      <w:tr w:rsidR="000B5C96" w:rsidRPr="00EF259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EF2592" w:rsidRDefault="000B5C96" w:rsidP="003F606A">
            <w:pPr>
              <w:keepNext/>
              <w:keepLines/>
              <w:spacing w:line="260" w:lineRule="atLeast"/>
              <w:rPr>
                <w:b/>
                <w:lang w:eastAsia="en-AU"/>
              </w:rPr>
            </w:pPr>
            <w:r w:rsidRPr="00EF2592">
              <w:rPr>
                <w:b/>
                <w:lang w:eastAsia="en-AU"/>
              </w:rPr>
              <w:t>Impact on fiscal and underlying cash balances</w:t>
            </w:r>
          </w:p>
        </w:tc>
      </w:tr>
      <w:tr w:rsidR="000B5C96" w:rsidRPr="00EF2592" w:rsidTr="003F606A">
        <w:trPr>
          <w:cantSplit/>
        </w:trPr>
        <w:tc>
          <w:tcPr>
            <w:cnfStyle w:val="001000000000" w:firstRow="0" w:lastRow="0" w:firstColumn="1" w:lastColumn="0" w:oddVBand="0" w:evenVBand="0" w:oddHBand="0" w:evenHBand="0" w:firstRowFirstColumn="0" w:firstRowLastColumn="0" w:lastRowFirstColumn="0" w:lastRowLastColumn="0"/>
            <w:tcW w:w="1612" w:type="pct"/>
            <w:tcBorders>
              <w:top w:val="single" w:sz="4" w:space="0" w:color="808080"/>
              <w:left w:val="single" w:sz="4" w:space="0" w:color="808080"/>
              <w:bottom w:val="single" w:sz="4" w:space="0" w:color="808080"/>
              <w:right w:val="single" w:sz="4" w:space="0" w:color="808080"/>
            </w:tcBorders>
            <w:hideMark/>
          </w:tcPr>
          <w:p w:rsidR="000B5C96" w:rsidRPr="00EF2592" w:rsidRDefault="000B5C96" w:rsidP="003F606A">
            <w:pPr>
              <w:keepNext/>
              <w:keepLines/>
              <w:rPr>
                <w:rFonts w:eastAsia="Calibri"/>
                <w:lang w:eastAsia="en-AU"/>
              </w:rPr>
            </w:pPr>
            <w:r w:rsidRPr="00EF2592">
              <w:rPr>
                <w:rFonts w:eastAsia="Calibri"/>
                <w:lang w:eastAsia="en-AU"/>
              </w:rPr>
              <w:t>Administered</w:t>
            </w:r>
          </w:p>
        </w:tc>
        <w:tc>
          <w:tcPr>
            <w:tcW w:w="679" w:type="pct"/>
            <w:tcBorders>
              <w:top w:val="single" w:sz="4" w:space="0" w:color="808080"/>
              <w:left w:val="single" w:sz="4" w:space="0" w:color="808080"/>
              <w:bottom w:val="single" w:sz="4" w:space="0" w:color="808080"/>
              <w:right w:val="single" w:sz="4" w:space="0" w:color="808080"/>
            </w:tcBorders>
            <w:hideMark/>
          </w:tcPr>
          <w:p w:rsidR="000B5C96" w:rsidRPr="00EF2592" w:rsidRDefault="000B5C96" w:rsidP="003F606A">
            <w:pPr>
              <w:spacing w:line="260" w:lineRule="atLeast"/>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EF2592">
              <w:rPr>
                <w:rFonts w:eastAsia="Calibri"/>
                <w:i/>
                <w:lang w:eastAsia="en-AU"/>
              </w:rPr>
              <w:t>-5.0</w:t>
            </w:r>
          </w:p>
        </w:tc>
        <w:tc>
          <w:tcPr>
            <w:tcW w:w="677" w:type="pct"/>
            <w:tcBorders>
              <w:top w:val="single" w:sz="4" w:space="0" w:color="808080"/>
              <w:left w:val="single" w:sz="4" w:space="0" w:color="808080"/>
              <w:bottom w:val="single" w:sz="4" w:space="0" w:color="808080"/>
              <w:right w:val="single" w:sz="4" w:space="0" w:color="808080"/>
            </w:tcBorders>
            <w:hideMark/>
          </w:tcPr>
          <w:p w:rsidR="000B5C96" w:rsidRPr="00EF2592" w:rsidRDefault="000B5C96" w:rsidP="003F606A">
            <w:pPr>
              <w:spacing w:line="260" w:lineRule="atLeast"/>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EF2592">
              <w:rPr>
                <w:rFonts w:eastAsia="Calibri"/>
                <w:i/>
                <w:lang w:eastAsia="en-AU"/>
              </w:rPr>
              <w:t>-5.0</w:t>
            </w:r>
          </w:p>
        </w:tc>
        <w:tc>
          <w:tcPr>
            <w:tcW w:w="677" w:type="pct"/>
            <w:tcBorders>
              <w:top w:val="single" w:sz="4" w:space="0" w:color="808080"/>
              <w:left w:val="single" w:sz="4" w:space="0" w:color="808080"/>
              <w:bottom w:val="single" w:sz="4" w:space="0" w:color="808080"/>
              <w:right w:val="single" w:sz="4" w:space="0" w:color="808080"/>
            </w:tcBorders>
            <w:hideMark/>
          </w:tcPr>
          <w:p w:rsidR="000B5C96" w:rsidRPr="00EF2592" w:rsidRDefault="000B5C96" w:rsidP="003F606A">
            <w:pPr>
              <w:spacing w:line="260" w:lineRule="atLeast"/>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EF2592">
              <w:rPr>
                <w:rFonts w:eastAsia="Calibri"/>
                <w:i/>
                <w:lang w:eastAsia="en-AU"/>
              </w:rPr>
              <w:t>-5.0</w:t>
            </w:r>
          </w:p>
        </w:tc>
        <w:tc>
          <w:tcPr>
            <w:tcW w:w="677" w:type="pct"/>
            <w:tcBorders>
              <w:top w:val="single" w:sz="4" w:space="0" w:color="808080"/>
              <w:left w:val="single" w:sz="4" w:space="0" w:color="808080"/>
              <w:bottom w:val="single" w:sz="4" w:space="0" w:color="808080"/>
              <w:right w:val="single" w:sz="4" w:space="0" w:color="808080"/>
            </w:tcBorders>
            <w:hideMark/>
          </w:tcPr>
          <w:p w:rsidR="000B5C96" w:rsidRPr="00EF2592" w:rsidRDefault="000B5C96" w:rsidP="003F606A">
            <w:pPr>
              <w:spacing w:line="260" w:lineRule="atLeast"/>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EF2592">
              <w:rPr>
                <w:rFonts w:eastAsia="Calibri"/>
                <w:i/>
                <w:lang w:eastAsia="en-AU"/>
              </w:rPr>
              <w:t>-2.5</w:t>
            </w:r>
          </w:p>
        </w:tc>
        <w:tc>
          <w:tcPr>
            <w:tcW w:w="679" w:type="pct"/>
            <w:tcBorders>
              <w:top w:val="single" w:sz="4" w:space="0" w:color="808080"/>
              <w:left w:val="single" w:sz="4" w:space="0" w:color="808080"/>
              <w:bottom w:val="single" w:sz="4" w:space="0" w:color="808080"/>
              <w:right w:val="single" w:sz="4" w:space="0" w:color="808080"/>
            </w:tcBorders>
            <w:hideMark/>
          </w:tcPr>
          <w:p w:rsidR="000B5C96" w:rsidRPr="00EF2592" w:rsidRDefault="000B5C96" w:rsidP="003F606A">
            <w:pPr>
              <w:spacing w:line="260" w:lineRule="atLeast"/>
              <w:jc w:val="right"/>
              <w:cnfStyle w:val="000000000000" w:firstRow="0" w:lastRow="0" w:firstColumn="0" w:lastColumn="0" w:oddVBand="0" w:evenVBand="0" w:oddHBand="0" w:evenHBand="0" w:firstRowFirstColumn="0" w:firstRowLastColumn="0" w:lastRowFirstColumn="0" w:lastRowLastColumn="0"/>
              <w:rPr>
                <w:rFonts w:eastAsia="Calibri"/>
                <w:b/>
                <w:i/>
                <w:lang w:eastAsia="en-AU"/>
              </w:rPr>
            </w:pPr>
            <w:r w:rsidRPr="00EF2592">
              <w:rPr>
                <w:rFonts w:eastAsia="Calibri"/>
                <w:b/>
                <w:i/>
                <w:lang w:eastAsia="en-AU"/>
              </w:rPr>
              <w:t>-17.5</w:t>
            </w:r>
          </w:p>
        </w:tc>
      </w:tr>
      <w:tr w:rsidR="000B5C96" w:rsidRPr="00EF2592" w:rsidTr="003F606A">
        <w:trPr>
          <w:cantSplit/>
        </w:trPr>
        <w:tc>
          <w:tcPr>
            <w:cnfStyle w:val="001000000000" w:firstRow="0" w:lastRow="0" w:firstColumn="1" w:lastColumn="0" w:oddVBand="0" w:evenVBand="0" w:oddHBand="0" w:evenHBand="0" w:firstRowFirstColumn="0" w:firstRowLastColumn="0" w:lastRowFirstColumn="0" w:lastRowLastColumn="0"/>
            <w:tcW w:w="1612"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Pr="00EF2592" w:rsidRDefault="000B5C96" w:rsidP="003F606A">
            <w:pPr>
              <w:keepNext/>
              <w:keepLines/>
              <w:rPr>
                <w:rFonts w:eastAsia="Calibri"/>
                <w:b/>
                <w:lang w:eastAsia="en-AU"/>
              </w:rPr>
            </w:pPr>
            <w:r w:rsidRPr="00EF2592">
              <w:rPr>
                <w:rFonts w:eastAsia="Calibri"/>
                <w:b/>
                <w:lang w:eastAsia="en-AU"/>
              </w:rPr>
              <w:t>Total</w:t>
            </w:r>
          </w:p>
        </w:tc>
        <w:tc>
          <w:tcPr>
            <w:tcW w:w="679"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Pr="00EF2592" w:rsidRDefault="000B5C96" w:rsidP="003F606A">
            <w:pPr>
              <w:spacing w:line="260" w:lineRule="atLeast"/>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EF2592">
              <w:rPr>
                <w:rFonts w:eastAsia="Calibri"/>
                <w:b/>
                <w:lang w:eastAsia="en-AU"/>
              </w:rPr>
              <w:t>-5.0</w:t>
            </w:r>
          </w:p>
        </w:tc>
        <w:tc>
          <w:tcPr>
            <w:tcW w:w="677"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Pr="00EF2592" w:rsidRDefault="000B5C96" w:rsidP="003F606A">
            <w:pPr>
              <w:spacing w:line="260" w:lineRule="atLeast"/>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EF2592">
              <w:rPr>
                <w:rFonts w:eastAsia="Calibri"/>
                <w:b/>
                <w:lang w:eastAsia="en-AU"/>
              </w:rPr>
              <w:t>-5.0</w:t>
            </w:r>
          </w:p>
        </w:tc>
        <w:tc>
          <w:tcPr>
            <w:tcW w:w="677"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Pr="00EF2592" w:rsidRDefault="000B5C96" w:rsidP="003F606A">
            <w:pPr>
              <w:spacing w:line="260" w:lineRule="atLeast"/>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EF2592">
              <w:rPr>
                <w:rFonts w:eastAsia="Calibri"/>
                <w:b/>
                <w:lang w:eastAsia="en-AU"/>
              </w:rPr>
              <w:t>-5.0</w:t>
            </w:r>
          </w:p>
        </w:tc>
        <w:tc>
          <w:tcPr>
            <w:tcW w:w="677"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Pr="00EF2592" w:rsidRDefault="000B5C96" w:rsidP="003F606A">
            <w:pPr>
              <w:spacing w:line="260" w:lineRule="atLeast"/>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EF2592">
              <w:rPr>
                <w:rFonts w:eastAsia="Calibri"/>
                <w:b/>
                <w:lang w:eastAsia="en-AU"/>
              </w:rPr>
              <w:t>-2.5</w:t>
            </w:r>
          </w:p>
        </w:tc>
        <w:tc>
          <w:tcPr>
            <w:tcW w:w="679" w:type="pct"/>
            <w:tcBorders>
              <w:top w:val="single" w:sz="4" w:space="0" w:color="808080"/>
              <w:left w:val="single" w:sz="4" w:space="0" w:color="808080"/>
              <w:bottom w:val="single" w:sz="4" w:space="0" w:color="808080"/>
              <w:right w:val="single" w:sz="4" w:space="0" w:color="808080"/>
            </w:tcBorders>
            <w:shd w:val="clear" w:color="auto" w:fill="E9ECF3"/>
            <w:hideMark/>
          </w:tcPr>
          <w:p w:rsidR="000B5C96" w:rsidRPr="00EF2592" w:rsidRDefault="000B5C96" w:rsidP="003F606A">
            <w:pPr>
              <w:spacing w:line="260" w:lineRule="atLeast"/>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EF2592">
              <w:rPr>
                <w:rFonts w:eastAsia="Calibri"/>
                <w:b/>
                <w:lang w:eastAsia="en-AU"/>
              </w:rPr>
              <w:t>-17.5</w:t>
            </w:r>
          </w:p>
        </w:tc>
      </w:tr>
    </w:tbl>
    <w:p w:rsidR="000B5C96" w:rsidRDefault="000B5C96" w:rsidP="00E921F4">
      <w:pPr>
        <w:pStyle w:val="Footnotes"/>
        <w:numPr>
          <w:ilvl w:val="0"/>
          <w:numId w:val="260"/>
        </w:numPr>
        <w:ind w:left="284" w:hanging="284"/>
      </w:pPr>
      <w:r w:rsidRPr="00BF41FF">
        <w:t>A negative number indicates a decrease in revenue or an increase in expenses or net capital investment in accrual and cash terms</w:t>
      </w:r>
      <w:r w:rsidRPr="008516C0">
        <w:t>.</w:t>
      </w:r>
    </w:p>
    <w:p w:rsidR="000B5C96" w:rsidRDefault="000B5C96" w:rsidP="00E921F4">
      <w:pPr>
        <w:pStyle w:val="Footnotes"/>
        <w:numPr>
          <w:ilvl w:val="0"/>
          <w:numId w:val="7"/>
        </w:numPr>
        <w:ind w:left="284" w:hanging="284"/>
      </w:pPr>
      <w:r w:rsidRPr="008516C0">
        <w:t>Figures may not sum to total due to rounding.</w:t>
      </w:r>
    </w:p>
    <w:p w:rsidR="000B5C96" w:rsidRPr="00E06199" w:rsidRDefault="000B5C96" w:rsidP="00E921F4">
      <w:pPr>
        <w:pStyle w:val="Footnotes"/>
        <w:numPr>
          <w:ilvl w:val="0"/>
          <w:numId w:val="128"/>
        </w:numPr>
        <w:ind w:left="284" w:hanging="284"/>
        <w:rPr>
          <w:rFonts w:ascii="Calibri" w:eastAsia="Calibri" w:hAnsi="Calibri" w:cs="Times New Roman"/>
        </w:rPr>
        <w:sectPr w:rsidR="000B5C96" w:rsidRPr="00E06199" w:rsidSect="003F606A">
          <w:headerReference w:type="even" r:id="rId538"/>
          <w:headerReference w:type="default" r:id="rId539"/>
          <w:footerReference w:type="even" r:id="rId540"/>
          <w:footerReference w:type="default" r:id="rId541"/>
          <w:pgSz w:w="16839" w:h="11907" w:orient="landscape" w:code="9"/>
          <w:pgMar w:top="1797" w:right="1361" w:bottom="1797" w:left="1474" w:header="283" w:footer="454" w:gutter="0"/>
          <w:cols w:space="708"/>
          <w:docGrid w:linePitch="360"/>
        </w:sectPr>
      </w:pPr>
    </w:p>
    <w:p w:rsidR="000B5C96" w:rsidRDefault="000B5C96" w:rsidP="003F606A">
      <w:pPr>
        <w:pStyle w:val="Heading5"/>
      </w:pPr>
      <w:bookmarkStart w:id="183" w:name="_Toc458001971"/>
      <w:bookmarkStart w:id="184" w:name="_Toc458069456"/>
      <w:r>
        <w:t>GRN062: The Energy Storage Revolution</w:t>
      </w:r>
      <w:bookmarkEnd w:id="183"/>
      <w:bookmarkEnd w:id="184"/>
    </w:p>
    <w:p w:rsidR="000B5C96" w:rsidRDefault="000B5C96" w:rsidP="003F606A">
      <w:pPr>
        <w:pStyle w:val="BodyText"/>
      </w:pPr>
      <w:r>
        <w:rPr>
          <w:noProof/>
          <w:lang w:eastAsia="en-AU"/>
        </w:rPr>
        <w:drawing>
          <wp:inline distT="0" distB="0" distL="0" distR="0" wp14:anchorId="4A7DF1DE" wp14:editId="5CB4C184">
            <wp:extent cx="2696845" cy="572135"/>
            <wp:effectExtent l="0" t="0" r="8255" b="0"/>
            <wp:docPr id="475" name="Picture 47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4D66F3" w:rsidRDefault="000B5C96" w:rsidP="000B5C96">
      <w:pPr>
        <w:pStyle w:val="Heading6"/>
        <w:numPr>
          <w:ilvl w:val="0"/>
          <w:numId w:val="5"/>
        </w:numPr>
        <w:tabs>
          <w:tab w:val="right" w:pos="1418"/>
          <w:tab w:val="right" w:pos="1701"/>
          <w:tab w:val="right" w:pos="1985"/>
        </w:tabs>
      </w:pPr>
      <w:r w:rsidRPr="004D66F3">
        <w:t>Policy costing—during the caretaker period for the 2016 general election</w:t>
      </w:r>
    </w:p>
    <w:tbl>
      <w:tblPr>
        <w:tblStyle w:val="Style15"/>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val="0"/>
              </w:rPr>
            </w:pPr>
            <w:r w:rsidRPr="00EA7F7A">
              <w:t>Name of proposal:</w:t>
            </w:r>
          </w:p>
        </w:tc>
        <w:tc>
          <w:tcPr>
            <w:tcW w:w="5335" w:type="dxa"/>
          </w:tcPr>
          <w:p w:rsidR="000B5C96" w:rsidRPr="00EA7F7A" w:rsidRDefault="000B5C96" w:rsidP="003F606A">
            <w:pPr>
              <w:pStyle w:val="PullOutBoxHeading"/>
              <w:rPr>
                <w:b w:val="0"/>
              </w:rPr>
            </w:pPr>
            <w:r w:rsidRPr="00EA7F7A">
              <w:t>Energy Storage Revolution</w:t>
            </w:r>
          </w:p>
        </w:tc>
      </w:tr>
      <w:tr w:rsidR="000B5C96" w:rsidRPr="004D66F3" w:rsidTr="003F606A">
        <w:tc>
          <w:tcPr>
            <w:tcW w:w="3005" w:type="dxa"/>
          </w:tcPr>
          <w:p w:rsidR="000B5C96" w:rsidRPr="004D66F3" w:rsidRDefault="000B5C96" w:rsidP="003F606A">
            <w:pPr>
              <w:pStyle w:val="PullOutBoxBodyText"/>
            </w:pPr>
            <w:r w:rsidRPr="004D66F3">
              <w:t>Summary of proposal:</w:t>
            </w:r>
          </w:p>
        </w:tc>
        <w:tc>
          <w:tcPr>
            <w:tcW w:w="5335" w:type="dxa"/>
          </w:tcPr>
          <w:p w:rsidR="000B5C96" w:rsidRPr="004D66F3" w:rsidRDefault="000B5C96" w:rsidP="003F606A">
            <w:pPr>
              <w:pStyle w:val="PullOutBoxBodyText"/>
            </w:pPr>
            <w:r w:rsidRPr="004D66F3">
              <w:t>The proposal has four components.</w:t>
            </w:r>
          </w:p>
          <w:p w:rsidR="000B5C96" w:rsidRPr="004D66F3" w:rsidRDefault="000B5C96" w:rsidP="003F606A">
            <w:pPr>
              <w:pStyle w:val="PullOutBoxBodyText"/>
              <w:rPr>
                <w:u w:val="single"/>
              </w:rPr>
            </w:pPr>
            <w:r w:rsidRPr="004D66F3">
              <w:rPr>
                <w:u w:val="single"/>
              </w:rPr>
              <w:t>Component 1: Refundable tax credit</w:t>
            </w:r>
          </w:p>
          <w:p w:rsidR="000B5C96" w:rsidRPr="004D66F3" w:rsidRDefault="000B5C96" w:rsidP="000B5C96">
            <w:pPr>
              <w:pStyle w:val="PullOutBoxBullet"/>
              <w:numPr>
                <w:ilvl w:val="0"/>
                <w:numId w:val="2"/>
              </w:numPr>
              <w:ind w:left="397"/>
              <w:rPr>
                <w:lang w:eastAsia="en-AU"/>
              </w:rPr>
            </w:pPr>
            <w:r w:rsidRPr="004D66F3">
              <w:rPr>
                <w:lang w:eastAsia="en-AU"/>
              </w:rPr>
              <w:t>This component would introduce a 50 per cent refundable tax credit for individuals to assist with the cost of household solar energy storage systems.</w:t>
            </w:r>
          </w:p>
          <w:p w:rsidR="000B5C96" w:rsidRPr="004D66F3" w:rsidRDefault="000B5C96" w:rsidP="000B5C96">
            <w:pPr>
              <w:pStyle w:val="PullOutBoxBullet2"/>
              <w:numPr>
                <w:ilvl w:val="1"/>
                <w:numId w:val="2"/>
              </w:numPr>
              <w:ind w:left="737"/>
              <w:rPr>
                <w:lang w:eastAsia="en-AU"/>
              </w:rPr>
            </w:pPr>
            <w:r w:rsidRPr="004D66F3">
              <w:rPr>
                <w:lang w:eastAsia="en-AU"/>
              </w:rPr>
              <w:t>The credit would apply regardless of income and would be capped at $5,000 in the 2016</w:t>
            </w:r>
            <w:r w:rsidRPr="004D66F3">
              <w:rPr>
                <w:lang w:eastAsia="en-AU"/>
              </w:rPr>
              <w:noBreakHyphen/>
              <w:t>17 financial year, declining to $1,000 from 1 July 2020.</w:t>
            </w:r>
          </w:p>
          <w:p w:rsidR="000B5C96" w:rsidRPr="004D66F3" w:rsidRDefault="000B5C96" w:rsidP="000B5C96">
            <w:pPr>
              <w:pStyle w:val="PullOutBoxBullet2"/>
              <w:numPr>
                <w:ilvl w:val="1"/>
                <w:numId w:val="2"/>
              </w:numPr>
              <w:ind w:left="737"/>
              <w:rPr>
                <w:lang w:eastAsia="en-AU"/>
              </w:rPr>
            </w:pPr>
            <w:r w:rsidRPr="004D66F3">
              <w:rPr>
                <w:lang w:eastAsia="en-AU"/>
              </w:rPr>
              <w:t>A separate mechanism would be available so that those who do not lodge a tax return could claim the tax credit.</w:t>
            </w:r>
          </w:p>
          <w:p w:rsidR="000B5C96" w:rsidRPr="00DE7135" w:rsidRDefault="000B5C96" w:rsidP="003F606A">
            <w:pPr>
              <w:pStyle w:val="PullOutBoxBodyText"/>
              <w:rPr>
                <w:u w:val="single"/>
              </w:rPr>
            </w:pPr>
            <w:r w:rsidRPr="00DE7135">
              <w:rPr>
                <w:u w:val="single"/>
              </w:rPr>
              <w:t>Component 2: Low Income Solar Storage (LISS) grants</w:t>
            </w:r>
          </w:p>
          <w:p w:rsidR="000B5C96" w:rsidRPr="004D66F3" w:rsidRDefault="000B5C96" w:rsidP="000B5C96">
            <w:pPr>
              <w:pStyle w:val="PullOutBoxBullet"/>
              <w:numPr>
                <w:ilvl w:val="0"/>
                <w:numId w:val="2"/>
              </w:numPr>
              <w:ind w:left="397"/>
              <w:rPr>
                <w:lang w:eastAsia="en-AU"/>
              </w:rPr>
            </w:pPr>
            <w:r w:rsidRPr="004D66F3">
              <w:rPr>
                <w:lang w:eastAsia="en-AU"/>
              </w:rPr>
              <w:t>This component would introduce a Low Income Solar Storage (LISS) grant to be administered by the Clean Energy Regulator (CER).</w:t>
            </w:r>
          </w:p>
          <w:p w:rsidR="000B5C96" w:rsidRPr="004D66F3" w:rsidRDefault="000B5C96" w:rsidP="000B5C96">
            <w:pPr>
              <w:pStyle w:val="PullOutBoxBullet2"/>
              <w:numPr>
                <w:ilvl w:val="1"/>
                <w:numId w:val="2"/>
              </w:numPr>
              <w:ind w:left="737"/>
              <w:rPr>
                <w:lang w:eastAsia="en-AU"/>
              </w:rPr>
            </w:pPr>
            <w:r w:rsidRPr="004D66F3">
              <w:rPr>
                <w:lang w:eastAsia="en-AU"/>
              </w:rPr>
              <w:t>The LISS grant would be available in addition to the refundable tax credit for households with adjusted taxa</w:t>
            </w:r>
            <w:r>
              <w:rPr>
                <w:lang w:eastAsia="en-AU"/>
              </w:rPr>
              <w:t>ble income of less than $80,000 </w:t>
            </w:r>
            <w:r w:rsidRPr="004D66F3">
              <w:rPr>
                <w:lang w:eastAsia="en-AU"/>
              </w:rPr>
              <w:t>per year.</w:t>
            </w:r>
          </w:p>
          <w:p w:rsidR="000B5C96" w:rsidRPr="004D66F3" w:rsidRDefault="000B5C96" w:rsidP="000B5C96">
            <w:pPr>
              <w:pStyle w:val="PullOutBoxBullet2"/>
              <w:numPr>
                <w:ilvl w:val="1"/>
                <w:numId w:val="2"/>
              </w:numPr>
              <w:ind w:left="737"/>
              <w:rPr>
                <w:lang w:eastAsia="en-AU"/>
              </w:rPr>
            </w:pPr>
            <w:r w:rsidRPr="004D66F3">
              <w:rPr>
                <w:lang w:eastAsia="en-AU"/>
              </w:rPr>
              <w:t>In the 2016</w:t>
            </w:r>
            <w:r w:rsidRPr="004D66F3">
              <w:rPr>
                <w:lang w:eastAsia="en-AU"/>
              </w:rPr>
              <w:noBreakHyphen/>
              <w:t>17 financial year, the LISS grant would be capped at $5,000 or half of the total cost of the system, whichever is lower.</w:t>
            </w:r>
          </w:p>
          <w:p w:rsidR="000B5C96" w:rsidRPr="004D66F3" w:rsidRDefault="000B5C96" w:rsidP="000B5C96">
            <w:pPr>
              <w:pStyle w:val="PullOutBoxBullet2"/>
              <w:numPr>
                <w:ilvl w:val="1"/>
                <w:numId w:val="2"/>
              </w:numPr>
              <w:ind w:left="737"/>
              <w:rPr>
                <w:lang w:eastAsia="en-AU"/>
              </w:rPr>
            </w:pPr>
            <w:r w:rsidRPr="004D66F3">
              <w:rPr>
                <w:lang w:eastAsia="en-AU"/>
              </w:rPr>
              <w:t>This would gradually decline to be $1,000 from 1 July 2020.  The number of LISS grants would be capped at 20,000 per year.</w:t>
            </w:r>
          </w:p>
          <w:p w:rsidR="000B5C96" w:rsidRPr="00DE7135" w:rsidRDefault="000B5C96" w:rsidP="003F606A">
            <w:pPr>
              <w:pStyle w:val="PullOutBoxBodyText"/>
              <w:rPr>
                <w:u w:val="single"/>
              </w:rPr>
            </w:pPr>
            <w:r w:rsidRPr="00DE7135">
              <w:rPr>
                <w:u w:val="single"/>
              </w:rPr>
              <w:t>Component 3: Review by the CER</w:t>
            </w:r>
          </w:p>
          <w:p w:rsidR="000B5C96" w:rsidRPr="004D66F3" w:rsidRDefault="000B5C96" w:rsidP="000B5C96">
            <w:pPr>
              <w:pStyle w:val="PullOutBoxBullet"/>
              <w:numPr>
                <w:ilvl w:val="0"/>
                <w:numId w:val="2"/>
              </w:numPr>
              <w:spacing w:after="840"/>
              <w:ind w:left="397"/>
              <w:rPr>
                <w:lang w:eastAsia="en-AU"/>
              </w:rPr>
            </w:pPr>
            <w:r w:rsidRPr="004D66F3">
              <w:rPr>
                <w:lang w:eastAsia="en-AU"/>
              </w:rPr>
              <w:t>This component would fund CER to review the operation of the tax credit and LISS grand scheme and advise Parliament as to whether the scheme should continue in some form beyond 2020.</w:t>
            </w:r>
          </w:p>
          <w:p w:rsidR="000B5C96" w:rsidRPr="00DE7135" w:rsidRDefault="000B5C96" w:rsidP="003F606A">
            <w:pPr>
              <w:pStyle w:val="PullOutBoxBodyText"/>
              <w:rPr>
                <w:u w:val="single"/>
              </w:rPr>
            </w:pPr>
            <w:r w:rsidRPr="00DE7135">
              <w:rPr>
                <w:u w:val="single"/>
              </w:rPr>
              <w:t>Component 4: Business battery storage depreciation</w:t>
            </w:r>
          </w:p>
          <w:p w:rsidR="000B5C96" w:rsidRPr="00E0779C" w:rsidRDefault="000B5C96" w:rsidP="000B5C96">
            <w:pPr>
              <w:pStyle w:val="PullOutBoxBullet"/>
              <w:numPr>
                <w:ilvl w:val="0"/>
                <w:numId w:val="2"/>
              </w:numPr>
              <w:ind w:left="397"/>
              <w:rPr>
                <w:lang w:eastAsia="en-AU"/>
              </w:rPr>
            </w:pPr>
            <w:r w:rsidRPr="00E0779C">
              <w:rPr>
                <w:lang w:eastAsia="en-AU"/>
              </w:rPr>
              <w:t>This component would decrease the period over which the cost of installing battery storage systems at business premises is depreciated from 15 to three years.</w:t>
            </w:r>
          </w:p>
          <w:p w:rsidR="000B5C96" w:rsidRPr="004D66F3" w:rsidRDefault="000B5C96" w:rsidP="003F606A">
            <w:pPr>
              <w:pStyle w:val="PullOutBoxBodyText"/>
            </w:pPr>
            <w:r w:rsidRPr="004D66F3">
              <w:t>The following table provides the proposed maximum refundable tax credit and LISS grant amounts in each year under the proposal:</w:t>
            </w:r>
          </w:p>
          <w:tbl>
            <w:tblPr>
              <w:tblStyle w:val="TableGrid38"/>
              <w:tblW w:w="0" w:type="auto"/>
              <w:tblLook w:val="04A0" w:firstRow="1" w:lastRow="0" w:firstColumn="1" w:lastColumn="0" w:noHBand="0" w:noVBand="1"/>
            </w:tblPr>
            <w:tblGrid>
              <w:gridCol w:w="850"/>
              <w:gridCol w:w="850"/>
              <w:gridCol w:w="851"/>
              <w:gridCol w:w="851"/>
              <w:gridCol w:w="851"/>
              <w:gridCol w:w="851"/>
            </w:tblGrid>
            <w:tr w:rsidR="000B5C96" w:rsidRPr="004D66F3"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 w:type="dxa"/>
                </w:tcPr>
                <w:p w:rsidR="000B5C96" w:rsidRPr="004D66F3" w:rsidRDefault="000B5C96" w:rsidP="003F606A">
                  <w:pPr>
                    <w:spacing w:before="120" w:after="120"/>
                    <w:rPr>
                      <w:rFonts w:asciiTheme="minorHAnsi" w:hAnsiTheme="minorHAnsi"/>
                      <w:sz w:val="18"/>
                      <w:szCs w:val="18"/>
                    </w:rPr>
                  </w:pPr>
                </w:p>
              </w:tc>
              <w:tc>
                <w:tcPr>
                  <w:tcW w:w="850" w:type="dxa"/>
                </w:tcPr>
                <w:p w:rsidR="000B5C96" w:rsidRPr="004D66F3" w:rsidRDefault="000B5C96" w:rsidP="003F606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D66F3">
                    <w:rPr>
                      <w:rFonts w:asciiTheme="minorHAnsi" w:hAnsiTheme="minorHAnsi"/>
                      <w:sz w:val="18"/>
                      <w:szCs w:val="18"/>
                    </w:rPr>
                    <w:t>2016-17</w:t>
                  </w:r>
                </w:p>
              </w:tc>
              <w:tc>
                <w:tcPr>
                  <w:tcW w:w="851" w:type="dxa"/>
                </w:tcPr>
                <w:p w:rsidR="000B5C96" w:rsidRPr="004D66F3" w:rsidRDefault="000B5C96" w:rsidP="003F606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D66F3">
                    <w:rPr>
                      <w:rFonts w:asciiTheme="minorHAnsi" w:hAnsiTheme="minorHAnsi"/>
                      <w:sz w:val="18"/>
                      <w:szCs w:val="18"/>
                    </w:rPr>
                    <w:t>2017-18</w:t>
                  </w:r>
                </w:p>
              </w:tc>
              <w:tc>
                <w:tcPr>
                  <w:tcW w:w="851" w:type="dxa"/>
                </w:tcPr>
                <w:p w:rsidR="000B5C96" w:rsidRPr="004D66F3" w:rsidRDefault="000B5C96" w:rsidP="003F606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D66F3">
                    <w:rPr>
                      <w:rFonts w:asciiTheme="minorHAnsi" w:hAnsiTheme="minorHAnsi"/>
                      <w:sz w:val="18"/>
                      <w:szCs w:val="18"/>
                    </w:rPr>
                    <w:t>2018-19</w:t>
                  </w:r>
                </w:p>
              </w:tc>
              <w:tc>
                <w:tcPr>
                  <w:tcW w:w="851" w:type="dxa"/>
                </w:tcPr>
                <w:p w:rsidR="000B5C96" w:rsidRPr="004D66F3" w:rsidRDefault="000B5C96" w:rsidP="003F606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D66F3">
                    <w:rPr>
                      <w:rFonts w:asciiTheme="minorHAnsi" w:hAnsiTheme="minorHAnsi"/>
                      <w:sz w:val="18"/>
                      <w:szCs w:val="18"/>
                    </w:rPr>
                    <w:t>2019-20</w:t>
                  </w:r>
                </w:p>
              </w:tc>
              <w:tc>
                <w:tcPr>
                  <w:tcW w:w="851" w:type="dxa"/>
                </w:tcPr>
                <w:p w:rsidR="000B5C96" w:rsidRPr="004D66F3" w:rsidRDefault="000B5C96" w:rsidP="003F606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D66F3">
                    <w:rPr>
                      <w:rFonts w:asciiTheme="minorHAnsi" w:hAnsiTheme="minorHAnsi"/>
                      <w:sz w:val="18"/>
                      <w:szCs w:val="18"/>
                    </w:rPr>
                    <w:t>2020-21</w:t>
                  </w:r>
                </w:p>
              </w:tc>
            </w:tr>
            <w:tr w:rsidR="000B5C96" w:rsidRPr="004D66F3"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0B5C96" w:rsidRPr="004D66F3" w:rsidRDefault="000B5C96" w:rsidP="003F606A">
                  <w:pPr>
                    <w:spacing w:before="120" w:after="120"/>
                    <w:rPr>
                      <w:rFonts w:asciiTheme="minorHAnsi" w:hAnsiTheme="minorHAnsi"/>
                      <w:sz w:val="18"/>
                      <w:szCs w:val="18"/>
                    </w:rPr>
                  </w:pPr>
                  <w:r w:rsidRPr="004D66F3">
                    <w:rPr>
                      <w:rFonts w:asciiTheme="minorHAnsi" w:hAnsiTheme="minorHAnsi"/>
                      <w:sz w:val="18"/>
                      <w:szCs w:val="18"/>
                    </w:rPr>
                    <w:t>Tax credit</w:t>
                  </w:r>
                </w:p>
              </w:tc>
              <w:tc>
                <w:tcPr>
                  <w:tcW w:w="850" w:type="dxa"/>
                </w:tcPr>
                <w:p w:rsidR="000B5C96" w:rsidRPr="004D66F3" w:rsidRDefault="000B5C96" w:rsidP="003F606A">
                  <w:pPr>
                    <w:spacing w:before="120"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4D66F3">
                    <w:rPr>
                      <w:sz w:val="18"/>
                      <w:szCs w:val="18"/>
                    </w:rPr>
                    <w:t>$5,000</w:t>
                  </w:r>
                </w:p>
              </w:tc>
              <w:tc>
                <w:tcPr>
                  <w:tcW w:w="851" w:type="dxa"/>
                </w:tcPr>
                <w:p w:rsidR="000B5C96" w:rsidRPr="004D66F3" w:rsidRDefault="000B5C96" w:rsidP="003F606A">
                  <w:pPr>
                    <w:spacing w:before="120"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4D66F3">
                    <w:rPr>
                      <w:sz w:val="18"/>
                      <w:szCs w:val="18"/>
                    </w:rPr>
                    <w:t>$4,000</w:t>
                  </w:r>
                </w:p>
              </w:tc>
              <w:tc>
                <w:tcPr>
                  <w:tcW w:w="851" w:type="dxa"/>
                </w:tcPr>
                <w:p w:rsidR="000B5C96" w:rsidRPr="004D66F3" w:rsidRDefault="000B5C96" w:rsidP="003F606A">
                  <w:pPr>
                    <w:spacing w:before="120"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4D66F3">
                    <w:rPr>
                      <w:sz w:val="18"/>
                      <w:szCs w:val="18"/>
                    </w:rPr>
                    <w:t>$3,000</w:t>
                  </w:r>
                </w:p>
              </w:tc>
              <w:tc>
                <w:tcPr>
                  <w:tcW w:w="851" w:type="dxa"/>
                </w:tcPr>
                <w:p w:rsidR="000B5C96" w:rsidRPr="004D66F3" w:rsidRDefault="000B5C96" w:rsidP="003F606A">
                  <w:pPr>
                    <w:spacing w:before="120"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4D66F3">
                    <w:rPr>
                      <w:sz w:val="18"/>
                      <w:szCs w:val="18"/>
                    </w:rPr>
                    <w:t>$2,000</w:t>
                  </w:r>
                </w:p>
              </w:tc>
              <w:tc>
                <w:tcPr>
                  <w:tcW w:w="851" w:type="dxa"/>
                </w:tcPr>
                <w:p w:rsidR="000B5C96" w:rsidRPr="004D66F3" w:rsidRDefault="000B5C96" w:rsidP="003F606A">
                  <w:pPr>
                    <w:spacing w:before="120" w:after="120"/>
                    <w:jc w:val="right"/>
                    <w:cnfStyle w:val="000000100000" w:firstRow="0" w:lastRow="0" w:firstColumn="0" w:lastColumn="0" w:oddVBand="0" w:evenVBand="0" w:oddHBand="1" w:evenHBand="0" w:firstRowFirstColumn="0" w:firstRowLastColumn="0" w:lastRowFirstColumn="0" w:lastRowLastColumn="0"/>
                    <w:rPr>
                      <w:sz w:val="18"/>
                      <w:szCs w:val="18"/>
                    </w:rPr>
                  </w:pPr>
                  <w:r w:rsidRPr="004D66F3">
                    <w:rPr>
                      <w:sz w:val="18"/>
                      <w:szCs w:val="18"/>
                    </w:rPr>
                    <w:t>$1,000</w:t>
                  </w:r>
                </w:p>
              </w:tc>
            </w:tr>
            <w:tr w:rsidR="000B5C96" w:rsidRPr="004D66F3" w:rsidTr="003F606A">
              <w:tc>
                <w:tcPr>
                  <w:cnfStyle w:val="001000000000" w:firstRow="0" w:lastRow="0" w:firstColumn="1" w:lastColumn="0" w:oddVBand="0" w:evenVBand="0" w:oddHBand="0" w:evenHBand="0" w:firstRowFirstColumn="0" w:firstRowLastColumn="0" w:lastRowFirstColumn="0" w:lastRowLastColumn="0"/>
                  <w:tcW w:w="850" w:type="dxa"/>
                </w:tcPr>
                <w:p w:rsidR="000B5C96" w:rsidRPr="004D66F3" w:rsidRDefault="000B5C96" w:rsidP="003F606A">
                  <w:pPr>
                    <w:spacing w:before="120" w:after="120"/>
                    <w:rPr>
                      <w:rFonts w:asciiTheme="minorHAnsi" w:hAnsiTheme="minorHAnsi"/>
                      <w:sz w:val="18"/>
                      <w:szCs w:val="18"/>
                    </w:rPr>
                  </w:pPr>
                  <w:r w:rsidRPr="004D66F3">
                    <w:rPr>
                      <w:rFonts w:asciiTheme="minorHAnsi" w:hAnsiTheme="minorHAnsi"/>
                      <w:sz w:val="18"/>
                      <w:szCs w:val="18"/>
                    </w:rPr>
                    <w:t>LISS grant</w:t>
                  </w:r>
                </w:p>
              </w:tc>
              <w:tc>
                <w:tcPr>
                  <w:tcW w:w="850" w:type="dxa"/>
                </w:tcPr>
                <w:p w:rsidR="000B5C96" w:rsidRPr="004D66F3" w:rsidRDefault="000B5C96" w:rsidP="003F606A">
                  <w:pPr>
                    <w:spacing w:before="120"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4D66F3">
                    <w:rPr>
                      <w:sz w:val="18"/>
                      <w:szCs w:val="18"/>
                    </w:rPr>
                    <w:t>$5,000</w:t>
                  </w:r>
                </w:p>
              </w:tc>
              <w:tc>
                <w:tcPr>
                  <w:tcW w:w="851" w:type="dxa"/>
                </w:tcPr>
                <w:p w:rsidR="000B5C96" w:rsidRPr="004D66F3" w:rsidRDefault="000B5C96" w:rsidP="003F606A">
                  <w:pPr>
                    <w:spacing w:before="120"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4D66F3">
                    <w:rPr>
                      <w:sz w:val="18"/>
                      <w:szCs w:val="18"/>
                    </w:rPr>
                    <w:t>$4,000</w:t>
                  </w:r>
                </w:p>
              </w:tc>
              <w:tc>
                <w:tcPr>
                  <w:tcW w:w="851" w:type="dxa"/>
                </w:tcPr>
                <w:p w:rsidR="000B5C96" w:rsidRPr="004D66F3" w:rsidRDefault="000B5C96" w:rsidP="003F606A">
                  <w:pPr>
                    <w:spacing w:before="120"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4D66F3">
                    <w:rPr>
                      <w:sz w:val="18"/>
                      <w:szCs w:val="18"/>
                    </w:rPr>
                    <w:t>$3,000</w:t>
                  </w:r>
                </w:p>
              </w:tc>
              <w:tc>
                <w:tcPr>
                  <w:tcW w:w="851" w:type="dxa"/>
                </w:tcPr>
                <w:p w:rsidR="000B5C96" w:rsidRPr="004D66F3" w:rsidRDefault="000B5C96" w:rsidP="003F606A">
                  <w:pPr>
                    <w:spacing w:before="120"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4D66F3">
                    <w:rPr>
                      <w:sz w:val="18"/>
                      <w:szCs w:val="18"/>
                    </w:rPr>
                    <w:t>$2,000</w:t>
                  </w:r>
                </w:p>
              </w:tc>
              <w:tc>
                <w:tcPr>
                  <w:tcW w:w="851" w:type="dxa"/>
                </w:tcPr>
                <w:p w:rsidR="000B5C96" w:rsidRPr="004D66F3" w:rsidRDefault="000B5C96" w:rsidP="003F606A">
                  <w:pPr>
                    <w:spacing w:before="120" w:after="120"/>
                    <w:jc w:val="right"/>
                    <w:cnfStyle w:val="000000000000" w:firstRow="0" w:lastRow="0" w:firstColumn="0" w:lastColumn="0" w:oddVBand="0" w:evenVBand="0" w:oddHBand="0" w:evenHBand="0" w:firstRowFirstColumn="0" w:firstRowLastColumn="0" w:lastRowFirstColumn="0" w:lastRowLastColumn="0"/>
                    <w:rPr>
                      <w:sz w:val="18"/>
                      <w:szCs w:val="18"/>
                    </w:rPr>
                  </w:pPr>
                  <w:r w:rsidRPr="004D66F3">
                    <w:rPr>
                      <w:sz w:val="18"/>
                      <w:szCs w:val="18"/>
                    </w:rPr>
                    <w:t>$1,000</w:t>
                  </w:r>
                </w:p>
              </w:tc>
            </w:tr>
          </w:tbl>
          <w:p w:rsidR="000B5C96" w:rsidRPr="004D66F3" w:rsidRDefault="000B5C96" w:rsidP="003F606A">
            <w:pPr>
              <w:pStyle w:val="PullOutBoxBodyText"/>
            </w:pPr>
            <w:r w:rsidRPr="004D66F3">
              <w:t>The proposal would have effect from 1 September 2016 and would cease after 31 December 2020.</w:t>
            </w:r>
          </w:p>
        </w:tc>
      </w:tr>
      <w:tr w:rsidR="000B5C96" w:rsidRPr="004D66F3" w:rsidTr="003F606A">
        <w:tc>
          <w:tcPr>
            <w:tcW w:w="3005" w:type="dxa"/>
          </w:tcPr>
          <w:p w:rsidR="000B5C96" w:rsidRPr="004D66F3" w:rsidRDefault="000B5C96" w:rsidP="003F606A">
            <w:pPr>
              <w:pStyle w:val="PullOutBoxBodyText"/>
            </w:pPr>
            <w:r w:rsidRPr="004D66F3">
              <w:t>Person/party requesting costing:</w:t>
            </w:r>
          </w:p>
        </w:tc>
        <w:tc>
          <w:tcPr>
            <w:tcW w:w="5335" w:type="dxa"/>
          </w:tcPr>
          <w:p w:rsidR="000B5C96" w:rsidRPr="004D66F3" w:rsidRDefault="000B5C96" w:rsidP="003F606A">
            <w:pPr>
              <w:pStyle w:val="PullOutBoxBodyText"/>
            </w:pPr>
            <w:r w:rsidRPr="004D66F3">
              <w:t>Senator Richard Di Natale, Australian Greens</w:t>
            </w:r>
          </w:p>
        </w:tc>
      </w:tr>
      <w:tr w:rsidR="000B5C96" w:rsidRPr="004D66F3" w:rsidTr="003F606A">
        <w:tc>
          <w:tcPr>
            <w:tcW w:w="3005" w:type="dxa"/>
          </w:tcPr>
          <w:p w:rsidR="000B5C96" w:rsidRPr="004D66F3" w:rsidRDefault="000B5C96" w:rsidP="003F606A">
            <w:pPr>
              <w:pStyle w:val="PullOutBoxBodyText"/>
            </w:pPr>
            <w:r w:rsidRPr="004D66F3">
              <w:t>Date of public release of policy:</w:t>
            </w:r>
          </w:p>
        </w:tc>
        <w:tc>
          <w:tcPr>
            <w:tcW w:w="5335" w:type="dxa"/>
          </w:tcPr>
          <w:p w:rsidR="000B5C96" w:rsidRPr="004D66F3" w:rsidRDefault="000B5C96" w:rsidP="003F606A">
            <w:pPr>
              <w:pStyle w:val="PullOutBoxBodyText"/>
            </w:pPr>
            <w:r w:rsidRPr="004D66F3">
              <w:t>5 May 2016</w:t>
            </w:r>
          </w:p>
          <w:p w:rsidR="000B5C96" w:rsidRPr="004D66F3" w:rsidRDefault="00E46526" w:rsidP="003F606A">
            <w:pPr>
              <w:pStyle w:val="PullOutBoxBodyText"/>
            </w:pPr>
            <w:hyperlink r:id="rId542" w:history="1">
              <w:r w:rsidR="000B5C96" w:rsidRPr="004D66F3">
                <w:rPr>
                  <w:color w:val="0000FF"/>
                  <w:u w:val="single"/>
                </w:rPr>
                <w:t>http://greens.org.au/batteries</w:t>
              </w:r>
            </w:hyperlink>
          </w:p>
        </w:tc>
      </w:tr>
      <w:tr w:rsidR="000B5C96" w:rsidRPr="004D66F3" w:rsidTr="003F606A">
        <w:tc>
          <w:tcPr>
            <w:tcW w:w="3005" w:type="dxa"/>
          </w:tcPr>
          <w:p w:rsidR="000B5C96" w:rsidRPr="004D66F3" w:rsidRDefault="000B5C96" w:rsidP="003F606A">
            <w:pPr>
              <w:pStyle w:val="PullOutBoxBodyText"/>
            </w:pPr>
            <w:r w:rsidRPr="004D66F3">
              <w:t>Date costing request received:</w:t>
            </w:r>
          </w:p>
        </w:tc>
        <w:tc>
          <w:tcPr>
            <w:tcW w:w="5335" w:type="dxa"/>
          </w:tcPr>
          <w:p w:rsidR="000B5C96" w:rsidRPr="004D66F3" w:rsidRDefault="000B5C96" w:rsidP="003F606A">
            <w:pPr>
              <w:pStyle w:val="PullOutBoxBodyText"/>
            </w:pPr>
            <w:r w:rsidRPr="004D66F3">
              <w:t>30 June 2016</w:t>
            </w:r>
          </w:p>
        </w:tc>
      </w:tr>
      <w:tr w:rsidR="000B5C96" w:rsidRPr="004D66F3" w:rsidTr="003F606A">
        <w:tc>
          <w:tcPr>
            <w:tcW w:w="3005" w:type="dxa"/>
          </w:tcPr>
          <w:p w:rsidR="000B5C96" w:rsidRPr="004D66F3" w:rsidRDefault="000B5C96" w:rsidP="003F606A">
            <w:pPr>
              <w:pStyle w:val="PullOutBoxBodyText"/>
            </w:pPr>
            <w:r w:rsidRPr="004D66F3">
              <w:t>Date costing completed:</w:t>
            </w:r>
          </w:p>
        </w:tc>
        <w:tc>
          <w:tcPr>
            <w:tcW w:w="5335" w:type="dxa"/>
          </w:tcPr>
          <w:p w:rsidR="000B5C96" w:rsidRPr="004D66F3" w:rsidRDefault="000B5C96" w:rsidP="003F606A">
            <w:pPr>
              <w:pStyle w:val="PullOutBoxBodyText"/>
            </w:pPr>
            <w:r w:rsidRPr="004D66F3">
              <w:t>30 June 2016</w:t>
            </w:r>
          </w:p>
        </w:tc>
      </w:tr>
      <w:tr w:rsidR="000B5C96" w:rsidRPr="004D66F3" w:rsidTr="003F606A">
        <w:tc>
          <w:tcPr>
            <w:tcW w:w="3005" w:type="dxa"/>
          </w:tcPr>
          <w:p w:rsidR="000B5C96" w:rsidRPr="004D66F3" w:rsidRDefault="000B5C96" w:rsidP="003F606A">
            <w:pPr>
              <w:pStyle w:val="PullOutBoxBodyText"/>
            </w:pPr>
            <w:r w:rsidRPr="004D66F3">
              <w:t>Expiry date for the costing:</w:t>
            </w:r>
          </w:p>
        </w:tc>
        <w:tc>
          <w:tcPr>
            <w:tcW w:w="5335" w:type="dxa"/>
          </w:tcPr>
          <w:p w:rsidR="000B5C96" w:rsidRPr="004D66F3" w:rsidRDefault="000B5C96" w:rsidP="003F606A">
            <w:pPr>
              <w:pStyle w:val="PullOutBoxBodyText"/>
            </w:pPr>
            <w:r w:rsidRPr="004D66F3">
              <w:t>Release of the next economic and fiscal outlook report</w:t>
            </w:r>
          </w:p>
        </w:tc>
      </w:tr>
    </w:tbl>
    <w:p w:rsidR="000B5C96" w:rsidRPr="004D66F3" w:rsidRDefault="000B5C96" w:rsidP="003F606A">
      <w:pPr>
        <w:pStyle w:val="CostingsH7"/>
      </w:pPr>
      <w:r w:rsidRPr="004D66F3">
        <w:t>Costing overview</w:t>
      </w:r>
    </w:p>
    <w:p w:rsidR="000B5C96" w:rsidRPr="004D66F3" w:rsidRDefault="000B5C96" w:rsidP="003F606A">
      <w:pPr>
        <w:pStyle w:val="BodyText"/>
      </w:pPr>
      <w:r w:rsidRPr="004D66F3">
        <w:t>The proposal would be expected to decrease the fiscal balance by $3,588 million and decrease the underlying cash balance by $2,868 million over the 2016</w:t>
      </w:r>
      <w:r w:rsidRPr="004D66F3">
        <w:noBreakHyphen/>
        <w:t>17 Budget forward estimates period.  On a fiscal balance basis, this reflects a decrease in revenue of $54 million and an increase in expenses of $3,534 million.  Detailed financial implications of the proposal to 2022</w:t>
      </w:r>
      <w:r w:rsidRPr="004D66F3">
        <w:noBreakHyphen/>
        <w:t xml:space="preserve">23 are provided at </w:t>
      </w:r>
      <w:r w:rsidRPr="004D66F3">
        <w:rPr>
          <w:u w:val="single"/>
        </w:rPr>
        <w:t>Attachment A</w:t>
      </w:r>
      <w:r w:rsidRPr="004D66F3">
        <w:t>.</w:t>
      </w:r>
    </w:p>
    <w:p w:rsidR="000B5C96" w:rsidRPr="004D66F3" w:rsidRDefault="000B5C96" w:rsidP="003F606A">
      <w:pPr>
        <w:pStyle w:val="BodyText"/>
      </w:pPr>
      <w:r w:rsidRPr="004D66F3">
        <w:t>The underlying cash balance impact of this proposal differs from the fiscal balance impact due to the timing of the refundable tax credit payments.  The fiscal balance impact of the refundable tax credit occurs in the year in which the qualifying solar energy storage system purchase is made.  The underlying cash balance impact occurs when the tax return or separate application for a tax credit is processed.</w:t>
      </w:r>
    </w:p>
    <w:p w:rsidR="000B5C96" w:rsidRPr="00E0779C" w:rsidRDefault="000B5C96" w:rsidP="003F606A">
      <w:pPr>
        <w:pStyle w:val="BodyText"/>
        <w:keepNext/>
        <w:keepLines/>
      </w:pPr>
      <w:r w:rsidRPr="00E0779C">
        <w:t>Departmental expenses for components 1, 2 and 3 have been estimated based on the cost of administering and reviewing similar tax credit and grant programs in the past.  Departmental expenses for component 4 are not expected to be significant and have not been included in this costing.</w:t>
      </w:r>
    </w:p>
    <w:p w:rsidR="000B5C96" w:rsidRPr="00E0779C" w:rsidRDefault="000B5C96" w:rsidP="003F606A">
      <w:pPr>
        <w:pStyle w:val="BodyText"/>
      </w:pPr>
      <w:r w:rsidRPr="00E0779C">
        <w:t>The proposal would have a significantly reduced impact beyond the 2016</w:t>
      </w:r>
      <w:r w:rsidRPr="00E0779C">
        <w:noBreakHyphen/>
        <w:t>17 Budget forward estimates period.</w:t>
      </w:r>
    </w:p>
    <w:p w:rsidR="000B5C96" w:rsidRPr="00E0779C" w:rsidRDefault="000B5C96" w:rsidP="000B5C96">
      <w:pPr>
        <w:pStyle w:val="ListBullet"/>
        <w:numPr>
          <w:ilvl w:val="0"/>
          <w:numId w:val="123"/>
        </w:numPr>
        <w:ind w:left="454" w:hanging="454"/>
        <w:rPr>
          <w:lang w:eastAsia="en-AU"/>
        </w:rPr>
      </w:pPr>
      <w:r w:rsidRPr="00E0779C">
        <w:rPr>
          <w:lang w:eastAsia="en-AU"/>
        </w:rPr>
        <w:t>The household components of the proposal (components 1 to 3) would continue to have financial implications on an underlying cash basis in the 2021-22 financial year as tax credit claims are paid.  The tax credit and LISS grants would not be claimable for installations from 1 January 2021.</w:t>
      </w:r>
    </w:p>
    <w:p w:rsidR="000B5C96" w:rsidRPr="00E0779C" w:rsidRDefault="000B5C96" w:rsidP="000B5C96">
      <w:pPr>
        <w:pStyle w:val="ListBullet"/>
        <w:numPr>
          <w:ilvl w:val="0"/>
          <w:numId w:val="123"/>
        </w:numPr>
        <w:ind w:left="454" w:hanging="454"/>
        <w:rPr>
          <w:lang w:eastAsia="en-AU"/>
        </w:rPr>
      </w:pPr>
      <w:r w:rsidRPr="00E0779C">
        <w:rPr>
          <w:lang w:eastAsia="en-AU"/>
        </w:rPr>
        <w:t>The business component (component 4) would have an ongoing positive impact from 2022</w:t>
      </w:r>
      <w:r w:rsidRPr="00E0779C">
        <w:rPr>
          <w:lang w:eastAsia="en-AU"/>
        </w:rPr>
        <w:noBreakHyphen/>
        <w:t>23 as changes in depreciation policy have an impact on the timing, but not on the total amount, of depreciation deductions over the full life cycle of the asset – the decrease in revenue seen in the forward estimates period would reverse over the course of the current 15 year depreciation time scale.</w:t>
      </w:r>
    </w:p>
    <w:p w:rsidR="000B5C96" w:rsidRPr="00E0779C" w:rsidRDefault="000B5C96" w:rsidP="003F606A">
      <w:pPr>
        <w:pStyle w:val="BodyText"/>
      </w:pPr>
      <w:r w:rsidRPr="00E0779C">
        <w:t>This costing is considered to be of very low reliability.  It relies on a number of assumptions, and variations in assumptions may lead to a significant change in the estimated financial impact.</w:t>
      </w:r>
    </w:p>
    <w:p w:rsidR="000B5C96" w:rsidRPr="00E0779C" w:rsidRDefault="000B5C96" w:rsidP="003F606A">
      <w:pPr>
        <w:pStyle w:val="Caption"/>
      </w:pPr>
      <w:r w:rsidRPr="00E0779C">
        <w:t>Table 1: Financial implications (outturn prices)</w:t>
      </w:r>
      <w:r w:rsidRPr="00E0779C">
        <w:rPr>
          <w:vertAlign w:val="superscript"/>
        </w:rPr>
        <w:t>(a)</w:t>
      </w:r>
      <w:r>
        <w:rPr>
          <w:vertAlign w:val="superscript"/>
        </w:rPr>
        <w:t>(b)</w:t>
      </w:r>
    </w:p>
    <w:tbl>
      <w:tblPr>
        <w:tblStyle w:val="TableGrid39"/>
        <w:tblW w:w="4993" w:type="pct"/>
        <w:tblLook w:val="04A0" w:firstRow="1" w:lastRow="0" w:firstColumn="1" w:lastColumn="0" w:noHBand="0" w:noVBand="1"/>
      </w:tblPr>
      <w:tblGrid>
        <w:gridCol w:w="2644"/>
        <w:gridCol w:w="1133"/>
        <w:gridCol w:w="1134"/>
        <w:gridCol w:w="1134"/>
        <w:gridCol w:w="1134"/>
        <w:gridCol w:w="1132"/>
      </w:tblGrid>
      <w:tr w:rsidR="000B5C96" w:rsidRPr="00E0779C"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E0779C" w:rsidRDefault="000B5C96" w:rsidP="003F606A">
            <w:pPr>
              <w:keepNext/>
              <w:keepLines/>
              <w:spacing w:line="240" w:lineRule="auto"/>
              <w:ind w:left="57" w:right="57"/>
              <w:rPr>
                <w:szCs w:val="20"/>
              </w:rPr>
            </w:pPr>
            <w:r w:rsidRPr="00E0779C">
              <w:rPr>
                <w:szCs w:val="20"/>
              </w:rPr>
              <w:t>Impact on ($m)</w:t>
            </w:r>
          </w:p>
        </w:tc>
        <w:tc>
          <w:tcPr>
            <w:tcW w:w="682" w:type="pct"/>
          </w:tcPr>
          <w:p w:rsidR="000B5C96" w:rsidRPr="00E0779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0779C">
              <w:rPr>
                <w:szCs w:val="20"/>
              </w:rPr>
              <w:t>2016–17</w:t>
            </w:r>
          </w:p>
        </w:tc>
        <w:tc>
          <w:tcPr>
            <w:tcW w:w="682" w:type="pct"/>
          </w:tcPr>
          <w:p w:rsidR="000B5C96" w:rsidRPr="00E0779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0779C">
              <w:rPr>
                <w:szCs w:val="20"/>
              </w:rPr>
              <w:t>2017–18</w:t>
            </w:r>
          </w:p>
        </w:tc>
        <w:tc>
          <w:tcPr>
            <w:tcW w:w="682" w:type="pct"/>
          </w:tcPr>
          <w:p w:rsidR="000B5C96" w:rsidRPr="00E0779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0779C">
              <w:rPr>
                <w:szCs w:val="20"/>
              </w:rPr>
              <w:t>2018–19</w:t>
            </w:r>
          </w:p>
        </w:tc>
        <w:tc>
          <w:tcPr>
            <w:tcW w:w="682" w:type="pct"/>
          </w:tcPr>
          <w:p w:rsidR="000B5C96" w:rsidRPr="00E0779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0779C">
              <w:rPr>
                <w:szCs w:val="20"/>
              </w:rPr>
              <w:t>2019–20</w:t>
            </w:r>
          </w:p>
        </w:tc>
        <w:tc>
          <w:tcPr>
            <w:tcW w:w="681" w:type="pct"/>
          </w:tcPr>
          <w:p w:rsidR="000B5C96" w:rsidRPr="00E0779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0779C">
              <w:rPr>
                <w:b/>
                <w:szCs w:val="20"/>
              </w:rPr>
              <w:t>Total</w:t>
            </w:r>
          </w:p>
        </w:tc>
      </w:tr>
      <w:tr w:rsidR="000B5C96" w:rsidRPr="00E0779C"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E0779C" w:rsidRDefault="000B5C96" w:rsidP="003F606A">
            <w:pPr>
              <w:keepNext/>
              <w:keepLines/>
              <w:ind w:left="57" w:right="57"/>
              <w:rPr>
                <w:szCs w:val="20"/>
              </w:rPr>
            </w:pPr>
            <w:r w:rsidRPr="00E0779C">
              <w:rPr>
                <w:szCs w:val="20"/>
              </w:rPr>
              <w:t>Fiscal balance</w:t>
            </w:r>
          </w:p>
        </w:tc>
        <w:tc>
          <w:tcPr>
            <w:tcW w:w="682" w:type="pct"/>
          </w:tcPr>
          <w:p w:rsidR="000B5C96" w:rsidRPr="00E0779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0779C">
              <w:rPr>
                <w:rFonts w:ascii="Calibri" w:hAnsi="Calibri"/>
                <w:szCs w:val="20"/>
              </w:rPr>
              <w:t>-538.0</w:t>
            </w:r>
          </w:p>
        </w:tc>
        <w:tc>
          <w:tcPr>
            <w:tcW w:w="682" w:type="pct"/>
          </w:tcPr>
          <w:p w:rsidR="000B5C96" w:rsidRPr="00E0779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0779C">
              <w:rPr>
                <w:rFonts w:ascii="Calibri" w:hAnsi="Calibri"/>
                <w:szCs w:val="20"/>
              </w:rPr>
              <w:t>-1,087.0</w:t>
            </w:r>
          </w:p>
        </w:tc>
        <w:tc>
          <w:tcPr>
            <w:tcW w:w="682" w:type="pct"/>
          </w:tcPr>
          <w:p w:rsidR="000B5C96" w:rsidRPr="00E0779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0779C">
              <w:rPr>
                <w:rFonts w:ascii="Calibri" w:hAnsi="Calibri"/>
                <w:szCs w:val="20"/>
              </w:rPr>
              <w:t>-1,180.0</w:t>
            </w:r>
          </w:p>
        </w:tc>
        <w:tc>
          <w:tcPr>
            <w:tcW w:w="682" w:type="pct"/>
          </w:tcPr>
          <w:p w:rsidR="000B5C96" w:rsidRPr="00E0779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0779C">
              <w:rPr>
                <w:rFonts w:ascii="Calibri" w:hAnsi="Calibri"/>
                <w:szCs w:val="20"/>
              </w:rPr>
              <w:t>-783.0</w:t>
            </w:r>
          </w:p>
        </w:tc>
        <w:tc>
          <w:tcPr>
            <w:tcW w:w="681" w:type="pct"/>
          </w:tcPr>
          <w:p w:rsidR="000B5C96" w:rsidRPr="00E0779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E0779C">
              <w:rPr>
                <w:rFonts w:ascii="Calibri" w:hAnsi="Calibri"/>
                <w:b/>
                <w:szCs w:val="20"/>
              </w:rPr>
              <w:t>-3,588.0</w:t>
            </w:r>
          </w:p>
        </w:tc>
      </w:tr>
      <w:tr w:rsidR="000B5C96" w:rsidRPr="00E0779C"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E0779C" w:rsidRDefault="000B5C96" w:rsidP="003F606A">
            <w:pPr>
              <w:keepNext/>
              <w:keepLines/>
              <w:ind w:left="57" w:right="57"/>
              <w:rPr>
                <w:szCs w:val="20"/>
              </w:rPr>
            </w:pPr>
            <w:r w:rsidRPr="00E0779C">
              <w:rPr>
                <w:szCs w:val="20"/>
              </w:rPr>
              <w:t>Underlying cash balance</w:t>
            </w:r>
          </w:p>
        </w:tc>
        <w:tc>
          <w:tcPr>
            <w:tcW w:w="682" w:type="pct"/>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779C">
              <w:rPr>
                <w:rFonts w:ascii="Calibri" w:hAnsi="Calibri"/>
                <w:szCs w:val="20"/>
              </w:rPr>
              <w:t>-108.0</w:t>
            </w:r>
          </w:p>
        </w:tc>
        <w:tc>
          <w:tcPr>
            <w:tcW w:w="682" w:type="pct"/>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779C">
              <w:rPr>
                <w:rFonts w:ascii="Calibri" w:hAnsi="Calibri"/>
                <w:szCs w:val="20"/>
              </w:rPr>
              <w:t>-527.0</w:t>
            </w:r>
          </w:p>
        </w:tc>
        <w:tc>
          <w:tcPr>
            <w:tcW w:w="682" w:type="pct"/>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779C">
              <w:rPr>
                <w:rFonts w:ascii="Calibri" w:hAnsi="Calibri"/>
                <w:szCs w:val="20"/>
              </w:rPr>
              <w:t>-1,070.0</w:t>
            </w:r>
          </w:p>
        </w:tc>
        <w:tc>
          <w:tcPr>
            <w:tcW w:w="682" w:type="pct"/>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779C">
              <w:rPr>
                <w:rFonts w:ascii="Calibri" w:hAnsi="Calibri"/>
                <w:szCs w:val="20"/>
              </w:rPr>
              <w:t>-1,163.0</w:t>
            </w:r>
          </w:p>
        </w:tc>
        <w:tc>
          <w:tcPr>
            <w:tcW w:w="681" w:type="pct"/>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779C">
              <w:rPr>
                <w:rFonts w:ascii="Calibri" w:hAnsi="Calibri"/>
                <w:b/>
                <w:szCs w:val="20"/>
              </w:rPr>
              <w:t>-2,868.0</w:t>
            </w:r>
          </w:p>
        </w:tc>
      </w:tr>
    </w:tbl>
    <w:p w:rsidR="000B5C96" w:rsidRPr="00E0779C" w:rsidRDefault="000B5C96" w:rsidP="00E921F4">
      <w:pPr>
        <w:pStyle w:val="Footnotes"/>
        <w:numPr>
          <w:ilvl w:val="0"/>
          <w:numId w:val="261"/>
        </w:numPr>
        <w:ind w:left="284" w:hanging="284"/>
      </w:pPr>
      <w:r w:rsidRPr="00E0779C">
        <w:t>A positive number represents an increase in the relevant budget balance, a negative number represents a decrease.</w:t>
      </w:r>
    </w:p>
    <w:p w:rsidR="000B5C96" w:rsidRPr="00E0779C" w:rsidRDefault="000B5C96" w:rsidP="000B5C96">
      <w:pPr>
        <w:pStyle w:val="Footnotes"/>
        <w:numPr>
          <w:ilvl w:val="0"/>
          <w:numId w:val="7"/>
        </w:numPr>
        <w:ind w:left="284" w:hanging="284"/>
      </w:pPr>
      <w:r w:rsidRPr="00E0779C">
        <w:t>Figures may not sum to totals due to rounding.</w:t>
      </w:r>
    </w:p>
    <w:p w:rsidR="000B5C96" w:rsidRPr="00E0779C" w:rsidRDefault="000B5C96" w:rsidP="003F606A">
      <w:pPr>
        <w:pStyle w:val="CostingsH7"/>
      </w:pPr>
      <w:r w:rsidRPr="00E0779C">
        <w:t>Key assumptions</w:t>
      </w:r>
    </w:p>
    <w:p w:rsidR="000B5C96" w:rsidRPr="008E0685" w:rsidRDefault="000B5C96" w:rsidP="003F606A">
      <w:pPr>
        <w:pStyle w:val="CostingsH8"/>
        <w:rPr>
          <w:rFonts w:eastAsia="Calibri"/>
          <w:b w:val="0"/>
          <w:i/>
        </w:rPr>
      </w:pPr>
      <w:r w:rsidRPr="008E0685">
        <w:rPr>
          <w:rFonts w:eastAsia="Calibri"/>
          <w:b w:val="0"/>
          <w:i/>
        </w:rPr>
        <w:t>Household components</w:t>
      </w:r>
    </w:p>
    <w:p w:rsidR="000B5C96" w:rsidRPr="00E0779C" w:rsidRDefault="000B5C96" w:rsidP="000B5C96">
      <w:pPr>
        <w:pStyle w:val="ListBullet"/>
        <w:numPr>
          <w:ilvl w:val="0"/>
          <w:numId w:val="123"/>
        </w:numPr>
        <w:ind w:left="454" w:hanging="454"/>
        <w:rPr>
          <w:lang w:eastAsia="en-AU"/>
        </w:rPr>
      </w:pPr>
      <w:r w:rsidRPr="00E0779C">
        <w:rPr>
          <w:lang w:eastAsia="en-AU"/>
        </w:rPr>
        <w:t>The estimated total number of household installations in each year of the proposal has been based on the Australian Energy Market Operator report titled 2015 Emerging Technologies Information Paper, and the growth trajectory of installations of photovoltaic cell systems between 1 January 2009 and 31 December 2013, as reported by the Australian Photovoltaic Institute.</w:t>
      </w:r>
    </w:p>
    <w:p w:rsidR="000B5C96" w:rsidRPr="00E0779C" w:rsidRDefault="000B5C96" w:rsidP="000B5C96">
      <w:pPr>
        <w:pStyle w:val="ListBullet"/>
        <w:numPr>
          <w:ilvl w:val="0"/>
          <w:numId w:val="123"/>
        </w:numPr>
        <w:ind w:left="454" w:hanging="454"/>
        <w:rPr>
          <w:lang w:eastAsia="en-AU"/>
        </w:rPr>
      </w:pPr>
      <w:r w:rsidRPr="00E0779C">
        <w:rPr>
          <w:lang w:eastAsia="en-AU"/>
        </w:rPr>
        <w:t>For the purpose of converting the aggregate capacity reported in the 2015 Emerging Technologies Information Paper into the number of installations, it is assumed that the average capacity of an installation will be 10 kilowatt hours, and this average capacity will remain constant over the five year period.</w:t>
      </w:r>
    </w:p>
    <w:p w:rsidR="000B5C96" w:rsidRPr="00E0779C" w:rsidRDefault="000B5C96" w:rsidP="000B5C96">
      <w:pPr>
        <w:pStyle w:val="ListBullet"/>
        <w:numPr>
          <w:ilvl w:val="0"/>
          <w:numId w:val="123"/>
        </w:numPr>
        <w:ind w:left="454" w:hanging="454"/>
        <w:rPr>
          <w:lang w:eastAsia="en-AU"/>
        </w:rPr>
      </w:pPr>
      <w:r w:rsidRPr="00E0779C">
        <w:rPr>
          <w:lang w:eastAsia="en-AU"/>
        </w:rPr>
        <w:t>There is assumed to be no difference in the average cost or capacity of household solar energy storage system installations between those eligible for LISS grants and those ineligible for such grants.</w:t>
      </w:r>
    </w:p>
    <w:p w:rsidR="000B5C96" w:rsidRPr="00E0779C" w:rsidRDefault="000B5C96" w:rsidP="000B5C96">
      <w:pPr>
        <w:pStyle w:val="ListBullet"/>
        <w:numPr>
          <w:ilvl w:val="0"/>
          <w:numId w:val="123"/>
        </w:numPr>
        <w:ind w:left="454" w:hanging="454"/>
        <w:rPr>
          <w:lang w:eastAsia="en-AU"/>
        </w:rPr>
      </w:pPr>
      <w:r w:rsidRPr="00E0779C">
        <w:rPr>
          <w:lang w:eastAsia="en-AU"/>
        </w:rPr>
        <w:t>It is assumed that all LISS grants available (20,000 in each financial year from 2016</w:t>
      </w:r>
      <w:r w:rsidRPr="00E0779C">
        <w:rPr>
          <w:lang w:eastAsia="en-AU"/>
        </w:rPr>
        <w:noBreakHyphen/>
        <w:t>17 to 2020</w:t>
      </w:r>
      <w:r w:rsidRPr="00E0779C">
        <w:rPr>
          <w:lang w:eastAsia="en-AU"/>
        </w:rPr>
        <w:noBreakHyphen/>
        <w:t>21) would be claimed and paid in each financial year.</w:t>
      </w:r>
    </w:p>
    <w:p w:rsidR="000B5C96" w:rsidRPr="00E0779C" w:rsidRDefault="000B5C96" w:rsidP="000B5C96">
      <w:pPr>
        <w:pStyle w:val="ListBullet"/>
        <w:numPr>
          <w:ilvl w:val="0"/>
          <w:numId w:val="123"/>
        </w:numPr>
        <w:ind w:left="454" w:hanging="454"/>
        <w:rPr>
          <w:lang w:eastAsia="en-AU"/>
        </w:rPr>
      </w:pPr>
      <w:r w:rsidRPr="00E0779C">
        <w:rPr>
          <w:lang w:eastAsia="en-AU"/>
        </w:rPr>
        <w:t>This has been based on the incomes of households with solar photovoltaic cells in 2012, as well as the expected out of pocket cost of a solar storage system after accounting for the tax credit and the LISS grant.</w:t>
      </w:r>
    </w:p>
    <w:p w:rsidR="000B5C96" w:rsidRPr="00E0779C" w:rsidRDefault="000B5C96" w:rsidP="000B5C96">
      <w:pPr>
        <w:pStyle w:val="ListBullet"/>
        <w:numPr>
          <w:ilvl w:val="0"/>
          <w:numId w:val="123"/>
        </w:numPr>
        <w:ind w:left="454" w:hanging="454"/>
        <w:rPr>
          <w:lang w:eastAsia="en-AU"/>
        </w:rPr>
      </w:pPr>
      <w:r w:rsidRPr="00E0779C">
        <w:rPr>
          <w:lang w:eastAsia="en-AU"/>
        </w:rPr>
        <w:t>Tax credits are assumed to be claimed for all installations from 1 September 2016 to 31 December 2020, inclusive.  All tax credits are assumed to be claimed and paid in the financial year immediately following the financial year of installation.</w:t>
      </w:r>
    </w:p>
    <w:p w:rsidR="000B5C96" w:rsidRPr="00E0779C" w:rsidRDefault="000B5C96" w:rsidP="000B5C96">
      <w:pPr>
        <w:pStyle w:val="ListBullet"/>
        <w:numPr>
          <w:ilvl w:val="0"/>
          <w:numId w:val="123"/>
        </w:numPr>
        <w:ind w:left="454" w:hanging="454"/>
        <w:rPr>
          <w:lang w:eastAsia="en-AU"/>
        </w:rPr>
      </w:pPr>
      <w:r w:rsidRPr="00E0779C">
        <w:rPr>
          <w:lang w:eastAsia="en-AU"/>
        </w:rPr>
        <w:t>The average cost of a household solar energy system installation is assumed to be $10,000 in 2016</w:t>
      </w:r>
      <w:r w:rsidRPr="00E0779C">
        <w:rPr>
          <w:lang w:eastAsia="en-AU"/>
        </w:rPr>
        <w:noBreakHyphen/>
        <w:t>17.  This average cost is assumed to decrease over time in a linear manner, reaching $5,000 from 1 July 2020.</w:t>
      </w:r>
    </w:p>
    <w:p w:rsidR="000B5C96" w:rsidRPr="008E0685" w:rsidRDefault="000B5C96" w:rsidP="003F606A">
      <w:pPr>
        <w:pStyle w:val="CostingsH8"/>
        <w:rPr>
          <w:rFonts w:eastAsia="Calibri"/>
          <w:b w:val="0"/>
          <w:i/>
        </w:rPr>
      </w:pPr>
      <w:r w:rsidRPr="008E0685">
        <w:rPr>
          <w:rFonts w:eastAsia="Calibri"/>
          <w:b w:val="0"/>
          <w:i/>
        </w:rPr>
        <w:t>Business component</w:t>
      </w:r>
    </w:p>
    <w:p w:rsidR="000B5C96" w:rsidRPr="00E0779C" w:rsidRDefault="000B5C96" w:rsidP="000B5C96">
      <w:pPr>
        <w:pStyle w:val="ListBullet"/>
        <w:numPr>
          <w:ilvl w:val="0"/>
          <w:numId w:val="123"/>
        </w:numPr>
        <w:ind w:left="454" w:hanging="454"/>
        <w:rPr>
          <w:lang w:eastAsia="en-AU"/>
        </w:rPr>
      </w:pPr>
      <w:r w:rsidRPr="00E0779C">
        <w:rPr>
          <w:lang w:eastAsia="en-AU"/>
        </w:rPr>
        <w:t xml:space="preserve">The estimated total number of business battery installations in each year of the proposal is proportional to the number of business photovoltaic solar panel installations in each year, which has been based on the Green Energy Markets report titled </w:t>
      </w:r>
      <w:r w:rsidRPr="00E0779C">
        <w:rPr>
          <w:i/>
          <w:lang w:eastAsia="en-AU"/>
        </w:rPr>
        <w:t>Small-scale technology certificates – Data modelling for 2015 to 2017</w:t>
      </w:r>
      <w:r w:rsidRPr="00E0779C">
        <w:rPr>
          <w:lang w:eastAsia="en-AU"/>
        </w:rPr>
        <w:t>.</w:t>
      </w:r>
    </w:p>
    <w:p w:rsidR="000B5C96" w:rsidRPr="00E0779C" w:rsidRDefault="000B5C96" w:rsidP="000B5C96">
      <w:pPr>
        <w:pStyle w:val="ListBullet"/>
        <w:numPr>
          <w:ilvl w:val="0"/>
          <w:numId w:val="123"/>
        </w:numPr>
        <w:ind w:left="454" w:hanging="454"/>
        <w:rPr>
          <w:lang w:eastAsia="en-AU"/>
        </w:rPr>
      </w:pPr>
      <w:r w:rsidRPr="00E0779C">
        <w:rPr>
          <w:lang w:eastAsia="en-AU"/>
        </w:rPr>
        <w:t>This costing assumes two types of behavioural response for business battery installations:</w:t>
      </w:r>
    </w:p>
    <w:p w:rsidR="000B5C96" w:rsidRPr="00E0779C" w:rsidRDefault="000B5C96" w:rsidP="000B5C96">
      <w:pPr>
        <w:pStyle w:val="ListBullet2"/>
        <w:numPr>
          <w:ilvl w:val="0"/>
          <w:numId w:val="124"/>
        </w:numPr>
        <w:ind w:left="908" w:hanging="454"/>
        <w:rPr>
          <w:lang w:eastAsia="en-AU"/>
        </w:rPr>
      </w:pPr>
      <w:r w:rsidRPr="00E0779C">
        <w:rPr>
          <w:lang w:eastAsia="en-AU"/>
        </w:rPr>
        <w:t>First, 10 per cent of businesses that choose to install a new photovoltaic system will also invest in battery storage.</w:t>
      </w:r>
    </w:p>
    <w:p w:rsidR="000B5C96" w:rsidRPr="00E0779C" w:rsidRDefault="000B5C96" w:rsidP="000B5C96">
      <w:pPr>
        <w:pStyle w:val="ListBullet2"/>
        <w:numPr>
          <w:ilvl w:val="0"/>
          <w:numId w:val="124"/>
        </w:numPr>
        <w:ind w:left="908" w:hanging="454"/>
        <w:rPr>
          <w:lang w:eastAsia="en-AU"/>
        </w:rPr>
      </w:pPr>
      <w:r w:rsidRPr="00E0779C">
        <w:rPr>
          <w:lang w:eastAsia="en-AU"/>
        </w:rPr>
        <w:t>Second, an additional 10 per cent of businesses will install a photovoltaic and battery storage system in response to the proposal, where previously they would not have invested in a photovoltaic system.</w:t>
      </w:r>
    </w:p>
    <w:p w:rsidR="000B5C96" w:rsidRPr="00E0779C" w:rsidRDefault="000B5C96" w:rsidP="000B5C96">
      <w:pPr>
        <w:pStyle w:val="ListBullet2"/>
        <w:numPr>
          <w:ilvl w:val="0"/>
          <w:numId w:val="124"/>
        </w:numPr>
        <w:ind w:left="908" w:hanging="454"/>
        <w:rPr>
          <w:lang w:eastAsia="en-AU"/>
        </w:rPr>
      </w:pPr>
      <w:r w:rsidRPr="00E0779C">
        <w:rPr>
          <w:lang w:eastAsia="en-AU"/>
        </w:rPr>
        <w:t>This results in battery storage activity equivalent to 20 per cent of the current photovoltaic installation rate.</w:t>
      </w:r>
    </w:p>
    <w:p w:rsidR="000B5C96" w:rsidRPr="00E0779C" w:rsidRDefault="000B5C96" w:rsidP="000B5C96">
      <w:pPr>
        <w:pStyle w:val="ListBullet"/>
        <w:numPr>
          <w:ilvl w:val="0"/>
          <w:numId w:val="123"/>
        </w:numPr>
        <w:ind w:left="454" w:hanging="454"/>
        <w:rPr>
          <w:lang w:eastAsia="en-AU"/>
        </w:rPr>
      </w:pPr>
      <w:r w:rsidRPr="00E0779C">
        <w:rPr>
          <w:lang w:eastAsia="en-AU"/>
        </w:rPr>
        <w:t>The costing assumes that businesses that currently have a photovoltaic system installed do not install battery storage as the cost of retro-fitting existing infrastructure is prohibitive.</w:t>
      </w:r>
    </w:p>
    <w:p w:rsidR="000B5C96" w:rsidRPr="008E0685" w:rsidRDefault="000B5C96" w:rsidP="003F606A">
      <w:pPr>
        <w:pStyle w:val="CostingsH8"/>
        <w:rPr>
          <w:rFonts w:eastAsia="Calibri"/>
          <w:b w:val="0"/>
          <w:i/>
        </w:rPr>
      </w:pPr>
      <w:r w:rsidRPr="008E0685">
        <w:rPr>
          <w:rFonts w:eastAsia="Calibri"/>
          <w:b w:val="0"/>
          <w:i/>
        </w:rPr>
        <w:t>All components</w:t>
      </w:r>
    </w:p>
    <w:p w:rsidR="000B5C96" w:rsidRPr="00E0779C" w:rsidRDefault="000B5C96" w:rsidP="000B5C96">
      <w:pPr>
        <w:pStyle w:val="ListBullet"/>
        <w:numPr>
          <w:ilvl w:val="0"/>
          <w:numId w:val="123"/>
        </w:numPr>
        <w:ind w:left="454" w:hanging="454"/>
        <w:rPr>
          <w:lang w:eastAsia="en-AU"/>
        </w:rPr>
      </w:pPr>
      <w:r w:rsidRPr="00E0779C">
        <w:rPr>
          <w:lang w:eastAsia="en-AU"/>
        </w:rPr>
        <w:t>Assets are assumed to be purchased evenly throughout the year.</w:t>
      </w:r>
    </w:p>
    <w:p w:rsidR="000B5C96" w:rsidRPr="00E0779C" w:rsidRDefault="000B5C96" w:rsidP="003F606A">
      <w:pPr>
        <w:pStyle w:val="CostingsH7"/>
      </w:pPr>
      <w:r w:rsidRPr="00E0779C">
        <w:t>Methodology</w:t>
      </w:r>
    </w:p>
    <w:p w:rsidR="000B5C96" w:rsidRPr="008E0685" w:rsidRDefault="000B5C96" w:rsidP="003F606A">
      <w:pPr>
        <w:pStyle w:val="CostingsH8"/>
        <w:rPr>
          <w:rFonts w:eastAsia="Calibri"/>
          <w:b w:val="0"/>
          <w:i/>
        </w:rPr>
      </w:pPr>
      <w:r w:rsidRPr="008E0685">
        <w:rPr>
          <w:rFonts w:eastAsia="Calibri"/>
          <w:b w:val="0"/>
          <w:i/>
        </w:rPr>
        <w:t>Household components</w:t>
      </w:r>
    </w:p>
    <w:p w:rsidR="000B5C96" w:rsidRPr="00E0779C" w:rsidRDefault="000B5C96" w:rsidP="000B5C96">
      <w:pPr>
        <w:pStyle w:val="ListBullet"/>
        <w:numPr>
          <w:ilvl w:val="0"/>
          <w:numId w:val="123"/>
        </w:numPr>
        <w:ind w:left="454" w:hanging="454"/>
        <w:rPr>
          <w:lang w:eastAsia="en-AU"/>
        </w:rPr>
      </w:pPr>
      <w:r w:rsidRPr="00E0779C">
        <w:rPr>
          <w:lang w:eastAsia="en-AU"/>
        </w:rPr>
        <w:t>The number of household installations was estimated for each financial year.  The assumed average cost of installations (and thus the average tax credit) was then applied to the number of installations to derive the cost of refundable tax credits in each financial year.</w:t>
      </w:r>
    </w:p>
    <w:p w:rsidR="000B5C96" w:rsidRPr="00E0779C" w:rsidRDefault="000B5C96" w:rsidP="000B5C96">
      <w:pPr>
        <w:pStyle w:val="ListBullet"/>
        <w:numPr>
          <w:ilvl w:val="0"/>
          <w:numId w:val="123"/>
        </w:numPr>
        <w:ind w:left="454" w:hanging="454"/>
        <w:rPr>
          <w:lang w:eastAsia="en-AU"/>
        </w:rPr>
      </w:pPr>
      <w:r w:rsidRPr="00E0779C">
        <w:rPr>
          <w:lang w:eastAsia="en-AU"/>
        </w:rPr>
        <w:t>The cost of the LISS grants program was estimated by multiplying the number of grants available in each year by the maximum value of the grant in the relevant year.</w:t>
      </w:r>
    </w:p>
    <w:p w:rsidR="000B5C96" w:rsidRPr="008E0685" w:rsidRDefault="000B5C96" w:rsidP="003F606A">
      <w:pPr>
        <w:pStyle w:val="CostingsH8"/>
        <w:rPr>
          <w:rFonts w:eastAsia="Calibri"/>
          <w:b w:val="0"/>
          <w:i/>
        </w:rPr>
      </w:pPr>
      <w:r w:rsidRPr="008E0685">
        <w:rPr>
          <w:rFonts w:eastAsia="Calibri"/>
          <w:b w:val="0"/>
          <w:i/>
        </w:rPr>
        <w:t>Business component</w:t>
      </w:r>
    </w:p>
    <w:p w:rsidR="000B5C96" w:rsidRPr="00E0779C" w:rsidRDefault="000B5C96" w:rsidP="000B5C96">
      <w:pPr>
        <w:pStyle w:val="ListBullet"/>
        <w:numPr>
          <w:ilvl w:val="0"/>
          <w:numId w:val="123"/>
        </w:numPr>
        <w:ind w:left="454" w:hanging="454"/>
        <w:rPr>
          <w:lang w:eastAsia="en-AU"/>
        </w:rPr>
      </w:pPr>
      <w:r w:rsidRPr="00E0779C">
        <w:rPr>
          <w:lang w:eastAsia="en-AU"/>
        </w:rPr>
        <w:t>The number of business photovoltaic installations was estimated for each year, and a proportion of these systems was assumed to include battery storage.  The period for depreciating these battery assets was reduced from 15 years to three, with businesses claiming depreciation expenses over three years rather than the current 15 years.</w:t>
      </w:r>
    </w:p>
    <w:p w:rsidR="000B5C96" w:rsidRPr="008E0685" w:rsidRDefault="000B5C96" w:rsidP="003F606A">
      <w:pPr>
        <w:pStyle w:val="CostingsH8"/>
        <w:rPr>
          <w:rFonts w:eastAsia="Calibri"/>
          <w:b w:val="0"/>
          <w:i/>
        </w:rPr>
      </w:pPr>
      <w:r w:rsidRPr="008E0685">
        <w:rPr>
          <w:rFonts w:eastAsia="Calibri"/>
          <w:b w:val="0"/>
          <w:i/>
        </w:rPr>
        <w:t>All components</w:t>
      </w:r>
    </w:p>
    <w:p w:rsidR="000B5C96" w:rsidRPr="00E0779C" w:rsidRDefault="000B5C96" w:rsidP="000B5C96">
      <w:pPr>
        <w:pStyle w:val="ListBullet"/>
        <w:numPr>
          <w:ilvl w:val="0"/>
          <w:numId w:val="123"/>
        </w:numPr>
        <w:ind w:left="454" w:hanging="454"/>
        <w:rPr>
          <w:lang w:eastAsia="en-AU"/>
        </w:rPr>
      </w:pPr>
      <w:r w:rsidRPr="00E0779C">
        <w:rPr>
          <w:lang w:eastAsia="en-AU"/>
        </w:rPr>
        <w:t>Departmental expenses for the administration and review of the program have been estimated based on the cost of administering and reviewing similar tax credit and grant programs in the past.</w:t>
      </w:r>
    </w:p>
    <w:p w:rsidR="000B5C96" w:rsidRPr="00E0779C" w:rsidRDefault="000B5C96" w:rsidP="000B5C96">
      <w:pPr>
        <w:pStyle w:val="ListBullet"/>
        <w:numPr>
          <w:ilvl w:val="0"/>
          <w:numId w:val="123"/>
        </w:numPr>
        <w:ind w:left="454" w:hanging="454"/>
        <w:rPr>
          <w:lang w:eastAsia="en-AU"/>
        </w:rPr>
      </w:pPr>
      <w:r w:rsidRPr="00E0779C">
        <w:rPr>
          <w:lang w:eastAsia="en-AU"/>
        </w:rPr>
        <w:t>The costing takes into account the timing of payments and revenue.</w:t>
      </w:r>
    </w:p>
    <w:p w:rsidR="000B5C96" w:rsidRPr="00E0779C" w:rsidRDefault="000B5C96" w:rsidP="000B5C96">
      <w:pPr>
        <w:pStyle w:val="ListBullet"/>
        <w:numPr>
          <w:ilvl w:val="0"/>
          <w:numId w:val="123"/>
        </w:numPr>
        <w:ind w:left="454" w:hanging="454"/>
        <w:rPr>
          <w:lang w:eastAsia="en-AU"/>
        </w:rPr>
      </w:pPr>
      <w:r w:rsidRPr="00E0779C">
        <w:rPr>
          <w:lang w:eastAsia="en-AU"/>
        </w:rPr>
        <w:t xml:space="preserve">Estimates of administered expenses have been rounded to the nearest $10 million.  Estimates of departmental expenses and revenue have been rounded to the nearest $1 million. </w:t>
      </w:r>
    </w:p>
    <w:p w:rsidR="000B5C96" w:rsidRPr="00E0779C" w:rsidRDefault="000B5C96" w:rsidP="003F606A">
      <w:pPr>
        <w:pStyle w:val="CostingsH7"/>
      </w:pPr>
      <w:r w:rsidRPr="00E0779C">
        <w:t>Data sources</w:t>
      </w:r>
    </w:p>
    <w:p w:rsidR="000B5C96" w:rsidRPr="00E0779C" w:rsidRDefault="000B5C96" w:rsidP="000B5C96">
      <w:pPr>
        <w:pStyle w:val="ListBullet"/>
        <w:numPr>
          <w:ilvl w:val="0"/>
          <w:numId w:val="123"/>
        </w:numPr>
        <w:ind w:left="454" w:hanging="454"/>
        <w:rPr>
          <w:lang w:eastAsia="en-AU"/>
        </w:rPr>
      </w:pPr>
      <w:r w:rsidRPr="00E0779C">
        <w:rPr>
          <w:lang w:eastAsia="en-AU"/>
        </w:rPr>
        <w:t>2015 Emerging Technologies Information Paper, Australian Energy Market Operator.</w:t>
      </w:r>
    </w:p>
    <w:p w:rsidR="000B5C96" w:rsidRPr="00E0779C" w:rsidRDefault="000B5C96" w:rsidP="000B5C96">
      <w:pPr>
        <w:pStyle w:val="ListBullet"/>
        <w:numPr>
          <w:ilvl w:val="0"/>
          <w:numId w:val="123"/>
        </w:numPr>
        <w:ind w:left="454" w:hanging="454"/>
        <w:rPr>
          <w:lang w:eastAsia="en-AU"/>
        </w:rPr>
      </w:pPr>
      <w:r w:rsidRPr="00E0779C">
        <w:rPr>
          <w:lang w:eastAsia="en-AU"/>
        </w:rPr>
        <w:t>Australian PV installations since April 2001: total capacity (kW), Australian Photovoltaic Institute.</w:t>
      </w:r>
    </w:p>
    <w:p w:rsidR="000B5C96" w:rsidRPr="00E0779C" w:rsidRDefault="000B5C96" w:rsidP="000B5C96">
      <w:pPr>
        <w:pStyle w:val="ListBullet"/>
        <w:numPr>
          <w:ilvl w:val="0"/>
          <w:numId w:val="123"/>
        </w:numPr>
        <w:ind w:left="454" w:hanging="454"/>
        <w:rPr>
          <w:lang w:eastAsia="en-AU"/>
        </w:rPr>
      </w:pPr>
      <w:r w:rsidRPr="00E0779C">
        <w:rPr>
          <w:lang w:eastAsia="en-AU"/>
        </w:rPr>
        <w:t>4670.0 – Household Energy Consumption Survey, 2012, Australian Bureau of Statistics.</w:t>
      </w:r>
    </w:p>
    <w:p w:rsidR="000B5C96" w:rsidRPr="00E0779C" w:rsidRDefault="000B5C96" w:rsidP="000B5C96">
      <w:pPr>
        <w:pStyle w:val="ListBullet"/>
        <w:numPr>
          <w:ilvl w:val="0"/>
          <w:numId w:val="123"/>
        </w:numPr>
        <w:ind w:left="454" w:hanging="454"/>
        <w:rPr>
          <w:lang w:eastAsia="en-AU"/>
        </w:rPr>
      </w:pPr>
      <w:r w:rsidRPr="00E0779C">
        <w:rPr>
          <w:lang w:eastAsia="en-AU"/>
        </w:rPr>
        <w:t>Small-scale technology certificates – Data modelling for 2015 to 2017, Green Energy Markets.</w:t>
      </w:r>
    </w:p>
    <w:p w:rsidR="000B5C96" w:rsidRPr="00E0779C" w:rsidRDefault="000B5C96" w:rsidP="000B5C96">
      <w:pPr>
        <w:pStyle w:val="ListBullet"/>
        <w:numPr>
          <w:ilvl w:val="0"/>
          <w:numId w:val="123"/>
        </w:numPr>
        <w:ind w:left="454" w:hanging="454"/>
        <w:rPr>
          <w:lang w:eastAsia="en-AU"/>
        </w:rPr>
      </w:pPr>
      <w:r w:rsidRPr="00E0779C">
        <w:rPr>
          <w:lang w:eastAsia="en-AU"/>
        </w:rPr>
        <w:t>Energy storage study, AECOM.</w:t>
      </w:r>
    </w:p>
    <w:p w:rsidR="000B5C96" w:rsidRPr="00E0779C" w:rsidRDefault="000B5C96" w:rsidP="000B5C96">
      <w:pPr>
        <w:pStyle w:val="ListBullet"/>
        <w:numPr>
          <w:ilvl w:val="0"/>
          <w:numId w:val="123"/>
        </w:numPr>
        <w:ind w:left="454" w:hanging="454"/>
        <w:rPr>
          <w:lang w:eastAsia="en-AU"/>
        </w:rPr>
      </w:pPr>
      <w:r w:rsidRPr="00E0779C">
        <w:rPr>
          <w:lang w:eastAsia="en-AU"/>
        </w:rPr>
        <w:t>Emerging technologies information paper, Australian Energy Market Operator.</w:t>
      </w:r>
    </w:p>
    <w:p w:rsidR="000B5C96" w:rsidRPr="00E0779C" w:rsidRDefault="000B5C96" w:rsidP="000B5C96">
      <w:pPr>
        <w:pStyle w:val="ListBullet"/>
        <w:numPr>
          <w:ilvl w:val="0"/>
          <w:numId w:val="123"/>
        </w:numPr>
        <w:ind w:left="454" w:hanging="454"/>
        <w:rPr>
          <w:lang w:eastAsia="en-AU"/>
        </w:rPr>
      </w:pPr>
      <w:r w:rsidRPr="00E0779C">
        <w:rPr>
          <w:lang w:eastAsia="en-AU"/>
        </w:rPr>
        <w:t>Global trends in clean energy investment, Bloomberg New Energy Finance.</w:t>
      </w:r>
    </w:p>
    <w:p w:rsidR="000B5C96" w:rsidRDefault="000B5C96" w:rsidP="000B5C96">
      <w:pPr>
        <w:pStyle w:val="ListBullet"/>
        <w:numPr>
          <w:ilvl w:val="0"/>
          <w:numId w:val="123"/>
        </w:numPr>
        <w:ind w:left="454" w:hanging="454"/>
        <w:rPr>
          <w:lang w:eastAsia="en-AU"/>
        </w:rPr>
        <w:sectPr w:rsidR="000B5C96" w:rsidSect="003F606A">
          <w:headerReference w:type="even" r:id="rId543"/>
          <w:headerReference w:type="default" r:id="rId544"/>
          <w:footerReference w:type="even" r:id="rId545"/>
          <w:footerReference w:type="default" r:id="rId546"/>
          <w:pgSz w:w="11907" w:h="16839" w:code="9"/>
          <w:pgMar w:top="1361" w:right="1797" w:bottom="1474" w:left="1797" w:header="283" w:footer="454" w:gutter="0"/>
          <w:cols w:space="708"/>
          <w:docGrid w:linePitch="360"/>
        </w:sectPr>
      </w:pPr>
    </w:p>
    <w:p w:rsidR="000B5C96" w:rsidRPr="00E0779C" w:rsidRDefault="000B5C96" w:rsidP="000B5C96">
      <w:pPr>
        <w:pStyle w:val="Heading6"/>
        <w:numPr>
          <w:ilvl w:val="0"/>
          <w:numId w:val="5"/>
        </w:numPr>
        <w:tabs>
          <w:tab w:val="right" w:pos="1418"/>
          <w:tab w:val="right" w:pos="1701"/>
          <w:tab w:val="right" w:pos="1985"/>
        </w:tabs>
      </w:pPr>
      <w:r w:rsidRPr="00E0779C">
        <w:t>Attachment A: Energy Storage Revolution —financial implications</w:t>
      </w:r>
    </w:p>
    <w:p w:rsidR="000B5C96" w:rsidRPr="00E0779C" w:rsidRDefault="000B5C96" w:rsidP="003F606A">
      <w:pPr>
        <w:pStyle w:val="Caption"/>
        <w:rPr>
          <w:vertAlign w:val="superscript"/>
        </w:rPr>
      </w:pPr>
      <w:r w:rsidRPr="00E0779C">
        <w:t>Table A1: Combined impact of all components—Financial implications—Fiscal balance</w:t>
      </w:r>
      <w:r w:rsidRPr="00E0779C">
        <w:rPr>
          <w:vertAlign w:val="superscript"/>
        </w:rPr>
        <w:t>(a)(b)</w:t>
      </w:r>
    </w:p>
    <w:tbl>
      <w:tblPr>
        <w:tblStyle w:val="TableGrid40"/>
        <w:tblW w:w="3662" w:type="pct"/>
        <w:tblLook w:val="0680" w:firstRow="0" w:lastRow="0" w:firstColumn="1" w:lastColumn="0" w:noHBand="1" w:noVBand="1"/>
      </w:tblPr>
      <w:tblGrid>
        <w:gridCol w:w="2030"/>
        <w:gridCol w:w="857"/>
        <w:gridCol w:w="853"/>
        <w:gridCol w:w="852"/>
        <w:gridCol w:w="852"/>
        <w:gridCol w:w="858"/>
        <w:gridCol w:w="852"/>
        <w:gridCol w:w="852"/>
        <w:gridCol w:w="852"/>
        <w:gridCol w:w="850"/>
      </w:tblGrid>
      <w:tr w:rsidR="000B5C96" w:rsidRPr="00E0779C" w:rsidTr="003F606A">
        <w:trPr>
          <w:cantSplit/>
        </w:trPr>
        <w:tc>
          <w:tcPr>
            <w:cnfStyle w:val="001000000000" w:firstRow="0" w:lastRow="0" w:firstColumn="1" w:lastColumn="0" w:oddVBand="0" w:evenVBand="0" w:oddHBand="0" w:evenHBand="0" w:firstRowFirstColumn="0" w:firstRowLastColumn="0" w:lastRowFirstColumn="0" w:lastRowLastColumn="0"/>
            <w:tcW w:w="1045" w:type="pct"/>
            <w:shd w:val="clear" w:color="auto" w:fill="D7DDE9"/>
          </w:tcPr>
          <w:p w:rsidR="000B5C96" w:rsidRPr="00E0779C" w:rsidRDefault="000B5C96" w:rsidP="003F606A">
            <w:pPr>
              <w:keepNext/>
              <w:keepLines/>
              <w:ind w:left="57" w:right="57"/>
              <w:rPr>
                <w:szCs w:val="20"/>
              </w:rPr>
            </w:pPr>
            <w:r w:rsidRPr="00E0779C">
              <w:rPr>
                <w:szCs w:val="20"/>
              </w:rPr>
              <w:t>($m)</w:t>
            </w:r>
          </w:p>
        </w:tc>
        <w:tc>
          <w:tcPr>
            <w:tcW w:w="441" w:type="pct"/>
            <w:shd w:val="clear" w:color="auto" w:fill="D7DDE9"/>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779C">
              <w:rPr>
                <w:rFonts w:ascii="Calibri" w:hAnsi="Calibri"/>
                <w:szCs w:val="20"/>
              </w:rPr>
              <w:t>2016–17</w:t>
            </w:r>
          </w:p>
        </w:tc>
        <w:tc>
          <w:tcPr>
            <w:tcW w:w="439" w:type="pct"/>
            <w:shd w:val="clear" w:color="auto" w:fill="D7DDE9"/>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779C">
              <w:rPr>
                <w:rFonts w:ascii="Calibri" w:hAnsi="Calibri"/>
                <w:szCs w:val="20"/>
              </w:rPr>
              <w:t>2017–18</w:t>
            </w:r>
          </w:p>
        </w:tc>
        <w:tc>
          <w:tcPr>
            <w:tcW w:w="439" w:type="pct"/>
            <w:shd w:val="clear" w:color="auto" w:fill="D7DDE9"/>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779C">
              <w:rPr>
                <w:rFonts w:ascii="Calibri" w:hAnsi="Calibri"/>
                <w:szCs w:val="20"/>
              </w:rPr>
              <w:t>2018–19</w:t>
            </w:r>
          </w:p>
        </w:tc>
        <w:tc>
          <w:tcPr>
            <w:tcW w:w="439" w:type="pct"/>
            <w:shd w:val="clear" w:color="auto" w:fill="D7DDE9"/>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779C">
              <w:rPr>
                <w:rFonts w:ascii="Calibri" w:hAnsi="Calibri"/>
                <w:szCs w:val="20"/>
              </w:rPr>
              <w:t>2019–20</w:t>
            </w:r>
          </w:p>
        </w:tc>
        <w:tc>
          <w:tcPr>
            <w:tcW w:w="442" w:type="pct"/>
            <w:shd w:val="clear" w:color="auto" w:fill="D7DDE9"/>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779C">
              <w:rPr>
                <w:rFonts w:ascii="Calibri" w:hAnsi="Calibri"/>
                <w:b/>
                <w:szCs w:val="20"/>
              </w:rPr>
              <w:t>Total to 2019–20</w:t>
            </w:r>
          </w:p>
        </w:tc>
        <w:tc>
          <w:tcPr>
            <w:tcW w:w="439" w:type="pct"/>
            <w:shd w:val="clear" w:color="auto" w:fill="D7DDE9"/>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779C">
              <w:rPr>
                <w:rFonts w:ascii="Calibri" w:hAnsi="Calibri"/>
                <w:szCs w:val="20"/>
              </w:rPr>
              <w:t>2020–21</w:t>
            </w:r>
          </w:p>
        </w:tc>
        <w:tc>
          <w:tcPr>
            <w:tcW w:w="439" w:type="pct"/>
            <w:shd w:val="clear" w:color="auto" w:fill="D7DDE9"/>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779C">
              <w:rPr>
                <w:rFonts w:ascii="Calibri" w:hAnsi="Calibri"/>
                <w:szCs w:val="20"/>
              </w:rPr>
              <w:t>2021–22</w:t>
            </w:r>
          </w:p>
        </w:tc>
        <w:tc>
          <w:tcPr>
            <w:tcW w:w="439" w:type="pct"/>
            <w:shd w:val="clear" w:color="auto" w:fill="D7DDE9"/>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0779C">
              <w:rPr>
                <w:rFonts w:ascii="Calibri" w:hAnsi="Calibri"/>
                <w:szCs w:val="20"/>
              </w:rPr>
              <w:t>2022–23</w:t>
            </w:r>
          </w:p>
        </w:tc>
        <w:tc>
          <w:tcPr>
            <w:tcW w:w="439" w:type="pct"/>
            <w:shd w:val="clear" w:color="auto" w:fill="D7DDE9"/>
          </w:tcPr>
          <w:p w:rsidR="000B5C96" w:rsidRPr="00E0779C"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E0779C">
              <w:rPr>
                <w:rFonts w:ascii="Calibri" w:hAnsi="Calibri"/>
                <w:b/>
                <w:szCs w:val="20"/>
              </w:rPr>
              <w:t>Total to 2022-23</w:t>
            </w:r>
          </w:p>
        </w:tc>
      </w:tr>
      <w:tr w:rsidR="000B5C96" w:rsidRPr="00E0779C"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788184"/>
              <w:left w:val="single" w:sz="4" w:space="0" w:color="788184"/>
              <w:bottom w:val="single" w:sz="4" w:space="0" w:color="788184"/>
              <w:right w:val="single" w:sz="4" w:space="0" w:color="788184"/>
            </w:tcBorders>
            <w:shd w:val="clear" w:color="auto" w:fill="E9ECF3"/>
          </w:tcPr>
          <w:p w:rsidR="000B5C96" w:rsidRPr="00E0779C" w:rsidRDefault="000B5C96" w:rsidP="003F606A">
            <w:pPr>
              <w:keepNext/>
              <w:keepLines/>
              <w:ind w:left="57" w:right="57"/>
              <w:rPr>
                <w:b/>
                <w:szCs w:val="20"/>
              </w:rPr>
            </w:pPr>
            <w:r w:rsidRPr="00E0779C">
              <w:rPr>
                <w:b/>
                <w:szCs w:val="20"/>
              </w:rPr>
              <w:t>Impact on fiscal balance</w:t>
            </w:r>
          </w:p>
        </w:tc>
      </w:tr>
      <w:tr w:rsidR="000B5C96" w:rsidRPr="00E0779C" w:rsidTr="003F606A">
        <w:trPr>
          <w:cantSplit/>
        </w:trPr>
        <w:tc>
          <w:tcPr>
            <w:cnfStyle w:val="001000000000" w:firstRow="0" w:lastRow="0" w:firstColumn="1" w:lastColumn="0" w:oddVBand="0" w:evenVBand="0" w:oddHBand="0" w:evenHBand="0" w:firstRowFirstColumn="0" w:firstRowLastColumn="0" w:lastRowFirstColumn="0" w:lastRowLastColumn="0"/>
            <w:tcW w:w="1045" w:type="pct"/>
          </w:tcPr>
          <w:p w:rsidR="000B5C96" w:rsidRPr="00E0779C" w:rsidRDefault="000B5C96" w:rsidP="003F606A">
            <w:pPr>
              <w:ind w:left="57" w:right="57"/>
              <w:rPr>
                <w:color w:val="000000"/>
                <w:szCs w:val="20"/>
              </w:rPr>
            </w:pPr>
            <w:r w:rsidRPr="00E0779C">
              <w:rPr>
                <w:color w:val="000000"/>
                <w:szCs w:val="20"/>
              </w:rPr>
              <w:t>Revenue</w:t>
            </w:r>
          </w:p>
        </w:tc>
        <w:tc>
          <w:tcPr>
            <w:tcW w:w="441"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-5.0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-14.0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-17.0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-18.0</w:t>
            </w:r>
          </w:p>
        </w:tc>
        <w:tc>
          <w:tcPr>
            <w:tcW w:w="442"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-54.0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-15.0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-5.0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3.0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-71.0</w:t>
            </w:r>
          </w:p>
        </w:tc>
      </w:tr>
      <w:tr w:rsidR="000B5C96" w:rsidRPr="00E0779C" w:rsidTr="003F606A">
        <w:trPr>
          <w:cantSplit/>
        </w:trPr>
        <w:tc>
          <w:tcPr>
            <w:cnfStyle w:val="001000000000" w:firstRow="0" w:lastRow="0" w:firstColumn="1" w:lastColumn="0" w:oddVBand="0" w:evenVBand="0" w:oddHBand="0" w:evenHBand="0" w:firstRowFirstColumn="0" w:firstRowLastColumn="0" w:lastRowFirstColumn="0" w:lastRowLastColumn="0"/>
            <w:tcW w:w="1045" w:type="pct"/>
          </w:tcPr>
          <w:p w:rsidR="000B5C96" w:rsidRPr="00E0779C" w:rsidRDefault="000B5C96" w:rsidP="003F606A">
            <w:pPr>
              <w:ind w:left="57" w:right="57"/>
              <w:rPr>
                <w:color w:val="000000"/>
                <w:szCs w:val="20"/>
              </w:rPr>
            </w:pPr>
            <w:r w:rsidRPr="00E0779C">
              <w:rPr>
                <w:color w:val="000000"/>
                <w:szCs w:val="20"/>
              </w:rPr>
              <w:t>Expenses</w:t>
            </w:r>
          </w:p>
        </w:tc>
        <w:tc>
          <w:tcPr>
            <w:tcW w:w="441"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-533.0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-1,073.0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-1,163.0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-765.0</w:t>
            </w:r>
          </w:p>
        </w:tc>
        <w:tc>
          <w:tcPr>
            <w:tcW w:w="442"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-3,534.0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-185.0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-1.0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E0779C">
              <w:rPr>
                <w:rFonts w:ascii="Calibri" w:hAnsi="Calibri"/>
                <w:color w:val="000000"/>
                <w:szCs w:val="20"/>
              </w:rPr>
              <w:t>-</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-3,720.0</w:t>
            </w:r>
          </w:p>
        </w:tc>
      </w:tr>
      <w:tr w:rsidR="000B5C96" w:rsidRPr="00E0779C" w:rsidTr="003F606A">
        <w:trPr>
          <w:cantSplit/>
        </w:trPr>
        <w:tc>
          <w:tcPr>
            <w:cnfStyle w:val="001000000000" w:firstRow="0" w:lastRow="0" w:firstColumn="1" w:lastColumn="0" w:oddVBand="0" w:evenVBand="0" w:oddHBand="0" w:evenHBand="0" w:firstRowFirstColumn="0" w:firstRowLastColumn="0" w:lastRowFirstColumn="0" w:lastRowLastColumn="0"/>
            <w:tcW w:w="1045" w:type="pct"/>
          </w:tcPr>
          <w:p w:rsidR="000B5C96" w:rsidRPr="00E0779C" w:rsidRDefault="000B5C96" w:rsidP="003F606A">
            <w:pPr>
              <w:ind w:left="57" w:right="57"/>
              <w:rPr>
                <w:i/>
                <w:color w:val="000000"/>
                <w:szCs w:val="20"/>
              </w:rPr>
            </w:pPr>
            <w:r w:rsidRPr="00E0779C">
              <w:rPr>
                <w:i/>
                <w:color w:val="000000"/>
                <w:szCs w:val="20"/>
              </w:rPr>
              <w:t xml:space="preserve">Administered </w:t>
            </w:r>
          </w:p>
        </w:tc>
        <w:tc>
          <w:tcPr>
            <w:tcW w:w="441"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-530.0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-1,070.0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-1,160.0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-760.0</w:t>
            </w:r>
          </w:p>
        </w:tc>
        <w:tc>
          <w:tcPr>
            <w:tcW w:w="442"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E0779C">
              <w:rPr>
                <w:rFonts w:ascii="Calibri" w:hAnsi="Calibri"/>
                <w:b/>
                <w:i/>
                <w:color w:val="000000"/>
                <w:szCs w:val="20"/>
              </w:rPr>
              <w:t>-3,520.0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-180.0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E0779C">
              <w:rPr>
                <w:rFonts w:ascii="Calibri" w:hAnsi="Calibri"/>
                <w:b/>
                <w:i/>
                <w:color w:val="000000"/>
                <w:szCs w:val="20"/>
              </w:rPr>
              <w:t>-3,700.0</w:t>
            </w:r>
          </w:p>
        </w:tc>
      </w:tr>
      <w:tr w:rsidR="000B5C96" w:rsidRPr="00E0779C" w:rsidTr="003F606A">
        <w:trPr>
          <w:cantSplit/>
        </w:trPr>
        <w:tc>
          <w:tcPr>
            <w:cnfStyle w:val="001000000000" w:firstRow="0" w:lastRow="0" w:firstColumn="1" w:lastColumn="0" w:oddVBand="0" w:evenVBand="0" w:oddHBand="0" w:evenHBand="0" w:firstRowFirstColumn="0" w:firstRowLastColumn="0" w:lastRowFirstColumn="0" w:lastRowLastColumn="0"/>
            <w:tcW w:w="1045" w:type="pct"/>
          </w:tcPr>
          <w:p w:rsidR="000B5C96" w:rsidRPr="00E0779C" w:rsidRDefault="000B5C96" w:rsidP="003F606A">
            <w:pPr>
              <w:ind w:left="57" w:right="57"/>
              <w:rPr>
                <w:i/>
                <w:color w:val="000000"/>
                <w:szCs w:val="20"/>
              </w:rPr>
            </w:pPr>
            <w:r w:rsidRPr="00E0779C">
              <w:rPr>
                <w:i/>
                <w:color w:val="000000"/>
                <w:szCs w:val="20"/>
              </w:rPr>
              <w:t xml:space="preserve">Departmental </w:t>
            </w:r>
          </w:p>
        </w:tc>
        <w:tc>
          <w:tcPr>
            <w:tcW w:w="441"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-3.0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-3.0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-3.0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-5.0</w:t>
            </w:r>
          </w:p>
        </w:tc>
        <w:tc>
          <w:tcPr>
            <w:tcW w:w="442"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E0779C">
              <w:rPr>
                <w:rFonts w:ascii="Calibri" w:hAnsi="Calibri"/>
                <w:b/>
                <w:i/>
                <w:color w:val="000000"/>
                <w:szCs w:val="20"/>
              </w:rPr>
              <w:t>-14.0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-5.0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-1.0</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E0779C">
              <w:rPr>
                <w:rFonts w:ascii="Calibri" w:hAnsi="Calibri"/>
                <w:i/>
                <w:color w:val="000000"/>
                <w:szCs w:val="20"/>
              </w:rPr>
              <w:t>-</w:t>
            </w:r>
          </w:p>
        </w:tc>
        <w:tc>
          <w:tcPr>
            <w:tcW w:w="439" w:type="pct"/>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E0779C">
              <w:rPr>
                <w:rFonts w:ascii="Calibri" w:hAnsi="Calibri"/>
                <w:b/>
                <w:i/>
                <w:color w:val="000000"/>
                <w:szCs w:val="20"/>
              </w:rPr>
              <w:t>-20.0</w:t>
            </w:r>
          </w:p>
        </w:tc>
      </w:tr>
      <w:tr w:rsidR="000B5C96" w:rsidRPr="00E0779C" w:rsidTr="003F606A">
        <w:trPr>
          <w:cantSplit/>
        </w:trPr>
        <w:tc>
          <w:tcPr>
            <w:cnfStyle w:val="001000000000" w:firstRow="0" w:lastRow="0" w:firstColumn="1" w:lastColumn="0" w:oddVBand="0" w:evenVBand="0" w:oddHBand="0" w:evenHBand="0" w:firstRowFirstColumn="0" w:firstRowLastColumn="0" w:lastRowFirstColumn="0" w:lastRowLastColumn="0"/>
            <w:tcW w:w="1045" w:type="pct"/>
            <w:shd w:val="clear" w:color="auto" w:fill="E9ECF3"/>
          </w:tcPr>
          <w:p w:rsidR="000B5C96" w:rsidRPr="00E0779C" w:rsidRDefault="000B5C96" w:rsidP="003F606A">
            <w:pPr>
              <w:ind w:left="57" w:right="57"/>
              <w:rPr>
                <w:b/>
                <w:bCs/>
                <w:color w:val="000000"/>
                <w:szCs w:val="20"/>
              </w:rPr>
            </w:pPr>
            <w:r w:rsidRPr="00E0779C">
              <w:rPr>
                <w:b/>
                <w:bCs/>
                <w:color w:val="000000"/>
                <w:szCs w:val="20"/>
              </w:rPr>
              <w:t>Total</w:t>
            </w:r>
          </w:p>
        </w:tc>
        <w:tc>
          <w:tcPr>
            <w:tcW w:w="441" w:type="pct"/>
            <w:shd w:val="clear" w:color="auto" w:fill="E9ECF3"/>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-538.0</w:t>
            </w:r>
          </w:p>
        </w:tc>
        <w:tc>
          <w:tcPr>
            <w:tcW w:w="439" w:type="pct"/>
            <w:shd w:val="clear" w:color="auto" w:fill="E9ECF3"/>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-1,087.0</w:t>
            </w:r>
          </w:p>
        </w:tc>
        <w:tc>
          <w:tcPr>
            <w:tcW w:w="439" w:type="pct"/>
            <w:shd w:val="clear" w:color="auto" w:fill="E9ECF3"/>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-1,180.0</w:t>
            </w:r>
          </w:p>
        </w:tc>
        <w:tc>
          <w:tcPr>
            <w:tcW w:w="439" w:type="pct"/>
            <w:shd w:val="clear" w:color="auto" w:fill="E9ECF3"/>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-783.0</w:t>
            </w:r>
          </w:p>
        </w:tc>
        <w:tc>
          <w:tcPr>
            <w:tcW w:w="442" w:type="pct"/>
            <w:shd w:val="clear" w:color="auto" w:fill="E9ECF3"/>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-3,588.0</w:t>
            </w:r>
          </w:p>
        </w:tc>
        <w:tc>
          <w:tcPr>
            <w:tcW w:w="439" w:type="pct"/>
            <w:shd w:val="clear" w:color="auto" w:fill="E9ECF3"/>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-200.0</w:t>
            </w:r>
          </w:p>
        </w:tc>
        <w:tc>
          <w:tcPr>
            <w:tcW w:w="439" w:type="pct"/>
            <w:shd w:val="clear" w:color="auto" w:fill="E9ECF3"/>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-6.0</w:t>
            </w:r>
          </w:p>
        </w:tc>
        <w:tc>
          <w:tcPr>
            <w:tcW w:w="439" w:type="pct"/>
            <w:shd w:val="clear" w:color="auto" w:fill="E9ECF3"/>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3.0</w:t>
            </w:r>
          </w:p>
        </w:tc>
        <w:tc>
          <w:tcPr>
            <w:tcW w:w="439" w:type="pct"/>
            <w:shd w:val="clear" w:color="auto" w:fill="E9ECF3"/>
            <w:vAlign w:val="bottom"/>
          </w:tcPr>
          <w:p w:rsidR="000B5C96" w:rsidRPr="00E0779C"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E0779C">
              <w:rPr>
                <w:rFonts w:ascii="Calibri" w:hAnsi="Calibri"/>
                <w:b/>
                <w:color w:val="000000"/>
                <w:szCs w:val="20"/>
              </w:rPr>
              <w:t>-3,791.0</w:t>
            </w:r>
          </w:p>
        </w:tc>
      </w:tr>
    </w:tbl>
    <w:p w:rsidR="000B5C96" w:rsidRDefault="000B5C96" w:rsidP="00CB249D">
      <w:pPr>
        <w:pStyle w:val="Footnotes"/>
        <w:numPr>
          <w:ilvl w:val="0"/>
          <w:numId w:val="262"/>
        </w:numPr>
        <w:ind w:left="284" w:hanging="284"/>
      </w:pPr>
      <w:r w:rsidRPr="00545904">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E0779C" w:rsidRDefault="000B5C96" w:rsidP="000B5C96">
      <w:pPr>
        <w:pStyle w:val="Footnotes"/>
        <w:numPr>
          <w:ilvl w:val="0"/>
          <w:numId w:val="7"/>
        </w:numPr>
        <w:ind w:left="284" w:hanging="284"/>
      </w:pPr>
      <w:r w:rsidRPr="00E0779C">
        <w:t>Figures may not sum to total due to rounding.</w:t>
      </w:r>
    </w:p>
    <w:p w:rsidR="000B5C96" w:rsidRPr="00E0779C" w:rsidRDefault="000B5C96" w:rsidP="000B5C96">
      <w:pPr>
        <w:pStyle w:val="Footnotes"/>
        <w:numPr>
          <w:ilvl w:val="0"/>
          <w:numId w:val="115"/>
        </w:numPr>
        <w:ind w:left="284" w:hanging="284"/>
      </w:pPr>
      <w:r w:rsidRPr="00E0779C">
        <w:t>Indicates nil.</w:t>
      </w:r>
    </w:p>
    <w:p w:rsidR="000B5C96" w:rsidRPr="00545904" w:rsidRDefault="000B5C96" w:rsidP="003F606A">
      <w:pPr>
        <w:pStyle w:val="Caption"/>
        <w:rPr>
          <w:vertAlign w:val="superscript"/>
        </w:rPr>
      </w:pPr>
      <w:r w:rsidRPr="00545904">
        <w:t>Table A2: Combined impact of all components— Financial implications — Underlying cash balance</w:t>
      </w:r>
      <w:r w:rsidRPr="00545904">
        <w:rPr>
          <w:vertAlign w:val="superscript"/>
        </w:rPr>
        <w:t xml:space="preserve"> (a)(b)</w:t>
      </w:r>
    </w:p>
    <w:tbl>
      <w:tblPr>
        <w:tblStyle w:val="TableGrid41"/>
        <w:tblW w:w="3662" w:type="pct"/>
        <w:tblLook w:val="0680" w:firstRow="0" w:lastRow="0" w:firstColumn="1" w:lastColumn="0" w:noHBand="1" w:noVBand="1"/>
      </w:tblPr>
      <w:tblGrid>
        <w:gridCol w:w="2032"/>
        <w:gridCol w:w="857"/>
        <w:gridCol w:w="853"/>
        <w:gridCol w:w="852"/>
        <w:gridCol w:w="852"/>
        <w:gridCol w:w="858"/>
        <w:gridCol w:w="852"/>
        <w:gridCol w:w="852"/>
        <w:gridCol w:w="852"/>
        <w:gridCol w:w="848"/>
      </w:tblGrid>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D7DDE9"/>
          </w:tcPr>
          <w:p w:rsidR="000B5C96" w:rsidRPr="00545904" w:rsidRDefault="000B5C96" w:rsidP="003F606A">
            <w:pPr>
              <w:keepNext/>
              <w:keepLines/>
              <w:ind w:left="57" w:right="57"/>
              <w:rPr>
                <w:szCs w:val="20"/>
              </w:rPr>
            </w:pPr>
            <w:r w:rsidRPr="00545904">
              <w:rPr>
                <w:szCs w:val="20"/>
              </w:rPr>
              <w:t>($m)</w:t>
            </w:r>
          </w:p>
        </w:tc>
        <w:tc>
          <w:tcPr>
            <w:tcW w:w="441"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2016–17</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2017–18</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2018–19</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2019–20</w:t>
            </w:r>
          </w:p>
        </w:tc>
        <w:tc>
          <w:tcPr>
            <w:tcW w:w="442"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2019–20</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2020–21</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2021–22</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2022–23</w:t>
            </w:r>
          </w:p>
        </w:tc>
        <w:tc>
          <w:tcPr>
            <w:tcW w:w="438"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2022-23</w:t>
            </w:r>
          </w:p>
        </w:tc>
      </w:tr>
      <w:tr w:rsidR="000B5C96" w:rsidRPr="00545904"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788184"/>
              <w:left w:val="single" w:sz="4" w:space="0" w:color="788184"/>
              <w:bottom w:val="single" w:sz="4" w:space="0" w:color="788184"/>
              <w:right w:val="single" w:sz="4" w:space="0" w:color="788184"/>
            </w:tcBorders>
            <w:shd w:val="clear" w:color="auto" w:fill="E9ECF3"/>
          </w:tcPr>
          <w:p w:rsidR="000B5C96" w:rsidRPr="00545904" w:rsidRDefault="000B5C96" w:rsidP="003F606A">
            <w:pPr>
              <w:keepNext/>
              <w:keepLines/>
              <w:ind w:left="57" w:right="57"/>
              <w:rPr>
                <w:b/>
                <w:szCs w:val="20"/>
              </w:rPr>
            </w:pPr>
            <w:r w:rsidRPr="00545904">
              <w:rPr>
                <w:b/>
                <w:szCs w:val="20"/>
              </w:rPr>
              <w:t>Impact on underlying cash balance</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keepNext/>
              <w:keepLines/>
              <w:ind w:left="57" w:right="57"/>
              <w:rPr>
                <w:color w:val="000000"/>
                <w:szCs w:val="20"/>
              </w:rPr>
            </w:pPr>
            <w:r w:rsidRPr="00545904">
              <w:rPr>
                <w:color w:val="000000"/>
                <w:szCs w:val="20"/>
              </w:rPr>
              <w:t>Revenue</w:t>
            </w:r>
          </w:p>
        </w:tc>
        <w:tc>
          <w:tcPr>
            <w:tcW w:w="441"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545904">
              <w:rPr>
                <w:rFonts w:ascii="Calibri" w:hAnsi="Calibri"/>
                <w:color w:val="000000"/>
                <w:szCs w:val="20"/>
              </w:rPr>
              <w:t>-5.0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545904">
              <w:rPr>
                <w:rFonts w:ascii="Calibri" w:hAnsi="Calibri"/>
                <w:color w:val="000000"/>
                <w:szCs w:val="20"/>
              </w:rPr>
              <w:t>-14.0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545904">
              <w:rPr>
                <w:rFonts w:ascii="Calibri" w:hAnsi="Calibri"/>
                <w:color w:val="000000"/>
                <w:szCs w:val="20"/>
              </w:rPr>
              <w:t>-17.0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545904">
              <w:rPr>
                <w:rFonts w:ascii="Calibri" w:hAnsi="Calibri"/>
                <w:color w:val="000000"/>
                <w:szCs w:val="20"/>
              </w:rPr>
              <w:t>-18.0</w:t>
            </w:r>
          </w:p>
        </w:tc>
        <w:tc>
          <w:tcPr>
            <w:tcW w:w="442"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545904">
              <w:rPr>
                <w:rFonts w:ascii="Calibri" w:hAnsi="Calibri"/>
                <w:b/>
                <w:color w:val="000000"/>
                <w:szCs w:val="20"/>
              </w:rPr>
              <w:t>-54.0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545904">
              <w:rPr>
                <w:rFonts w:ascii="Calibri" w:hAnsi="Calibri"/>
                <w:color w:val="000000"/>
                <w:szCs w:val="20"/>
              </w:rPr>
              <w:t>-15.0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545904">
              <w:rPr>
                <w:rFonts w:ascii="Calibri" w:hAnsi="Calibri"/>
                <w:color w:val="000000"/>
                <w:szCs w:val="20"/>
              </w:rPr>
              <w:t>-5.0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545904">
              <w:rPr>
                <w:rFonts w:ascii="Calibri" w:hAnsi="Calibri"/>
                <w:color w:val="000000"/>
                <w:szCs w:val="20"/>
              </w:rPr>
              <w:t>3.0</w:t>
            </w:r>
          </w:p>
        </w:tc>
        <w:tc>
          <w:tcPr>
            <w:tcW w:w="438"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545904">
              <w:rPr>
                <w:rFonts w:ascii="Calibri" w:hAnsi="Calibri"/>
                <w:b/>
                <w:color w:val="000000"/>
                <w:szCs w:val="20"/>
              </w:rPr>
              <w:t>-71.0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keepNext/>
              <w:keepLines/>
              <w:ind w:left="57" w:right="57"/>
              <w:rPr>
                <w:i/>
                <w:color w:val="000000"/>
                <w:szCs w:val="20"/>
              </w:rPr>
            </w:pPr>
            <w:r w:rsidRPr="00545904">
              <w:rPr>
                <w:color w:val="000000"/>
                <w:szCs w:val="20"/>
              </w:rPr>
              <w:t>Expenses</w:t>
            </w:r>
          </w:p>
        </w:tc>
        <w:tc>
          <w:tcPr>
            <w:tcW w:w="441" w:type="pct"/>
            <w:vAlign w:val="bottom"/>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color w:val="000000"/>
                <w:szCs w:val="20"/>
              </w:rPr>
              <w:t>-103.0</w:t>
            </w:r>
          </w:p>
        </w:tc>
        <w:tc>
          <w:tcPr>
            <w:tcW w:w="439" w:type="pct"/>
            <w:vAlign w:val="bottom"/>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color w:val="000000"/>
                <w:szCs w:val="20"/>
              </w:rPr>
              <w:t>-513.0</w:t>
            </w:r>
          </w:p>
        </w:tc>
        <w:tc>
          <w:tcPr>
            <w:tcW w:w="439" w:type="pct"/>
            <w:vAlign w:val="bottom"/>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color w:val="000000"/>
                <w:szCs w:val="20"/>
              </w:rPr>
              <w:t>-1,053.0</w:t>
            </w:r>
          </w:p>
        </w:tc>
        <w:tc>
          <w:tcPr>
            <w:tcW w:w="439" w:type="pct"/>
            <w:vAlign w:val="bottom"/>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color w:val="000000"/>
                <w:szCs w:val="20"/>
              </w:rPr>
              <w:t>-1,145.0</w:t>
            </w:r>
          </w:p>
        </w:tc>
        <w:tc>
          <w:tcPr>
            <w:tcW w:w="442" w:type="pct"/>
            <w:vAlign w:val="bottom"/>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545904">
              <w:rPr>
                <w:rFonts w:ascii="Calibri" w:hAnsi="Calibri"/>
                <w:b/>
                <w:color w:val="000000"/>
                <w:szCs w:val="20"/>
              </w:rPr>
              <w:t>-2,814.0</w:t>
            </w:r>
          </w:p>
        </w:tc>
        <w:tc>
          <w:tcPr>
            <w:tcW w:w="439" w:type="pct"/>
            <w:vAlign w:val="bottom"/>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color w:val="000000"/>
                <w:szCs w:val="20"/>
              </w:rPr>
              <w:t>-745.0</w:t>
            </w:r>
          </w:p>
        </w:tc>
        <w:tc>
          <w:tcPr>
            <w:tcW w:w="439" w:type="pct"/>
            <w:vAlign w:val="bottom"/>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color w:val="000000"/>
                <w:szCs w:val="20"/>
              </w:rPr>
              <w:t>-161.0</w:t>
            </w:r>
          </w:p>
        </w:tc>
        <w:tc>
          <w:tcPr>
            <w:tcW w:w="439" w:type="pct"/>
            <w:vAlign w:val="bottom"/>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color w:val="000000"/>
                <w:szCs w:val="20"/>
              </w:rPr>
              <w:t>-</w:t>
            </w:r>
          </w:p>
        </w:tc>
        <w:tc>
          <w:tcPr>
            <w:tcW w:w="438" w:type="pct"/>
            <w:vAlign w:val="bottom"/>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545904">
              <w:rPr>
                <w:rFonts w:ascii="Calibri" w:hAnsi="Calibri"/>
                <w:b/>
                <w:color w:val="000000"/>
                <w:szCs w:val="20"/>
              </w:rPr>
              <w:t>-3,720.0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keepNext/>
              <w:keepLines/>
              <w:ind w:left="57" w:right="57"/>
              <w:rPr>
                <w:i/>
                <w:color w:val="000000"/>
                <w:szCs w:val="20"/>
              </w:rPr>
            </w:pPr>
            <w:r w:rsidRPr="00545904">
              <w:rPr>
                <w:i/>
                <w:color w:val="000000"/>
                <w:szCs w:val="20"/>
              </w:rPr>
              <w:t>Administered expenses</w:t>
            </w:r>
          </w:p>
        </w:tc>
        <w:tc>
          <w:tcPr>
            <w:tcW w:w="441"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-100.0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-510.0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-1,050.0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-1,140.0</w:t>
            </w:r>
          </w:p>
        </w:tc>
        <w:tc>
          <w:tcPr>
            <w:tcW w:w="442"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545904">
              <w:rPr>
                <w:rFonts w:ascii="Calibri" w:hAnsi="Calibri"/>
                <w:b/>
                <w:i/>
                <w:color w:val="000000"/>
                <w:szCs w:val="20"/>
              </w:rPr>
              <w:t>-2,800.0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-740.0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-160.0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w:t>
            </w:r>
          </w:p>
        </w:tc>
        <w:tc>
          <w:tcPr>
            <w:tcW w:w="438"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545904">
              <w:rPr>
                <w:rFonts w:ascii="Calibri" w:hAnsi="Calibri"/>
                <w:b/>
                <w:i/>
                <w:color w:val="000000"/>
                <w:szCs w:val="20"/>
              </w:rPr>
              <w:t>-3,700.0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keepNext/>
              <w:keepLines/>
              <w:ind w:left="57" w:right="57"/>
              <w:rPr>
                <w:i/>
                <w:color w:val="000000"/>
                <w:szCs w:val="20"/>
              </w:rPr>
            </w:pPr>
            <w:r w:rsidRPr="00545904">
              <w:rPr>
                <w:i/>
                <w:color w:val="000000"/>
                <w:szCs w:val="20"/>
              </w:rPr>
              <w:t>Departmental expenses</w:t>
            </w:r>
          </w:p>
        </w:tc>
        <w:tc>
          <w:tcPr>
            <w:tcW w:w="441"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-3.0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-3.0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-3.0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-5.0</w:t>
            </w:r>
          </w:p>
        </w:tc>
        <w:tc>
          <w:tcPr>
            <w:tcW w:w="442"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545904">
              <w:rPr>
                <w:rFonts w:ascii="Calibri" w:hAnsi="Calibri"/>
                <w:b/>
                <w:i/>
                <w:color w:val="000000"/>
                <w:szCs w:val="20"/>
              </w:rPr>
              <w:t>-14.0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-5.0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-1.0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5904">
              <w:rPr>
                <w:rFonts w:ascii="Calibri" w:hAnsi="Calibri"/>
                <w:i/>
                <w:color w:val="000000"/>
                <w:szCs w:val="20"/>
              </w:rPr>
              <w:t>-</w:t>
            </w:r>
          </w:p>
        </w:tc>
        <w:tc>
          <w:tcPr>
            <w:tcW w:w="438"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545904">
              <w:rPr>
                <w:rFonts w:ascii="Calibri" w:hAnsi="Calibri"/>
                <w:b/>
                <w:i/>
                <w:color w:val="000000"/>
                <w:szCs w:val="20"/>
              </w:rPr>
              <w:t>-20.0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E9ECF3"/>
          </w:tcPr>
          <w:p w:rsidR="000B5C96" w:rsidRPr="00545904" w:rsidRDefault="000B5C96" w:rsidP="003F606A">
            <w:pPr>
              <w:keepNext/>
              <w:keepLines/>
              <w:ind w:left="57" w:right="57"/>
              <w:rPr>
                <w:b/>
                <w:bCs/>
                <w:color w:val="000000"/>
                <w:szCs w:val="20"/>
              </w:rPr>
            </w:pPr>
            <w:r w:rsidRPr="00545904">
              <w:rPr>
                <w:b/>
                <w:bCs/>
                <w:color w:val="000000"/>
                <w:szCs w:val="20"/>
              </w:rPr>
              <w:t>Total</w:t>
            </w:r>
          </w:p>
        </w:tc>
        <w:tc>
          <w:tcPr>
            <w:tcW w:w="441"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545904">
              <w:rPr>
                <w:rFonts w:ascii="Calibri" w:hAnsi="Calibri"/>
                <w:b/>
                <w:color w:val="000000"/>
                <w:szCs w:val="20"/>
              </w:rPr>
              <w:t>-108.0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545904">
              <w:rPr>
                <w:rFonts w:ascii="Calibri" w:hAnsi="Calibri"/>
                <w:b/>
                <w:color w:val="000000"/>
                <w:szCs w:val="20"/>
              </w:rPr>
              <w:t>-527.0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545904">
              <w:rPr>
                <w:rFonts w:ascii="Calibri" w:hAnsi="Calibri"/>
                <w:b/>
                <w:color w:val="000000"/>
                <w:szCs w:val="20"/>
              </w:rPr>
              <w:t>-1,070.0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545904">
              <w:rPr>
                <w:rFonts w:ascii="Calibri" w:hAnsi="Calibri"/>
                <w:b/>
                <w:color w:val="000000"/>
                <w:szCs w:val="20"/>
              </w:rPr>
              <w:t>-1,163.0</w:t>
            </w:r>
          </w:p>
        </w:tc>
        <w:tc>
          <w:tcPr>
            <w:tcW w:w="442"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545904">
              <w:rPr>
                <w:rFonts w:ascii="Calibri" w:hAnsi="Calibri"/>
                <w:b/>
                <w:color w:val="000000"/>
                <w:szCs w:val="20"/>
              </w:rPr>
              <w:t>-2,868.0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545904">
              <w:rPr>
                <w:rFonts w:ascii="Calibri" w:hAnsi="Calibri"/>
                <w:b/>
                <w:color w:val="000000"/>
                <w:szCs w:val="20"/>
              </w:rPr>
              <w:t>-760.0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545904">
              <w:rPr>
                <w:rFonts w:ascii="Calibri" w:hAnsi="Calibri"/>
                <w:b/>
                <w:color w:val="000000"/>
                <w:szCs w:val="20"/>
              </w:rPr>
              <w:t>-166.0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545904">
              <w:rPr>
                <w:rFonts w:ascii="Calibri" w:hAnsi="Calibri"/>
                <w:b/>
                <w:color w:val="000000"/>
                <w:szCs w:val="20"/>
              </w:rPr>
              <w:t>3.0</w:t>
            </w:r>
          </w:p>
        </w:tc>
        <w:tc>
          <w:tcPr>
            <w:tcW w:w="438"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545904">
              <w:rPr>
                <w:rFonts w:ascii="Calibri" w:hAnsi="Calibri"/>
                <w:b/>
                <w:color w:val="000000"/>
                <w:szCs w:val="20"/>
              </w:rPr>
              <w:t>-3,791.0</w:t>
            </w:r>
          </w:p>
        </w:tc>
      </w:tr>
    </w:tbl>
    <w:p w:rsidR="000B5C96" w:rsidRPr="00545904" w:rsidRDefault="000B5C96" w:rsidP="00CB249D">
      <w:pPr>
        <w:pStyle w:val="Footnotes"/>
        <w:numPr>
          <w:ilvl w:val="0"/>
          <w:numId w:val="263"/>
        </w:numPr>
        <w:ind w:left="284" w:hanging="284"/>
      </w:pPr>
      <w:r w:rsidRPr="00545904">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545904" w:rsidRDefault="000B5C96" w:rsidP="000B5C96">
      <w:pPr>
        <w:pStyle w:val="Footnotes"/>
        <w:numPr>
          <w:ilvl w:val="0"/>
          <w:numId w:val="7"/>
        </w:numPr>
        <w:ind w:left="284" w:hanging="284"/>
      </w:pPr>
      <w:r w:rsidRPr="00545904">
        <w:t>Figures may not sum to total due to rounding.</w:t>
      </w:r>
    </w:p>
    <w:p w:rsidR="000B5C96" w:rsidRPr="00545904" w:rsidRDefault="000B5C96" w:rsidP="000B5C96">
      <w:pPr>
        <w:pStyle w:val="Footnotes"/>
        <w:numPr>
          <w:ilvl w:val="0"/>
          <w:numId w:val="115"/>
        </w:numPr>
        <w:ind w:left="284" w:hanging="284"/>
      </w:pPr>
      <w:r w:rsidRPr="00545904">
        <w:t>Indicates nil.</w:t>
      </w:r>
    </w:p>
    <w:p w:rsidR="000B5C96" w:rsidRPr="00545904" w:rsidRDefault="000B5C96" w:rsidP="003F606A">
      <w:pPr>
        <w:pStyle w:val="Caption"/>
      </w:pPr>
      <w:r w:rsidRPr="00545904">
        <w:t>Table A3: Component 1: Refundable tax credits — Financial implications — Fiscal balance</w:t>
      </w:r>
      <w:r w:rsidRPr="00545904">
        <w:rPr>
          <w:vertAlign w:val="superscript"/>
        </w:rPr>
        <w:t xml:space="preserve"> (a)(b)</w:t>
      </w:r>
    </w:p>
    <w:tbl>
      <w:tblPr>
        <w:tblStyle w:val="TableGrid41"/>
        <w:tblW w:w="3662" w:type="pct"/>
        <w:tblLook w:val="0680" w:firstRow="0" w:lastRow="0" w:firstColumn="1" w:lastColumn="0" w:noHBand="1" w:noVBand="1"/>
      </w:tblPr>
      <w:tblGrid>
        <w:gridCol w:w="2032"/>
        <w:gridCol w:w="857"/>
        <w:gridCol w:w="853"/>
        <w:gridCol w:w="852"/>
        <w:gridCol w:w="852"/>
        <w:gridCol w:w="858"/>
        <w:gridCol w:w="852"/>
        <w:gridCol w:w="852"/>
        <w:gridCol w:w="852"/>
        <w:gridCol w:w="848"/>
      </w:tblGrid>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D7DDE9"/>
          </w:tcPr>
          <w:p w:rsidR="000B5C96" w:rsidRPr="00545904" w:rsidRDefault="000B5C96" w:rsidP="003F606A">
            <w:pPr>
              <w:keepNext/>
              <w:keepLines/>
              <w:ind w:left="57" w:right="57"/>
              <w:rPr>
                <w:szCs w:val="20"/>
              </w:rPr>
            </w:pPr>
            <w:r w:rsidRPr="00545904">
              <w:rPr>
                <w:szCs w:val="20"/>
              </w:rPr>
              <w:t>($m)</w:t>
            </w:r>
          </w:p>
        </w:tc>
        <w:tc>
          <w:tcPr>
            <w:tcW w:w="441"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2016–17</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2017–18</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2018–19</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2019–20</w:t>
            </w:r>
          </w:p>
        </w:tc>
        <w:tc>
          <w:tcPr>
            <w:tcW w:w="442"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2019–20</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2020–21</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2021–22</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2022–23</w:t>
            </w:r>
          </w:p>
        </w:tc>
        <w:tc>
          <w:tcPr>
            <w:tcW w:w="437"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2022-23</w:t>
            </w:r>
          </w:p>
        </w:tc>
      </w:tr>
      <w:tr w:rsidR="000B5C96" w:rsidRPr="00545904"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788184"/>
              <w:left w:val="single" w:sz="4" w:space="0" w:color="788184"/>
              <w:bottom w:val="single" w:sz="4" w:space="0" w:color="788184"/>
              <w:right w:val="single" w:sz="4" w:space="0" w:color="788184"/>
            </w:tcBorders>
            <w:shd w:val="clear" w:color="auto" w:fill="E9ECF3"/>
          </w:tcPr>
          <w:p w:rsidR="000B5C96" w:rsidRPr="00545904" w:rsidRDefault="000B5C96" w:rsidP="003F606A">
            <w:pPr>
              <w:keepNext/>
              <w:keepLines/>
              <w:ind w:left="57" w:right="57"/>
              <w:rPr>
                <w:b/>
                <w:szCs w:val="20"/>
              </w:rPr>
            </w:pPr>
            <w:r w:rsidRPr="00545904">
              <w:rPr>
                <w:b/>
                <w:szCs w:val="20"/>
              </w:rPr>
              <w:t>Impact on fiscal balance</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keepNext/>
              <w:keepLines/>
              <w:ind w:left="57" w:right="57"/>
              <w:rPr>
                <w:i/>
                <w:color w:val="000000"/>
                <w:szCs w:val="20"/>
              </w:rPr>
            </w:pPr>
            <w:r w:rsidRPr="00545904">
              <w:rPr>
                <w:i/>
                <w:color w:val="000000"/>
                <w:szCs w:val="20"/>
              </w:rPr>
              <w:t>Administered expenses</w:t>
            </w:r>
          </w:p>
        </w:tc>
        <w:tc>
          <w:tcPr>
            <w:tcW w:w="441"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-430.0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-990.0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-1,100.0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-720.0</w:t>
            </w:r>
          </w:p>
        </w:tc>
        <w:tc>
          <w:tcPr>
            <w:tcW w:w="442"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-3,240.0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-160.0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7"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-3,400.0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keepNext/>
              <w:keepLines/>
              <w:ind w:left="57" w:right="57"/>
              <w:rPr>
                <w:i/>
                <w:color w:val="000000"/>
                <w:szCs w:val="20"/>
              </w:rPr>
            </w:pPr>
            <w:r w:rsidRPr="00545904">
              <w:rPr>
                <w:i/>
                <w:color w:val="000000"/>
                <w:szCs w:val="20"/>
              </w:rPr>
              <w:t>Departmental expenses</w:t>
            </w:r>
          </w:p>
        </w:tc>
        <w:tc>
          <w:tcPr>
            <w:tcW w:w="441"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42"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-4.0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7" w:type="pct"/>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-6.0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E9ECF3"/>
          </w:tcPr>
          <w:p w:rsidR="000B5C96" w:rsidRPr="00545904" w:rsidRDefault="000B5C96" w:rsidP="003F606A">
            <w:pPr>
              <w:keepNext/>
              <w:keepLines/>
              <w:ind w:left="57" w:right="57"/>
              <w:rPr>
                <w:b/>
                <w:bCs/>
                <w:color w:val="000000"/>
                <w:szCs w:val="20"/>
              </w:rPr>
            </w:pPr>
            <w:r w:rsidRPr="00545904">
              <w:rPr>
                <w:b/>
                <w:bCs/>
                <w:color w:val="000000"/>
                <w:szCs w:val="20"/>
              </w:rPr>
              <w:t>Total</w:t>
            </w:r>
          </w:p>
        </w:tc>
        <w:tc>
          <w:tcPr>
            <w:tcW w:w="441"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-431.0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-991.0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-1,101.0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-721.0</w:t>
            </w:r>
          </w:p>
        </w:tc>
        <w:tc>
          <w:tcPr>
            <w:tcW w:w="442"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-3,244.0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-161.0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-1.0</w:t>
            </w:r>
          </w:p>
        </w:tc>
        <w:tc>
          <w:tcPr>
            <w:tcW w:w="439"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w:t>
            </w:r>
          </w:p>
        </w:tc>
        <w:tc>
          <w:tcPr>
            <w:tcW w:w="437" w:type="pct"/>
            <w:shd w:val="clear" w:color="auto" w:fill="E9ECF3"/>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-3,406.0</w:t>
            </w:r>
          </w:p>
        </w:tc>
      </w:tr>
    </w:tbl>
    <w:p w:rsidR="000B5C96" w:rsidRDefault="000B5C96" w:rsidP="00CB249D">
      <w:pPr>
        <w:pStyle w:val="Footnotes"/>
        <w:keepNext/>
        <w:keepLines/>
        <w:numPr>
          <w:ilvl w:val="0"/>
          <w:numId w:val="264"/>
        </w:numPr>
        <w:ind w:left="284" w:hanging="284"/>
      </w:pPr>
      <w:r w:rsidRPr="00545904">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545904" w:rsidRDefault="000B5C96" w:rsidP="000B5C96">
      <w:pPr>
        <w:pStyle w:val="Footnotes"/>
        <w:keepNext/>
        <w:keepLines/>
        <w:numPr>
          <w:ilvl w:val="0"/>
          <w:numId w:val="7"/>
        </w:numPr>
        <w:ind w:left="284" w:hanging="284"/>
      </w:pPr>
      <w:r w:rsidRPr="00545904">
        <w:t>Figures may not sum to total due to rounding.</w:t>
      </w:r>
    </w:p>
    <w:p w:rsidR="000B5C96" w:rsidRPr="00545904" w:rsidRDefault="000B5C96" w:rsidP="000B5C96">
      <w:pPr>
        <w:pStyle w:val="Footnotes"/>
        <w:numPr>
          <w:ilvl w:val="0"/>
          <w:numId w:val="115"/>
        </w:numPr>
        <w:ind w:left="284" w:hanging="284"/>
      </w:pPr>
      <w:r w:rsidRPr="00545904">
        <w:t>Indicates nil</w:t>
      </w:r>
    </w:p>
    <w:p w:rsidR="000B5C96" w:rsidRPr="00545904" w:rsidRDefault="000B5C96" w:rsidP="003F606A">
      <w:pPr>
        <w:pStyle w:val="Caption"/>
      </w:pPr>
      <w:r w:rsidRPr="00545904">
        <w:t>Table A4: Component 1: Refundable tax credits — Financial implications — Underlying cash balance</w:t>
      </w:r>
      <w:r w:rsidRPr="00545904">
        <w:rPr>
          <w:vertAlign w:val="superscript"/>
        </w:rPr>
        <w:t xml:space="preserve"> (a)(b)</w:t>
      </w:r>
    </w:p>
    <w:tbl>
      <w:tblPr>
        <w:tblStyle w:val="TableGrid41"/>
        <w:tblW w:w="3662" w:type="pct"/>
        <w:tblLook w:val="0680" w:firstRow="0" w:lastRow="0" w:firstColumn="1" w:lastColumn="0" w:noHBand="1" w:noVBand="1"/>
      </w:tblPr>
      <w:tblGrid>
        <w:gridCol w:w="2032"/>
        <w:gridCol w:w="857"/>
        <w:gridCol w:w="853"/>
        <w:gridCol w:w="852"/>
        <w:gridCol w:w="852"/>
        <w:gridCol w:w="858"/>
        <w:gridCol w:w="852"/>
        <w:gridCol w:w="852"/>
        <w:gridCol w:w="852"/>
        <w:gridCol w:w="848"/>
      </w:tblGrid>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D7DDE9"/>
          </w:tcPr>
          <w:p w:rsidR="000B5C96" w:rsidRPr="00545904" w:rsidRDefault="000B5C96" w:rsidP="003F606A">
            <w:pPr>
              <w:keepNext/>
              <w:keepLines/>
              <w:ind w:left="57" w:right="57"/>
              <w:rPr>
                <w:szCs w:val="20"/>
              </w:rPr>
            </w:pPr>
            <w:r w:rsidRPr="00545904">
              <w:rPr>
                <w:szCs w:val="20"/>
              </w:rPr>
              <w:t>($m)</w:t>
            </w:r>
          </w:p>
        </w:tc>
        <w:tc>
          <w:tcPr>
            <w:tcW w:w="441"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2016–17</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2017–18</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2018–19</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2019–20</w:t>
            </w:r>
          </w:p>
        </w:tc>
        <w:tc>
          <w:tcPr>
            <w:tcW w:w="442"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2019–20</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2020–21</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2021–22</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2022–23</w:t>
            </w:r>
          </w:p>
        </w:tc>
        <w:tc>
          <w:tcPr>
            <w:tcW w:w="437"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2022-23</w:t>
            </w:r>
          </w:p>
        </w:tc>
      </w:tr>
      <w:tr w:rsidR="000B5C96" w:rsidRPr="00545904"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788184"/>
              <w:left w:val="single" w:sz="4" w:space="0" w:color="788184"/>
              <w:bottom w:val="single" w:sz="4" w:space="0" w:color="788184"/>
              <w:right w:val="single" w:sz="4" w:space="0" w:color="788184"/>
            </w:tcBorders>
            <w:shd w:val="clear" w:color="auto" w:fill="E9ECF3"/>
          </w:tcPr>
          <w:p w:rsidR="000B5C96" w:rsidRPr="00545904" w:rsidRDefault="000B5C96" w:rsidP="003F606A">
            <w:pPr>
              <w:keepNext/>
              <w:keepLines/>
              <w:ind w:left="57" w:right="57"/>
              <w:rPr>
                <w:b/>
                <w:szCs w:val="20"/>
              </w:rPr>
            </w:pPr>
            <w:r w:rsidRPr="00545904">
              <w:rPr>
                <w:b/>
                <w:szCs w:val="20"/>
              </w:rPr>
              <w:t>Impact on underlying cash balance</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ind w:left="57" w:right="57"/>
              <w:rPr>
                <w:i/>
                <w:color w:val="000000"/>
                <w:szCs w:val="20"/>
              </w:rPr>
            </w:pPr>
            <w:r w:rsidRPr="00545904">
              <w:rPr>
                <w:i/>
                <w:color w:val="000000"/>
                <w:szCs w:val="20"/>
              </w:rPr>
              <w:t>Administered expenses</w:t>
            </w:r>
          </w:p>
        </w:tc>
        <w:tc>
          <w:tcPr>
            <w:tcW w:w="441"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-430.0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-990.0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-1,100.0</w:t>
            </w:r>
          </w:p>
        </w:tc>
        <w:tc>
          <w:tcPr>
            <w:tcW w:w="442"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-2,520.0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-720.0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-160.0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7"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-3,400.0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ind w:left="57" w:right="57"/>
              <w:rPr>
                <w:i/>
                <w:color w:val="000000"/>
                <w:szCs w:val="20"/>
              </w:rPr>
            </w:pPr>
            <w:r w:rsidRPr="00545904">
              <w:rPr>
                <w:i/>
                <w:color w:val="000000"/>
                <w:szCs w:val="20"/>
              </w:rPr>
              <w:t>Departmental expenses</w:t>
            </w:r>
          </w:p>
        </w:tc>
        <w:tc>
          <w:tcPr>
            <w:tcW w:w="441"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42"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-4.0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7"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-6.0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E9ECF3"/>
          </w:tcPr>
          <w:p w:rsidR="000B5C96" w:rsidRPr="00545904" w:rsidRDefault="000B5C96" w:rsidP="003F606A">
            <w:pPr>
              <w:ind w:left="57" w:right="57"/>
              <w:rPr>
                <w:b/>
                <w:bCs/>
                <w:color w:val="000000"/>
                <w:szCs w:val="20"/>
              </w:rPr>
            </w:pPr>
            <w:r w:rsidRPr="00545904">
              <w:rPr>
                <w:b/>
                <w:bCs/>
                <w:color w:val="000000"/>
                <w:szCs w:val="20"/>
              </w:rPr>
              <w:t>Total</w:t>
            </w:r>
          </w:p>
        </w:tc>
        <w:tc>
          <w:tcPr>
            <w:tcW w:w="441"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-431.0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-991.0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-1,101.0</w:t>
            </w:r>
          </w:p>
        </w:tc>
        <w:tc>
          <w:tcPr>
            <w:tcW w:w="442"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-2,524.0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-721.0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-161.0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w:t>
            </w:r>
          </w:p>
        </w:tc>
        <w:tc>
          <w:tcPr>
            <w:tcW w:w="437"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-3,406.0</w:t>
            </w:r>
          </w:p>
        </w:tc>
      </w:tr>
    </w:tbl>
    <w:p w:rsidR="000B5C96" w:rsidRDefault="000B5C96" w:rsidP="00CB249D">
      <w:pPr>
        <w:pStyle w:val="Footnotes"/>
        <w:numPr>
          <w:ilvl w:val="0"/>
          <w:numId w:val="265"/>
        </w:numPr>
        <w:ind w:left="284" w:hanging="284"/>
      </w:pPr>
      <w:r w:rsidRPr="00545904">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545904" w:rsidRDefault="000B5C96" w:rsidP="000B5C96">
      <w:pPr>
        <w:pStyle w:val="Footnotes"/>
        <w:numPr>
          <w:ilvl w:val="0"/>
          <w:numId w:val="7"/>
        </w:numPr>
        <w:ind w:left="284" w:hanging="284"/>
      </w:pPr>
      <w:r w:rsidRPr="00545904">
        <w:t>Figures may not sum to total due to rounding.</w:t>
      </w:r>
    </w:p>
    <w:p w:rsidR="000B5C96" w:rsidRPr="00545904" w:rsidRDefault="000B5C96" w:rsidP="000B5C96">
      <w:pPr>
        <w:pStyle w:val="Footnotes"/>
        <w:numPr>
          <w:ilvl w:val="0"/>
          <w:numId w:val="115"/>
        </w:numPr>
        <w:ind w:left="284" w:hanging="284"/>
      </w:pPr>
      <w:r w:rsidRPr="00545904">
        <w:t>Indicates nil</w:t>
      </w:r>
    </w:p>
    <w:p w:rsidR="000B5C96" w:rsidRPr="00545904" w:rsidRDefault="000B5C96" w:rsidP="003F606A">
      <w:pPr>
        <w:pStyle w:val="Caption"/>
      </w:pPr>
      <w:r w:rsidRPr="00545904">
        <w:t>Table A5: Component 2: Low Income Solar Storage grants — Financial implications — Fiscal balance</w:t>
      </w:r>
      <w:r w:rsidRPr="00545904">
        <w:rPr>
          <w:vertAlign w:val="superscript"/>
        </w:rPr>
        <w:t xml:space="preserve"> (a)(b)</w:t>
      </w:r>
    </w:p>
    <w:tbl>
      <w:tblPr>
        <w:tblStyle w:val="TableGrid41"/>
        <w:tblW w:w="3662" w:type="pct"/>
        <w:tblLook w:val="0680" w:firstRow="0" w:lastRow="0" w:firstColumn="1" w:lastColumn="0" w:noHBand="1" w:noVBand="1"/>
      </w:tblPr>
      <w:tblGrid>
        <w:gridCol w:w="2032"/>
        <w:gridCol w:w="857"/>
        <w:gridCol w:w="853"/>
        <w:gridCol w:w="852"/>
        <w:gridCol w:w="852"/>
        <w:gridCol w:w="858"/>
        <w:gridCol w:w="852"/>
        <w:gridCol w:w="852"/>
        <w:gridCol w:w="852"/>
        <w:gridCol w:w="848"/>
      </w:tblGrid>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D7DDE9"/>
          </w:tcPr>
          <w:p w:rsidR="000B5C96" w:rsidRPr="00545904" w:rsidRDefault="000B5C96" w:rsidP="003F606A">
            <w:pPr>
              <w:keepNext/>
              <w:keepLines/>
              <w:ind w:left="57" w:right="57"/>
              <w:rPr>
                <w:szCs w:val="20"/>
              </w:rPr>
            </w:pPr>
            <w:r w:rsidRPr="00545904">
              <w:rPr>
                <w:szCs w:val="20"/>
              </w:rPr>
              <w:t>($m)</w:t>
            </w:r>
          </w:p>
        </w:tc>
        <w:tc>
          <w:tcPr>
            <w:tcW w:w="441"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2016–17</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2017–18</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2018–19</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2019–20</w:t>
            </w:r>
          </w:p>
        </w:tc>
        <w:tc>
          <w:tcPr>
            <w:tcW w:w="442"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2019–20</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2020–21</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2021–22</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2022–23</w:t>
            </w:r>
          </w:p>
        </w:tc>
        <w:tc>
          <w:tcPr>
            <w:tcW w:w="437"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2022-23</w:t>
            </w:r>
          </w:p>
        </w:tc>
      </w:tr>
      <w:tr w:rsidR="000B5C96" w:rsidRPr="00545904"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788184"/>
              <w:left w:val="single" w:sz="4" w:space="0" w:color="788184"/>
              <w:bottom w:val="single" w:sz="4" w:space="0" w:color="788184"/>
              <w:right w:val="single" w:sz="4" w:space="0" w:color="788184"/>
            </w:tcBorders>
            <w:shd w:val="clear" w:color="auto" w:fill="E9ECF3"/>
          </w:tcPr>
          <w:p w:rsidR="000B5C96" w:rsidRPr="00545904" w:rsidRDefault="000B5C96" w:rsidP="003F606A">
            <w:pPr>
              <w:keepNext/>
              <w:keepLines/>
              <w:ind w:left="57" w:right="57"/>
              <w:rPr>
                <w:b/>
                <w:szCs w:val="20"/>
              </w:rPr>
            </w:pPr>
            <w:r w:rsidRPr="00545904">
              <w:rPr>
                <w:b/>
                <w:szCs w:val="20"/>
              </w:rPr>
              <w:t>Impact on fiscal balance</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ind w:left="57" w:right="57"/>
              <w:rPr>
                <w:i/>
                <w:color w:val="000000"/>
                <w:szCs w:val="20"/>
              </w:rPr>
            </w:pPr>
            <w:r w:rsidRPr="00545904">
              <w:rPr>
                <w:i/>
                <w:color w:val="000000"/>
                <w:szCs w:val="20"/>
              </w:rPr>
              <w:t>Administered expenses</w:t>
            </w:r>
          </w:p>
        </w:tc>
        <w:tc>
          <w:tcPr>
            <w:tcW w:w="441"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-80.0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-60.0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-40.0</w:t>
            </w:r>
          </w:p>
        </w:tc>
        <w:tc>
          <w:tcPr>
            <w:tcW w:w="442"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-280.0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-20.0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7"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-300.0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ind w:left="57" w:right="57"/>
              <w:rPr>
                <w:i/>
                <w:color w:val="000000"/>
                <w:szCs w:val="20"/>
              </w:rPr>
            </w:pPr>
            <w:r w:rsidRPr="00545904">
              <w:rPr>
                <w:i/>
                <w:color w:val="000000"/>
                <w:szCs w:val="20"/>
              </w:rPr>
              <w:t>Departmental expenses</w:t>
            </w:r>
          </w:p>
        </w:tc>
        <w:tc>
          <w:tcPr>
            <w:tcW w:w="441"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42"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-4.0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7"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-5.0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E9ECF3"/>
          </w:tcPr>
          <w:p w:rsidR="000B5C96" w:rsidRPr="00545904" w:rsidRDefault="000B5C96" w:rsidP="003F606A">
            <w:pPr>
              <w:ind w:left="57" w:right="57"/>
              <w:rPr>
                <w:b/>
                <w:bCs/>
                <w:color w:val="000000"/>
                <w:szCs w:val="20"/>
              </w:rPr>
            </w:pPr>
            <w:r w:rsidRPr="00545904">
              <w:rPr>
                <w:b/>
                <w:bCs/>
                <w:color w:val="000000"/>
                <w:szCs w:val="20"/>
              </w:rPr>
              <w:t>Total</w:t>
            </w:r>
          </w:p>
        </w:tc>
        <w:tc>
          <w:tcPr>
            <w:tcW w:w="441"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-101.0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-81.0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-61.0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-41.0</w:t>
            </w:r>
          </w:p>
        </w:tc>
        <w:tc>
          <w:tcPr>
            <w:tcW w:w="442"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-284.0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-21.0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w:t>
            </w:r>
          </w:p>
        </w:tc>
        <w:tc>
          <w:tcPr>
            <w:tcW w:w="437"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-305.0</w:t>
            </w:r>
          </w:p>
        </w:tc>
      </w:tr>
    </w:tbl>
    <w:p w:rsidR="000B5C96" w:rsidRDefault="000B5C96" w:rsidP="00CB249D">
      <w:pPr>
        <w:pStyle w:val="Footnotes"/>
        <w:numPr>
          <w:ilvl w:val="0"/>
          <w:numId w:val="266"/>
        </w:numPr>
        <w:ind w:left="284" w:hanging="284"/>
      </w:pPr>
      <w:r w:rsidRPr="00545904">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545904" w:rsidRDefault="000B5C96" w:rsidP="000B5C96">
      <w:pPr>
        <w:pStyle w:val="Footnotes"/>
        <w:numPr>
          <w:ilvl w:val="0"/>
          <w:numId w:val="7"/>
        </w:numPr>
        <w:ind w:left="284" w:hanging="284"/>
      </w:pPr>
      <w:r w:rsidRPr="00545904">
        <w:t>Figures may not sum to total due to rounding.</w:t>
      </w:r>
    </w:p>
    <w:p w:rsidR="000B5C96" w:rsidRPr="00545904" w:rsidRDefault="000B5C96" w:rsidP="000B5C96">
      <w:pPr>
        <w:pStyle w:val="Footnotes"/>
        <w:numPr>
          <w:ilvl w:val="0"/>
          <w:numId w:val="115"/>
        </w:numPr>
        <w:ind w:left="284" w:hanging="284"/>
      </w:pPr>
      <w:r w:rsidRPr="00545904">
        <w:t>Indicates nil</w:t>
      </w:r>
    </w:p>
    <w:p w:rsidR="000B5C96" w:rsidRPr="00545904" w:rsidRDefault="000B5C96" w:rsidP="003F606A">
      <w:pPr>
        <w:pStyle w:val="Caption"/>
      </w:pPr>
      <w:r w:rsidRPr="00545904">
        <w:t>Table A6: Component 2: Low Income Solar Storage grants — Financial implications — Underlying cash balance</w:t>
      </w:r>
      <w:r w:rsidRPr="00545904">
        <w:rPr>
          <w:vertAlign w:val="superscript"/>
        </w:rPr>
        <w:t xml:space="preserve"> (a)(b)</w:t>
      </w:r>
    </w:p>
    <w:tbl>
      <w:tblPr>
        <w:tblStyle w:val="TableGrid41"/>
        <w:tblW w:w="3662" w:type="pct"/>
        <w:tblLook w:val="0680" w:firstRow="0" w:lastRow="0" w:firstColumn="1" w:lastColumn="0" w:noHBand="1" w:noVBand="1"/>
      </w:tblPr>
      <w:tblGrid>
        <w:gridCol w:w="2032"/>
        <w:gridCol w:w="857"/>
        <w:gridCol w:w="853"/>
        <w:gridCol w:w="852"/>
        <w:gridCol w:w="852"/>
        <w:gridCol w:w="858"/>
        <w:gridCol w:w="852"/>
        <w:gridCol w:w="852"/>
        <w:gridCol w:w="852"/>
        <w:gridCol w:w="848"/>
      </w:tblGrid>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D7DDE9"/>
          </w:tcPr>
          <w:p w:rsidR="000B5C96" w:rsidRPr="00545904" w:rsidRDefault="000B5C96" w:rsidP="003F606A">
            <w:pPr>
              <w:keepNext/>
              <w:keepLines/>
              <w:ind w:left="57" w:right="57"/>
              <w:rPr>
                <w:szCs w:val="20"/>
              </w:rPr>
            </w:pPr>
            <w:r w:rsidRPr="00545904">
              <w:rPr>
                <w:szCs w:val="20"/>
              </w:rPr>
              <w:t>($m)</w:t>
            </w:r>
          </w:p>
        </w:tc>
        <w:tc>
          <w:tcPr>
            <w:tcW w:w="441"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2016–17</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2017–18</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2018–19</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2019–20</w:t>
            </w:r>
          </w:p>
        </w:tc>
        <w:tc>
          <w:tcPr>
            <w:tcW w:w="442"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2019–20</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2020–21</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2021–22</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2022–23</w:t>
            </w:r>
          </w:p>
        </w:tc>
        <w:tc>
          <w:tcPr>
            <w:tcW w:w="437"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2022-23</w:t>
            </w:r>
          </w:p>
        </w:tc>
      </w:tr>
      <w:tr w:rsidR="000B5C96" w:rsidRPr="00545904"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788184"/>
              <w:left w:val="single" w:sz="4" w:space="0" w:color="788184"/>
              <w:bottom w:val="single" w:sz="4" w:space="0" w:color="788184"/>
              <w:right w:val="single" w:sz="4" w:space="0" w:color="788184"/>
            </w:tcBorders>
            <w:shd w:val="clear" w:color="auto" w:fill="E9ECF3"/>
          </w:tcPr>
          <w:p w:rsidR="000B5C96" w:rsidRPr="00545904" w:rsidRDefault="000B5C96" w:rsidP="003F606A">
            <w:pPr>
              <w:keepNext/>
              <w:keepLines/>
              <w:ind w:left="57" w:right="57"/>
              <w:rPr>
                <w:b/>
                <w:szCs w:val="20"/>
              </w:rPr>
            </w:pPr>
            <w:r w:rsidRPr="00545904">
              <w:rPr>
                <w:b/>
                <w:szCs w:val="20"/>
              </w:rPr>
              <w:t>Impact on underlying cash balance</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ind w:left="57" w:right="57"/>
              <w:rPr>
                <w:i/>
                <w:color w:val="000000"/>
                <w:szCs w:val="20"/>
              </w:rPr>
            </w:pPr>
            <w:r w:rsidRPr="00545904">
              <w:rPr>
                <w:i/>
                <w:color w:val="000000"/>
                <w:szCs w:val="20"/>
              </w:rPr>
              <w:t>Administered expenses</w:t>
            </w:r>
          </w:p>
        </w:tc>
        <w:tc>
          <w:tcPr>
            <w:tcW w:w="441"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-80.0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-60.0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-40.0</w:t>
            </w:r>
          </w:p>
        </w:tc>
        <w:tc>
          <w:tcPr>
            <w:tcW w:w="442"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-280.0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-20.0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7"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-300.0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ind w:left="57" w:right="57"/>
              <w:rPr>
                <w:i/>
                <w:color w:val="000000"/>
                <w:szCs w:val="20"/>
              </w:rPr>
            </w:pPr>
            <w:r w:rsidRPr="00545904">
              <w:rPr>
                <w:i/>
                <w:color w:val="000000"/>
                <w:szCs w:val="20"/>
              </w:rPr>
              <w:t>Departmental expenses</w:t>
            </w:r>
          </w:p>
        </w:tc>
        <w:tc>
          <w:tcPr>
            <w:tcW w:w="441"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42"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-4.0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7"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-5.0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E9ECF3"/>
          </w:tcPr>
          <w:p w:rsidR="000B5C96" w:rsidRPr="00545904" w:rsidRDefault="000B5C96" w:rsidP="003F606A">
            <w:pPr>
              <w:ind w:left="57" w:right="57"/>
              <w:rPr>
                <w:b/>
                <w:bCs/>
                <w:color w:val="000000"/>
                <w:szCs w:val="20"/>
              </w:rPr>
            </w:pPr>
            <w:r w:rsidRPr="00545904">
              <w:rPr>
                <w:b/>
                <w:bCs/>
                <w:color w:val="000000"/>
                <w:szCs w:val="20"/>
              </w:rPr>
              <w:t>Total</w:t>
            </w:r>
          </w:p>
        </w:tc>
        <w:tc>
          <w:tcPr>
            <w:tcW w:w="441"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-101.0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-81.0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-61.0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-41.0</w:t>
            </w:r>
          </w:p>
        </w:tc>
        <w:tc>
          <w:tcPr>
            <w:tcW w:w="442"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-284.0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-21.0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w:t>
            </w:r>
          </w:p>
        </w:tc>
        <w:tc>
          <w:tcPr>
            <w:tcW w:w="437"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-305.0</w:t>
            </w:r>
          </w:p>
        </w:tc>
      </w:tr>
    </w:tbl>
    <w:p w:rsidR="000B5C96" w:rsidRDefault="000B5C96" w:rsidP="00CB249D">
      <w:pPr>
        <w:pStyle w:val="Footnotes"/>
        <w:numPr>
          <w:ilvl w:val="0"/>
          <w:numId w:val="267"/>
        </w:numPr>
        <w:ind w:left="284" w:hanging="284"/>
      </w:pPr>
      <w:r w:rsidRPr="00545904">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545904" w:rsidRDefault="000B5C96" w:rsidP="000B5C96">
      <w:pPr>
        <w:pStyle w:val="Footnotes"/>
        <w:numPr>
          <w:ilvl w:val="0"/>
          <w:numId w:val="7"/>
        </w:numPr>
        <w:ind w:left="284" w:hanging="284"/>
      </w:pPr>
      <w:r w:rsidRPr="00545904">
        <w:t>Figures may not sum to total due to rounding.</w:t>
      </w:r>
    </w:p>
    <w:p w:rsidR="000B5C96" w:rsidRPr="00545904" w:rsidRDefault="000B5C96" w:rsidP="000B5C96">
      <w:pPr>
        <w:pStyle w:val="Footnotes"/>
        <w:numPr>
          <w:ilvl w:val="0"/>
          <w:numId w:val="115"/>
        </w:numPr>
        <w:ind w:left="284" w:hanging="284"/>
      </w:pPr>
      <w:r w:rsidRPr="00545904">
        <w:t>Indicates nil.</w:t>
      </w:r>
    </w:p>
    <w:p w:rsidR="000B5C96" w:rsidRPr="00545904" w:rsidRDefault="000B5C96" w:rsidP="003F606A">
      <w:pPr>
        <w:pStyle w:val="Caption"/>
      </w:pPr>
      <w:r w:rsidRPr="00545904">
        <w:t>Table A7: Component 3: Review by the Clean Energy Regulator — Financial implications — Fiscal balance</w:t>
      </w:r>
      <w:r w:rsidRPr="00545904">
        <w:rPr>
          <w:vertAlign w:val="superscript"/>
        </w:rPr>
        <w:t>(a)(b)</w:t>
      </w:r>
    </w:p>
    <w:tbl>
      <w:tblPr>
        <w:tblStyle w:val="TableGrid41"/>
        <w:tblW w:w="3662" w:type="pct"/>
        <w:tblLook w:val="0680" w:firstRow="0" w:lastRow="0" w:firstColumn="1" w:lastColumn="0" w:noHBand="1" w:noVBand="1"/>
      </w:tblPr>
      <w:tblGrid>
        <w:gridCol w:w="2032"/>
        <w:gridCol w:w="857"/>
        <w:gridCol w:w="853"/>
        <w:gridCol w:w="852"/>
        <w:gridCol w:w="852"/>
        <w:gridCol w:w="858"/>
        <w:gridCol w:w="852"/>
        <w:gridCol w:w="852"/>
        <w:gridCol w:w="852"/>
        <w:gridCol w:w="848"/>
      </w:tblGrid>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D7DDE9"/>
          </w:tcPr>
          <w:p w:rsidR="000B5C96" w:rsidRPr="00545904" w:rsidRDefault="000B5C96" w:rsidP="003F606A">
            <w:pPr>
              <w:keepNext/>
              <w:keepLines/>
              <w:ind w:left="57" w:right="57"/>
              <w:rPr>
                <w:szCs w:val="20"/>
              </w:rPr>
            </w:pPr>
            <w:r w:rsidRPr="00545904">
              <w:rPr>
                <w:szCs w:val="20"/>
              </w:rPr>
              <w:t>($m)</w:t>
            </w:r>
          </w:p>
        </w:tc>
        <w:tc>
          <w:tcPr>
            <w:tcW w:w="441"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2016–17</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2017–18</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2018–19</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2019–20</w:t>
            </w:r>
          </w:p>
        </w:tc>
        <w:tc>
          <w:tcPr>
            <w:tcW w:w="442"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2019–20</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2020–21</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2021–22</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2022–23</w:t>
            </w:r>
          </w:p>
        </w:tc>
        <w:tc>
          <w:tcPr>
            <w:tcW w:w="437"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2022-23</w:t>
            </w:r>
          </w:p>
        </w:tc>
      </w:tr>
      <w:tr w:rsidR="000B5C96" w:rsidRPr="00545904"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788184"/>
              <w:left w:val="single" w:sz="4" w:space="0" w:color="788184"/>
              <w:bottom w:val="single" w:sz="4" w:space="0" w:color="788184"/>
              <w:right w:val="single" w:sz="4" w:space="0" w:color="788184"/>
            </w:tcBorders>
            <w:shd w:val="clear" w:color="auto" w:fill="E9ECF3"/>
          </w:tcPr>
          <w:p w:rsidR="000B5C96" w:rsidRPr="00545904" w:rsidRDefault="000B5C96" w:rsidP="003F606A">
            <w:pPr>
              <w:keepNext/>
              <w:keepLines/>
              <w:ind w:left="57" w:right="57"/>
              <w:rPr>
                <w:b/>
                <w:szCs w:val="20"/>
              </w:rPr>
            </w:pPr>
            <w:r w:rsidRPr="00545904">
              <w:rPr>
                <w:b/>
                <w:szCs w:val="20"/>
              </w:rPr>
              <w:t>Impact on fiscal balance</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ind w:left="57" w:right="57"/>
              <w:rPr>
                <w:i/>
                <w:color w:val="000000"/>
                <w:szCs w:val="20"/>
              </w:rPr>
            </w:pPr>
            <w:r w:rsidRPr="00545904">
              <w:rPr>
                <w:i/>
                <w:color w:val="000000"/>
                <w:szCs w:val="20"/>
              </w:rPr>
              <w:t>Departmental expenses</w:t>
            </w:r>
          </w:p>
        </w:tc>
        <w:tc>
          <w:tcPr>
            <w:tcW w:w="441"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-3.0</w:t>
            </w:r>
          </w:p>
        </w:tc>
        <w:tc>
          <w:tcPr>
            <w:tcW w:w="442"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-6.0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-3.0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7"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-9.0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E9ECF3"/>
          </w:tcPr>
          <w:p w:rsidR="000B5C96" w:rsidRPr="00545904" w:rsidRDefault="000B5C96" w:rsidP="003F606A">
            <w:pPr>
              <w:ind w:left="57" w:right="57"/>
              <w:rPr>
                <w:b/>
                <w:bCs/>
                <w:color w:val="000000"/>
                <w:szCs w:val="20"/>
              </w:rPr>
            </w:pPr>
            <w:r w:rsidRPr="00545904">
              <w:rPr>
                <w:b/>
                <w:bCs/>
                <w:color w:val="000000"/>
                <w:szCs w:val="20"/>
              </w:rPr>
              <w:t>Total</w:t>
            </w:r>
          </w:p>
        </w:tc>
        <w:tc>
          <w:tcPr>
            <w:tcW w:w="441"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-3.0</w:t>
            </w:r>
          </w:p>
        </w:tc>
        <w:tc>
          <w:tcPr>
            <w:tcW w:w="442"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-6.0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-3.0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w:t>
            </w:r>
          </w:p>
        </w:tc>
        <w:tc>
          <w:tcPr>
            <w:tcW w:w="437"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-9.0</w:t>
            </w:r>
          </w:p>
        </w:tc>
      </w:tr>
    </w:tbl>
    <w:p w:rsidR="000B5C96" w:rsidRDefault="000B5C96" w:rsidP="00CB249D">
      <w:pPr>
        <w:pStyle w:val="Footnotes"/>
        <w:numPr>
          <w:ilvl w:val="0"/>
          <w:numId w:val="268"/>
        </w:numPr>
        <w:ind w:left="284" w:hanging="284"/>
      </w:pPr>
      <w:r w:rsidRPr="00545904">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545904" w:rsidRDefault="000B5C96" w:rsidP="000B5C96">
      <w:pPr>
        <w:pStyle w:val="Footnotes"/>
        <w:numPr>
          <w:ilvl w:val="0"/>
          <w:numId w:val="7"/>
        </w:numPr>
        <w:ind w:left="284" w:hanging="284"/>
      </w:pPr>
      <w:r w:rsidRPr="00545904">
        <w:t>Figures may not sum to total due to rounding.</w:t>
      </w:r>
    </w:p>
    <w:p w:rsidR="000B5C96" w:rsidRPr="00545904" w:rsidRDefault="000B5C96" w:rsidP="000B5C96">
      <w:pPr>
        <w:pStyle w:val="Footnotes"/>
        <w:numPr>
          <w:ilvl w:val="0"/>
          <w:numId w:val="115"/>
        </w:numPr>
        <w:ind w:left="284" w:hanging="284"/>
      </w:pPr>
      <w:r w:rsidRPr="00545904">
        <w:t>Indicates nil</w:t>
      </w:r>
    </w:p>
    <w:p w:rsidR="000B5C96" w:rsidRPr="00545904" w:rsidRDefault="000B5C96" w:rsidP="003F606A">
      <w:pPr>
        <w:pStyle w:val="Caption"/>
      </w:pPr>
      <w:r w:rsidRPr="00545904">
        <w:t>Table A8: Component 3: Review by the Clean Energy Regulator — Financial implications — Underlying cash balance</w:t>
      </w:r>
      <w:r w:rsidRPr="00545904">
        <w:rPr>
          <w:vertAlign w:val="superscript"/>
        </w:rPr>
        <w:t xml:space="preserve"> (a)(b)</w:t>
      </w:r>
    </w:p>
    <w:tbl>
      <w:tblPr>
        <w:tblStyle w:val="TableGrid41"/>
        <w:tblW w:w="3662" w:type="pct"/>
        <w:tblLook w:val="0680" w:firstRow="0" w:lastRow="0" w:firstColumn="1" w:lastColumn="0" w:noHBand="1" w:noVBand="1"/>
      </w:tblPr>
      <w:tblGrid>
        <w:gridCol w:w="2032"/>
        <w:gridCol w:w="857"/>
        <w:gridCol w:w="853"/>
        <w:gridCol w:w="852"/>
        <w:gridCol w:w="852"/>
        <w:gridCol w:w="858"/>
        <w:gridCol w:w="852"/>
        <w:gridCol w:w="852"/>
        <w:gridCol w:w="852"/>
        <w:gridCol w:w="848"/>
      </w:tblGrid>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D7DDE9"/>
          </w:tcPr>
          <w:p w:rsidR="000B5C96" w:rsidRPr="00545904" w:rsidRDefault="000B5C96" w:rsidP="003F606A">
            <w:pPr>
              <w:keepNext/>
              <w:keepLines/>
              <w:ind w:left="57" w:right="57"/>
              <w:rPr>
                <w:szCs w:val="20"/>
              </w:rPr>
            </w:pPr>
            <w:r w:rsidRPr="00545904">
              <w:rPr>
                <w:szCs w:val="20"/>
              </w:rPr>
              <w:t>($m)</w:t>
            </w:r>
          </w:p>
        </w:tc>
        <w:tc>
          <w:tcPr>
            <w:tcW w:w="441"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2016–17</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2017–18</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2018–19</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2019–20</w:t>
            </w:r>
          </w:p>
        </w:tc>
        <w:tc>
          <w:tcPr>
            <w:tcW w:w="442"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2019–20</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2020–21</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2021–22</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2022–23</w:t>
            </w:r>
          </w:p>
        </w:tc>
        <w:tc>
          <w:tcPr>
            <w:tcW w:w="437"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2022-23</w:t>
            </w:r>
          </w:p>
        </w:tc>
      </w:tr>
      <w:tr w:rsidR="000B5C96" w:rsidRPr="00545904"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788184"/>
              <w:left w:val="single" w:sz="4" w:space="0" w:color="788184"/>
              <w:bottom w:val="single" w:sz="4" w:space="0" w:color="788184"/>
              <w:right w:val="single" w:sz="4" w:space="0" w:color="788184"/>
            </w:tcBorders>
            <w:shd w:val="clear" w:color="auto" w:fill="E9ECF3"/>
          </w:tcPr>
          <w:p w:rsidR="000B5C96" w:rsidRPr="00545904" w:rsidRDefault="000B5C96" w:rsidP="003F606A">
            <w:pPr>
              <w:keepNext/>
              <w:keepLines/>
              <w:ind w:left="57" w:right="57"/>
              <w:rPr>
                <w:b/>
                <w:szCs w:val="20"/>
              </w:rPr>
            </w:pPr>
            <w:r w:rsidRPr="00545904">
              <w:rPr>
                <w:b/>
                <w:szCs w:val="20"/>
              </w:rPr>
              <w:t>Impact on underlying cash balance</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ind w:left="57" w:right="57"/>
              <w:rPr>
                <w:i/>
                <w:color w:val="000000"/>
                <w:szCs w:val="20"/>
              </w:rPr>
            </w:pPr>
            <w:r w:rsidRPr="00545904">
              <w:rPr>
                <w:i/>
                <w:color w:val="000000"/>
                <w:szCs w:val="20"/>
              </w:rPr>
              <w:t>Departmental expenses</w:t>
            </w:r>
          </w:p>
        </w:tc>
        <w:tc>
          <w:tcPr>
            <w:tcW w:w="441"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-1.0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-3.0</w:t>
            </w:r>
          </w:p>
        </w:tc>
        <w:tc>
          <w:tcPr>
            <w:tcW w:w="442"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-6.0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-3.0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4"/>
                <w:szCs w:val="24"/>
              </w:rPr>
            </w:pPr>
            <w:r w:rsidRPr="00545904">
              <w:rPr>
                <w:rFonts w:ascii="Calibri" w:hAnsi="Calibri"/>
                <w:i/>
                <w:iCs/>
                <w:color w:val="000000"/>
              </w:rPr>
              <w:t>-</w:t>
            </w:r>
          </w:p>
        </w:tc>
        <w:tc>
          <w:tcPr>
            <w:tcW w:w="437"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4"/>
                <w:szCs w:val="24"/>
              </w:rPr>
            </w:pPr>
            <w:r w:rsidRPr="00545904">
              <w:rPr>
                <w:rFonts w:ascii="Calibri" w:hAnsi="Calibri"/>
                <w:b/>
                <w:bCs/>
                <w:i/>
                <w:iCs/>
                <w:color w:val="000000"/>
              </w:rPr>
              <w:t>-9.0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E9ECF3"/>
          </w:tcPr>
          <w:p w:rsidR="000B5C96" w:rsidRPr="00545904" w:rsidRDefault="000B5C96" w:rsidP="003F606A">
            <w:pPr>
              <w:ind w:left="57" w:right="57"/>
              <w:rPr>
                <w:b/>
                <w:bCs/>
                <w:color w:val="000000"/>
                <w:szCs w:val="20"/>
              </w:rPr>
            </w:pPr>
            <w:r w:rsidRPr="00545904">
              <w:rPr>
                <w:b/>
                <w:bCs/>
                <w:color w:val="000000"/>
                <w:szCs w:val="20"/>
              </w:rPr>
              <w:t>Total</w:t>
            </w:r>
          </w:p>
        </w:tc>
        <w:tc>
          <w:tcPr>
            <w:tcW w:w="441"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-1.0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-3.0</w:t>
            </w:r>
          </w:p>
        </w:tc>
        <w:tc>
          <w:tcPr>
            <w:tcW w:w="442"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-6.0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-3.0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4"/>
              </w:rPr>
            </w:pPr>
            <w:r w:rsidRPr="00545904">
              <w:rPr>
                <w:rFonts w:ascii="Calibri" w:hAnsi="Calibri"/>
                <w:b/>
                <w:color w:val="000000"/>
              </w:rPr>
              <w:t>-</w:t>
            </w:r>
          </w:p>
        </w:tc>
        <w:tc>
          <w:tcPr>
            <w:tcW w:w="437"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rPr>
            </w:pPr>
            <w:r w:rsidRPr="00545904">
              <w:rPr>
                <w:rFonts w:ascii="Calibri" w:hAnsi="Calibri"/>
                <w:b/>
                <w:bCs/>
                <w:color w:val="000000"/>
              </w:rPr>
              <w:t>-9.0</w:t>
            </w:r>
          </w:p>
        </w:tc>
      </w:tr>
    </w:tbl>
    <w:p w:rsidR="000B5C96" w:rsidRDefault="000B5C96" w:rsidP="00CB249D">
      <w:pPr>
        <w:pStyle w:val="Footnotes"/>
        <w:numPr>
          <w:ilvl w:val="0"/>
          <w:numId w:val="269"/>
        </w:numPr>
        <w:ind w:left="284" w:hanging="284"/>
      </w:pPr>
      <w:r w:rsidRPr="00545904">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545904" w:rsidRDefault="000B5C96" w:rsidP="000B5C96">
      <w:pPr>
        <w:pStyle w:val="Footnotes"/>
        <w:numPr>
          <w:ilvl w:val="0"/>
          <w:numId w:val="7"/>
        </w:numPr>
        <w:ind w:left="284" w:hanging="284"/>
      </w:pPr>
      <w:r w:rsidRPr="00545904">
        <w:t>Figures may not sum to total due to rounding.</w:t>
      </w:r>
    </w:p>
    <w:p w:rsidR="000B5C96" w:rsidRPr="00545904" w:rsidRDefault="000B5C96" w:rsidP="000B5C96">
      <w:pPr>
        <w:pStyle w:val="Footnotes"/>
        <w:numPr>
          <w:ilvl w:val="0"/>
          <w:numId w:val="115"/>
        </w:numPr>
        <w:ind w:left="284" w:hanging="284"/>
      </w:pPr>
      <w:r w:rsidRPr="00545904">
        <w:t>Indicates nil.</w:t>
      </w:r>
    </w:p>
    <w:p w:rsidR="000B5C96" w:rsidRPr="00545904" w:rsidRDefault="000B5C96" w:rsidP="003F606A">
      <w:pPr>
        <w:pStyle w:val="Caption"/>
      </w:pPr>
      <w:r w:rsidRPr="00545904">
        <w:t>Table A9: Component 4: Business battery storage depreciation — Financial implications — Fiscal balance</w:t>
      </w:r>
      <w:r w:rsidRPr="00545904">
        <w:rPr>
          <w:vertAlign w:val="superscript"/>
        </w:rPr>
        <w:t xml:space="preserve"> (a)(b)</w:t>
      </w:r>
    </w:p>
    <w:tbl>
      <w:tblPr>
        <w:tblStyle w:val="TableGrid41"/>
        <w:tblW w:w="3662" w:type="pct"/>
        <w:tblLook w:val="0680" w:firstRow="0" w:lastRow="0" w:firstColumn="1" w:lastColumn="0" w:noHBand="1" w:noVBand="1"/>
      </w:tblPr>
      <w:tblGrid>
        <w:gridCol w:w="2032"/>
        <w:gridCol w:w="857"/>
        <w:gridCol w:w="853"/>
        <w:gridCol w:w="852"/>
        <w:gridCol w:w="852"/>
        <w:gridCol w:w="858"/>
        <w:gridCol w:w="852"/>
        <w:gridCol w:w="852"/>
        <w:gridCol w:w="852"/>
        <w:gridCol w:w="848"/>
      </w:tblGrid>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D7DDE9"/>
          </w:tcPr>
          <w:p w:rsidR="000B5C96" w:rsidRPr="00545904" w:rsidRDefault="000B5C96" w:rsidP="003F606A">
            <w:pPr>
              <w:keepNext/>
              <w:keepLines/>
              <w:ind w:left="57" w:right="57"/>
              <w:rPr>
                <w:szCs w:val="20"/>
              </w:rPr>
            </w:pPr>
            <w:r w:rsidRPr="00545904">
              <w:rPr>
                <w:szCs w:val="20"/>
              </w:rPr>
              <w:t>($m)</w:t>
            </w:r>
          </w:p>
        </w:tc>
        <w:tc>
          <w:tcPr>
            <w:tcW w:w="441"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2016–17</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2017–18</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2018–19</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2019–20</w:t>
            </w:r>
          </w:p>
        </w:tc>
        <w:tc>
          <w:tcPr>
            <w:tcW w:w="442"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2019–20</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2020–21</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2021–22</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2022–23</w:t>
            </w:r>
          </w:p>
        </w:tc>
        <w:tc>
          <w:tcPr>
            <w:tcW w:w="437"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2022-23</w:t>
            </w:r>
          </w:p>
        </w:tc>
      </w:tr>
      <w:tr w:rsidR="000B5C96" w:rsidRPr="00545904"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788184"/>
              <w:left w:val="single" w:sz="4" w:space="0" w:color="788184"/>
              <w:bottom w:val="single" w:sz="4" w:space="0" w:color="788184"/>
              <w:right w:val="single" w:sz="4" w:space="0" w:color="788184"/>
            </w:tcBorders>
            <w:shd w:val="clear" w:color="auto" w:fill="E9ECF3"/>
          </w:tcPr>
          <w:p w:rsidR="000B5C96" w:rsidRPr="00545904" w:rsidRDefault="000B5C96" w:rsidP="003F606A">
            <w:pPr>
              <w:keepNext/>
              <w:keepLines/>
              <w:ind w:left="57" w:right="57"/>
              <w:rPr>
                <w:b/>
                <w:szCs w:val="20"/>
              </w:rPr>
            </w:pPr>
            <w:r w:rsidRPr="00545904">
              <w:rPr>
                <w:b/>
                <w:szCs w:val="20"/>
              </w:rPr>
              <w:t>Impact on fiscal balance</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ind w:left="57" w:right="57"/>
              <w:rPr>
                <w:color w:val="000000"/>
                <w:szCs w:val="20"/>
              </w:rPr>
            </w:pPr>
            <w:r w:rsidRPr="00545904">
              <w:rPr>
                <w:color w:val="000000"/>
                <w:szCs w:val="20"/>
              </w:rPr>
              <w:t>Revenue</w:t>
            </w:r>
          </w:p>
        </w:tc>
        <w:tc>
          <w:tcPr>
            <w:tcW w:w="441"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-5.0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-14.0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-17.0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-18.0</w:t>
            </w:r>
          </w:p>
        </w:tc>
        <w:tc>
          <w:tcPr>
            <w:tcW w:w="442"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4"/>
                <w:szCs w:val="24"/>
              </w:rPr>
            </w:pPr>
            <w:r w:rsidRPr="00545904">
              <w:rPr>
                <w:rFonts w:ascii="Calibri" w:hAnsi="Calibri"/>
                <w:b/>
                <w:bCs/>
                <w:iCs/>
                <w:color w:val="000000"/>
              </w:rPr>
              <w:t>-54.0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-15.0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-5.0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3.0</w:t>
            </w:r>
          </w:p>
        </w:tc>
        <w:tc>
          <w:tcPr>
            <w:tcW w:w="437"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4"/>
                <w:szCs w:val="24"/>
              </w:rPr>
            </w:pPr>
            <w:r w:rsidRPr="00545904">
              <w:rPr>
                <w:rFonts w:ascii="Calibri" w:hAnsi="Calibri"/>
                <w:b/>
                <w:bCs/>
                <w:iCs/>
                <w:color w:val="000000"/>
              </w:rPr>
              <w:t>-71.0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E9ECF3"/>
          </w:tcPr>
          <w:p w:rsidR="000B5C96" w:rsidRPr="00545904" w:rsidRDefault="000B5C96" w:rsidP="003F606A">
            <w:pPr>
              <w:ind w:left="57" w:right="57"/>
              <w:rPr>
                <w:b/>
                <w:bCs/>
                <w:color w:val="000000"/>
                <w:szCs w:val="20"/>
              </w:rPr>
            </w:pPr>
            <w:r w:rsidRPr="00545904">
              <w:rPr>
                <w:b/>
                <w:bCs/>
                <w:color w:val="000000"/>
                <w:szCs w:val="20"/>
              </w:rPr>
              <w:t>Total</w:t>
            </w:r>
          </w:p>
        </w:tc>
        <w:tc>
          <w:tcPr>
            <w:tcW w:w="441"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-5.0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-14.0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-17.0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-18.0</w:t>
            </w:r>
          </w:p>
        </w:tc>
        <w:tc>
          <w:tcPr>
            <w:tcW w:w="442"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4"/>
                <w:szCs w:val="24"/>
              </w:rPr>
            </w:pPr>
            <w:r w:rsidRPr="00545904">
              <w:rPr>
                <w:rFonts w:ascii="Calibri" w:hAnsi="Calibri"/>
                <w:b/>
                <w:bCs/>
                <w:iCs/>
                <w:color w:val="000000"/>
              </w:rPr>
              <w:t>-54.0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-15.0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-5.0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3.0</w:t>
            </w:r>
          </w:p>
        </w:tc>
        <w:tc>
          <w:tcPr>
            <w:tcW w:w="437"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4"/>
                <w:szCs w:val="24"/>
              </w:rPr>
            </w:pPr>
            <w:r w:rsidRPr="00545904">
              <w:rPr>
                <w:rFonts w:ascii="Calibri" w:hAnsi="Calibri"/>
                <w:b/>
                <w:bCs/>
                <w:iCs/>
                <w:color w:val="000000"/>
              </w:rPr>
              <w:t>-71.0</w:t>
            </w:r>
          </w:p>
        </w:tc>
      </w:tr>
    </w:tbl>
    <w:p w:rsidR="000B5C96" w:rsidRDefault="000B5C96" w:rsidP="00CB249D">
      <w:pPr>
        <w:pStyle w:val="Footnotes"/>
        <w:numPr>
          <w:ilvl w:val="0"/>
          <w:numId w:val="270"/>
        </w:numPr>
      </w:pPr>
      <w:r w:rsidRPr="00545904">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545904" w:rsidRDefault="000B5C96" w:rsidP="000B5C96">
      <w:pPr>
        <w:pStyle w:val="Footnotes"/>
        <w:numPr>
          <w:ilvl w:val="0"/>
          <w:numId w:val="7"/>
        </w:numPr>
        <w:ind w:left="284" w:hanging="284"/>
      </w:pPr>
      <w:r w:rsidRPr="00545904">
        <w:t>Figures may not sum to total due to rounding.</w:t>
      </w:r>
    </w:p>
    <w:p w:rsidR="000B5C96" w:rsidRPr="00545904" w:rsidRDefault="000B5C96" w:rsidP="000B5C96">
      <w:pPr>
        <w:pStyle w:val="Footnotes"/>
        <w:numPr>
          <w:ilvl w:val="0"/>
          <w:numId w:val="115"/>
        </w:numPr>
        <w:ind w:left="284" w:hanging="284"/>
      </w:pPr>
      <w:r w:rsidRPr="00545904">
        <w:t>Indicates nil</w:t>
      </w:r>
    </w:p>
    <w:p w:rsidR="000B5C96" w:rsidRPr="00545904" w:rsidRDefault="000B5C96" w:rsidP="003F606A">
      <w:pPr>
        <w:pStyle w:val="Caption"/>
      </w:pPr>
      <w:r w:rsidRPr="00545904">
        <w:t>Table A10: Component 4: Business battery storage depreciation — Financial implications — Underlying cash balance</w:t>
      </w:r>
      <w:r w:rsidRPr="00545904">
        <w:rPr>
          <w:vertAlign w:val="superscript"/>
        </w:rPr>
        <w:t xml:space="preserve"> (a)(b)</w:t>
      </w:r>
    </w:p>
    <w:tbl>
      <w:tblPr>
        <w:tblStyle w:val="TableGrid41"/>
        <w:tblW w:w="3662" w:type="pct"/>
        <w:tblLook w:val="0680" w:firstRow="0" w:lastRow="0" w:firstColumn="1" w:lastColumn="0" w:noHBand="1" w:noVBand="1"/>
      </w:tblPr>
      <w:tblGrid>
        <w:gridCol w:w="2032"/>
        <w:gridCol w:w="857"/>
        <w:gridCol w:w="853"/>
        <w:gridCol w:w="852"/>
        <w:gridCol w:w="852"/>
        <w:gridCol w:w="858"/>
        <w:gridCol w:w="852"/>
        <w:gridCol w:w="852"/>
        <w:gridCol w:w="852"/>
        <w:gridCol w:w="848"/>
      </w:tblGrid>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D7DDE9"/>
          </w:tcPr>
          <w:p w:rsidR="000B5C96" w:rsidRPr="00545904" w:rsidRDefault="000B5C96" w:rsidP="003F606A">
            <w:pPr>
              <w:keepNext/>
              <w:keepLines/>
              <w:ind w:left="57" w:right="57"/>
              <w:rPr>
                <w:szCs w:val="20"/>
              </w:rPr>
            </w:pPr>
            <w:r w:rsidRPr="00545904">
              <w:rPr>
                <w:szCs w:val="20"/>
              </w:rPr>
              <w:t>($m)</w:t>
            </w:r>
          </w:p>
        </w:tc>
        <w:tc>
          <w:tcPr>
            <w:tcW w:w="441"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2016–17</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2017–18</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2018–19</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2019–20</w:t>
            </w:r>
          </w:p>
        </w:tc>
        <w:tc>
          <w:tcPr>
            <w:tcW w:w="442"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2019–20</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2020–21</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2021–22</w:t>
            </w:r>
          </w:p>
        </w:tc>
        <w:tc>
          <w:tcPr>
            <w:tcW w:w="439"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5904">
              <w:rPr>
                <w:rFonts w:ascii="Calibri" w:hAnsi="Calibri"/>
                <w:szCs w:val="20"/>
              </w:rPr>
              <w:t>2022–23</w:t>
            </w:r>
          </w:p>
        </w:tc>
        <w:tc>
          <w:tcPr>
            <w:tcW w:w="437" w:type="pct"/>
            <w:shd w:val="clear" w:color="auto" w:fill="D7DDE9"/>
          </w:tcPr>
          <w:p w:rsidR="000B5C96" w:rsidRPr="00545904"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545904">
              <w:rPr>
                <w:rFonts w:ascii="Calibri" w:hAnsi="Calibri"/>
                <w:b/>
                <w:szCs w:val="20"/>
              </w:rPr>
              <w:t>Total to 2022-23</w:t>
            </w:r>
          </w:p>
        </w:tc>
      </w:tr>
      <w:tr w:rsidR="000B5C96" w:rsidRPr="00545904"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788184"/>
              <w:left w:val="single" w:sz="4" w:space="0" w:color="788184"/>
              <w:bottom w:val="single" w:sz="4" w:space="0" w:color="788184"/>
              <w:right w:val="single" w:sz="4" w:space="0" w:color="788184"/>
            </w:tcBorders>
            <w:shd w:val="clear" w:color="auto" w:fill="E9ECF3"/>
          </w:tcPr>
          <w:p w:rsidR="000B5C96" w:rsidRPr="00545904" w:rsidRDefault="000B5C96" w:rsidP="003F606A">
            <w:pPr>
              <w:keepNext/>
              <w:keepLines/>
              <w:ind w:left="57" w:right="57"/>
              <w:rPr>
                <w:b/>
                <w:szCs w:val="20"/>
              </w:rPr>
            </w:pPr>
            <w:r w:rsidRPr="00545904">
              <w:rPr>
                <w:b/>
                <w:szCs w:val="20"/>
              </w:rPr>
              <w:t>Impact on underlying cash balance</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tcPr>
          <w:p w:rsidR="000B5C96" w:rsidRPr="00545904" w:rsidRDefault="000B5C96" w:rsidP="003F606A">
            <w:pPr>
              <w:ind w:left="57" w:right="57"/>
              <w:rPr>
                <w:color w:val="000000"/>
                <w:szCs w:val="20"/>
              </w:rPr>
            </w:pPr>
            <w:r w:rsidRPr="00545904">
              <w:rPr>
                <w:color w:val="000000"/>
                <w:szCs w:val="20"/>
              </w:rPr>
              <w:t>Revenue</w:t>
            </w:r>
          </w:p>
        </w:tc>
        <w:tc>
          <w:tcPr>
            <w:tcW w:w="441"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-5.0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-14.0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-17.0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-18.0</w:t>
            </w:r>
          </w:p>
        </w:tc>
        <w:tc>
          <w:tcPr>
            <w:tcW w:w="442"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4"/>
                <w:szCs w:val="24"/>
              </w:rPr>
            </w:pPr>
            <w:r w:rsidRPr="00545904">
              <w:rPr>
                <w:rFonts w:ascii="Calibri" w:hAnsi="Calibri"/>
                <w:b/>
                <w:bCs/>
                <w:iCs/>
                <w:color w:val="000000"/>
              </w:rPr>
              <w:t>-54.0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-15.0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-5.0</w:t>
            </w:r>
          </w:p>
        </w:tc>
        <w:tc>
          <w:tcPr>
            <w:tcW w:w="439"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4"/>
                <w:szCs w:val="24"/>
              </w:rPr>
            </w:pPr>
            <w:r w:rsidRPr="00545904">
              <w:rPr>
                <w:rFonts w:ascii="Calibri" w:hAnsi="Calibri"/>
                <w:iCs/>
                <w:color w:val="000000"/>
              </w:rPr>
              <w:t>3.0</w:t>
            </w:r>
          </w:p>
        </w:tc>
        <w:tc>
          <w:tcPr>
            <w:tcW w:w="437" w:type="pct"/>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4"/>
                <w:szCs w:val="24"/>
              </w:rPr>
            </w:pPr>
            <w:r w:rsidRPr="00545904">
              <w:rPr>
                <w:rFonts w:ascii="Calibri" w:hAnsi="Calibri"/>
                <w:b/>
                <w:bCs/>
                <w:iCs/>
                <w:color w:val="000000"/>
              </w:rPr>
              <w:t>-71.0</w:t>
            </w:r>
          </w:p>
        </w:tc>
      </w:tr>
      <w:tr w:rsidR="000B5C96" w:rsidRPr="00545904" w:rsidTr="003F606A">
        <w:trPr>
          <w:cantSplit/>
        </w:trPr>
        <w:tc>
          <w:tcPr>
            <w:cnfStyle w:val="001000000000" w:firstRow="0" w:lastRow="0" w:firstColumn="1" w:lastColumn="0" w:oddVBand="0" w:evenVBand="0" w:oddHBand="0" w:evenHBand="0" w:firstRowFirstColumn="0" w:firstRowLastColumn="0" w:lastRowFirstColumn="0" w:lastRowLastColumn="0"/>
            <w:tcW w:w="1046" w:type="pct"/>
            <w:shd w:val="clear" w:color="auto" w:fill="E9ECF3"/>
          </w:tcPr>
          <w:p w:rsidR="000B5C96" w:rsidRPr="00545904" w:rsidRDefault="000B5C96" w:rsidP="003F606A">
            <w:pPr>
              <w:ind w:left="57" w:right="57"/>
              <w:rPr>
                <w:b/>
                <w:bCs/>
                <w:color w:val="000000"/>
                <w:szCs w:val="20"/>
              </w:rPr>
            </w:pPr>
            <w:r w:rsidRPr="00545904">
              <w:rPr>
                <w:b/>
                <w:bCs/>
                <w:color w:val="000000"/>
                <w:szCs w:val="20"/>
              </w:rPr>
              <w:t>Total</w:t>
            </w:r>
          </w:p>
        </w:tc>
        <w:tc>
          <w:tcPr>
            <w:tcW w:w="441"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-5.0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-14.0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-17.0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-18.0</w:t>
            </w:r>
          </w:p>
        </w:tc>
        <w:tc>
          <w:tcPr>
            <w:tcW w:w="442"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4"/>
                <w:szCs w:val="24"/>
              </w:rPr>
            </w:pPr>
            <w:r w:rsidRPr="00545904">
              <w:rPr>
                <w:rFonts w:ascii="Calibri" w:hAnsi="Calibri"/>
                <w:b/>
                <w:bCs/>
                <w:iCs/>
                <w:color w:val="000000"/>
              </w:rPr>
              <w:t>-54.0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-15.0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-5.0</w:t>
            </w:r>
          </w:p>
        </w:tc>
        <w:tc>
          <w:tcPr>
            <w:tcW w:w="439"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4"/>
                <w:szCs w:val="24"/>
              </w:rPr>
            </w:pPr>
            <w:r w:rsidRPr="00545904">
              <w:rPr>
                <w:rFonts w:ascii="Calibri" w:hAnsi="Calibri"/>
                <w:b/>
                <w:iCs/>
                <w:color w:val="000000"/>
              </w:rPr>
              <w:t>3.0</w:t>
            </w:r>
          </w:p>
        </w:tc>
        <w:tc>
          <w:tcPr>
            <w:tcW w:w="437" w:type="pct"/>
            <w:shd w:val="clear" w:color="auto" w:fill="E9ECF3"/>
          </w:tcPr>
          <w:p w:rsidR="000B5C96" w:rsidRPr="00545904"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4"/>
                <w:szCs w:val="24"/>
              </w:rPr>
            </w:pPr>
            <w:r w:rsidRPr="00545904">
              <w:rPr>
                <w:rFonts w:ascii="Calibri" w:hAnsi="Calibri"/>
                <w:b/>
                <w:bCs/>
                <w:iCs/>
                <w:color w:val="000000"/>
              </w:rPr>
              <w:t>-71.0</w:t>
            </w:r>
          </w:p>
        </w:tc>
      </w:tr>
    </w:tbl>
    <w:p w:rsidR="000B5C96" w:rsidRDefault="000B5C96" w:rsidP="00CB249D">
      <w:pPr>
        <w:pStyle w:val="Footnotes"/>
        <w:numPr>
          <w:ilvl w:val="0"/>
          <w:numId w:val="271"/>
        </w:numPr>
        <w:ind w:left="284" w:hanging="284"/>
      </w:pPr>
      <w:r w:rsidRPr="00545904">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545904" w:rsidRDefault="000B5C96" w:rsidP="000B5C96">
      <w:pPr>
        <w:pStyle w:val="Footnotes"/>
        <w:numPr>
          <w:ilvl w:val="0"/>
          <w:numId w:val="7"/>
        </w:numPr>
        <w:ind w:left="284" w:hanging="284"/>
      </w:pPr>
      <w:r w:rsidRPr="00545904">
        <w:t>Figures may not sum to total due to rounding.</w:t>
      </w:r>
    </w:p>
    <w:p w:rsidR="000B5C96" w:rsidRPr="00545904" w:rsidRDefault="000B5C96" w:rsidP="000B5C96">
      <w:pPr>
        <w:pStyle w:val="Footnotes"/>
        <w:numPr>
          <w:ilvl w:val="0"/>
          <w:numId w:val="115"/>
        </w:numPr>
        <w:ind w:left="284" w:hanging="284"/>
      </w:pPr>
      <w:r w:rsidRPr="00545904">
        <w:t>Indicates nil</w:t>
      </w:r>
    </w:p>
    <w:p w:rsidR="000B5C96" w:rsidRPr="00E0779C" w:rsidRDefault="000B5C96" w:rsidP="000B5C96">
      <w:pPr>
        <w:pStyle w:val="Footnotes"/>
        <w:numPr>
          <w:ilvl w:val="0"/>
          <w:numId w:val="128"/>
        </w:numPr>
        <w:ind w:left="284" w:hanging="284"/>
        <w:rPr>
          <w:rFonts w:eastAsia="Times New Roman"/>
          <w:lang w:eastAsia="en-AU"/>
        </w:rPr>
        <w:sectPr w:rsidR="000B5C96" w:rsidRPr="00E0779C" w:rsidSect="003F606A">
          <w:headerReference w:type="even" r:id="rId547"/>
          <w:headerReference w:type="default" r:id="rId548"/>
          <w:footerReference w:type="even" r:id="rId549"/>
          <w:footerReference w:type="default" r:id="rId550"/>
          <w:pgSz w:w="16839" w:h="11907" w:orient="landscape" w:code="9"/>
          <w:pgMar w:top="1361" w:right="1797" w:bottom="1474" w:left="1797" w:header="283" w:footer="454" w:gutter="0"/>
          <w:cols w:space="708"/>
          <w:docGrid w:linePitch="360"/>
        </w:sectPr>
      </w:pPr>
    </w:p>
    <w:p w:rsidR="000B5C96" w:rsidRDefault="000B5C96" w:rsidP="003F606A">
      <w:pPr>
        <w:pStyle w:val="Heading5"/>
      </w:pPr>
      <w:bookmarkStart w:id="185" w:name="_Toc458001972"/>
      <w:bookmarkStart w:id="186" w:name="_Toc458069457"/>
      <w:r>
        <w:t>GRN064: Green Building Plan</w:t>
      </w:r>
      <w:bookmarkEnd w:id="185"/>
      <w:bookmarkEnd w:id="186"/>
    </w:p>
    <w:p w:rsidR="000B5C96" w:rsidRPr="008A0AE1" w:rsidRDefault="000B5C96" w:rsidP="003F606A">
      <w:pPr>
        <w:pStyle w:val="BodyText"/>
      </w:pPr>
      <w:r>
        <w:rPr>
          <w:noProof/>
          <w:lang w:eastAsia="en-AU"/>
        </w:rPr>
        <w:drawing>
          <wp:inline distT="0" distB="0" distL="0" distR="0" wp14:anchorId="1D70C610" wp14:editId="0A6B16E0">
            <wp:extent cx="2696845" cy="572135"/>
            <wp:effectExtent l="0" t="0" r="8255" b="0"/>
            <wp:docPr id="476" name="Picture 47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372A8E" w:rsidRDefault="000B5C96" w:rsidP="000B5C96">
      <w:pPr>
        <w:pStyle w:val="Heading6"/>
        <w:numPr>
          <w:ilvl w:val="0"/>
          <w:numId w:val="5"/>
        </w:numPr>
        <w:tabs>
          <w:tab w:val="right" w:pos="1418"/>
          <w:tab w:val="right" w:pos="1701"/>
          <w:tab w:val="right" w:pos="1985"/>
        </w:tabs>
      </w:pPr>
      <w:r w:rsidRPr="00372A8E">
        <w:t>Policy costing—during the caretaker period for the 2016 general election</w:t>
      </w:r>
    </w:p>
    <w:tbl>
      <w:tblPr>
        <w:tblStyle w:val="Style16"/>
        <w:tblW w:w="8340" w:type="dxa"/>
        <w:tblLook w:val="04A0" w:firstRow="1" w:lastRow="0" w:firstColumn="1" w:lastColumn="0" w:noHBand="0" w:noVBand="1"/>
      </w:tblPr>
      <w:tblGrid>
        <w:gridCol w:w="3005"/>
        <w:gridCol w:w="5335"/>
      </w:tblGrid>
      <w:tr w:rsidR="000B5C96" w:rsidRPr="00EA7F7A"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val="0"/>
              </w:rPr>
            </w:pPr>
            <w:r w:rsidRPr="00EA7F7A">
              <w:t>Name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val="0"/>
              </w:rPr>
            </w:pPr>
            <w:r w:rsidRPr="00EA7F7A">
              <w:t>National Green Buildings Plan</w:t>
            </w:r>
          </w:p>
        </w:tc>
      </w:tr>
      <w:tr w:rsidR="000B5C96" w:rsidRPr="00372A8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Summary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The proposal would establish a national green buildings plan to reach a national target of 100 per cent zero carbon buildings by 2040.  The proposal contains the following components:</w:t>
            </w:r>
          </w:p>
          <w:p w:rsidR="000B5C96" w:rsidRPr="00372A8E" w:rsidRDefault="000B5C96" w:rsidP="003F606A">
            <w:pPr>
              <w:pStyle w:val="PullOutBoxBodyText"/>
              <w:rPr>
                <w:u w:val="single"/>
              </w:rPr>
            </w:pPr>
            <w:r w:rsidRPr="00372A8E">
              <w:rPr>
                <w:u w:val="single"/>
              </w:rPr>
              <w:t>Component 1: Environmental Upgrade Agreements (EUAs)</w:t>
            </w:r>
          </w:p>
          <w:p w:rsidR="000B5C96" w:rsidRPr="00372A8E" w:rsidRDefault="000B5C96" w:rsidP="003F606A">
            <w:pPr>
              <w:pStyle w:val="PullOutBoxBodyText"/>
            </w:pPr>
            <w:r w:rsidRPr="00372A8E">
              <w:t>This component would pay $5.00 per tonne of abatement achieved through Environmental Upgrade Agreements (EUAs) to local councils for signing agreements with commercial building owners.  The payment would occur over the 10 year life of the projects.</w:t>
            </w:r>
          </w:p>
          <w:p w:rsidR="000B5C96" w:rsidRPr="00372A8E" w:rsidRDefault="000B5C96" w:rsidP="003F606A">
            <w:pPr>
              <w:pStyle w:val="PullOutBoxBodyText"/>
              <w:rPr>
                <w:u w:val="single"/>
              </w:rPr>
            </w:pPr>
            <w:r w:rsidRPr="00372A8E">
              <w:rPr>
                <w:u w:val="single"/>
              </w:rPr>
              <w:t xml:space="preserve">Component 2: Clean Energy Finance Cooperation (CEFC) </w:t>
            </w:r>
          </w:p>
          <w:p w:rsidR="000B5C96" w:rsidRPr="00372A8E" w:rsidRDefault="000B5C96" w:rsidP="003F606A">
            <w:pPr>
              <w:pStyle w:val="PullOutBoxBodyText"/>
            </w:pPr>
            <w:r w:rsidRPr="00372A8E">
              <w:t>This component would establish a new $100.0 million annual loan facility through the CEFC for large scale retrofit of commercial buildings with a focus on mid-tier commercial buildings (small and medium business) from within the existing CEFC loan facility.</w:t>
            </w:r>
          </w:p>
          <w:p w:rsidR="000B5C96" w:rsidRPr="00372A8E" w:rsidRDefault="000B5C96" w:rsidP="003F606A">
            <w:pPr>
              <w:pStyle w:val="PullOutBoxBodyText"/>
              <w:rPr>
                <w:u w:val="single"/>
              </w:rPr>
            </w:pPr>
            <w:r w:rsidRPr="00372A8E">
              <w:rPr>
                <w:u w:val="single"/>
              </w:rPr>
              <w:t>Component 3: Grant funding for new buildings</w:t>
            </w:r>
          </w:p>
          <w:p w:rsidR="000B5C96" w:rsidRPr="00372A8E" w:rsidRDefault="000B5C96" w:rsidP="003F606A">
            <w:pPr>
              <w:pStyle w:val="PullOutBoxBodyText"/>
            </w:pPr>
            <w:r w:rsidRPr="00372A8E">
              <w:t>This component would provide $50.0 million annual grant funding for new buildings to achieve ‘world leadership’ 6 Star Green Star certification or an equivalent rating.</w:t>
            </w:r>
          </w:p>
          <w:p w:rsidR="000B5C96" w:rsidRPr="00372A8E" w:rsidRDefault="000B5C96" w:rsidP="003F606A">
            <w:pPr>
              <w:pStyle w:val="PullOutBoxBodyText"/>
              <w:rPr>
                <w:u w:val="single"/>
              </w:rPr>
            </w:pPr>
            <w:r w:rsidRPr="00372A8E">
              <w:rPr>
                <w:u w:val="single"/>
              </w:rPr>
              <w:t>Component 4: Grant funding for new green roofs and walls</w:t>
            </w:r>
          </w:p>
          <w:p w:rsidR="000B5C96" w:rsidRPr="00372A8E" w:rsidRDefault="000B5C96" w:rsidP="003F606A">
            <w:pPr>
              <w:pStyle w:val="PullOutBoxBodyText"/>
            </w:pPr>
            <w:r w:rsidRPr="00372A8E">
              <w:t>This component would provide $10.0 million annual grant funding for a new green roofs and walls program.  This component would also introduce the requirement for any buildings receiving government funding to</w:t>
            </w:r>
            <w:r>
              <w:t xml:space="preserve"> include green walls and roofs.</w:t>
            </w:r>
          </w:p>
        </w:tc>
      </w:tr>
      <w:tr w:rsidR="000B5C96" w:rsidRPr="00372A8E" w:rsidTr="003F606A">
        <w:tc>
          <w:tcPr>
            <w:tcW w:w="3005" w:type="dxa"/>
            <w:tcBorders>
              <w:top w:val="single" w:sz="4" w:space="0" w:color="788182"/>
              <w:left w:val="single" w:sz="4" w:space="0" w:color="788182"/>
              <w:bottom w:val="single" w:sz="4" w:space="0" w:color="788182"/>
              <w:right w:val="single" w:sz="4" w:space="0" w:color="788182"/>
            </w:tcBorders>
          </w:tcPr>
          <w:p w:rsidR="000B5C96" w:rsidRPr="00372A8E" w:rsidRDefault="000B5C96" w:rsidP="003F606A">
            <w:pPr>
              <w:pStyle w:val="PullOutBoxBodyText"/>
              <w:keepNext/>
              <w:keepLines/>
            </w:pPr>
          </w:p>
        </w:tc>
        <w:tc>
          <w:tcPr>
            <w:tcW w:w="5335" w:type="dxa"/>
            <w:tcBorders>
              <w:top w:val="single" w:sz="4" w:space="0" w:color="788182"/>
              <w:left w:val="single" w:sz="4" w:space="0" w:color="788182"/>
              <w:bottom w:val="single" w:sz="4" w:space="0" w:color="788182"/>
              <w:right w:val="single" w:sz="4" w:space="0" w:color="788182"/>
            </w:tcBorders>
          </w:tcPr>
          <w:p w:rsidR="000B5C96" w:rsidRPr="00372A8E" w:rsidRDefault="000B5C96" w:rsidP="003F606A">
            <w:pPr>
              <w:pStyle w:val="PullOutBoxBodyText"/>
              <w:keepNext/>
              <w:keepLines/>
              <w:rPr>
                <w:u w:val="single"/>
              </w:rPr>
            </w:pPr>
            <w:r w:rsidRPr="00372A8E">
              <w:rPr>
                <w:u w:val="single"/>
              </w:rPr>
              <w:t>Component 5: National Construction Code</w:t>
            </w:r>
          </w:p>
          <w:p w:rsidR="000B5C96" w:rsidRPr="00372A8E" w:rsidRDefault="000B5C96" w:rsidP="003F606A">
            <w:pPr>
              <w:pStyle w:val="PullOutBoxBodyText"/>
              <w:keepNext/>
              <w:keepLines/>
            </w:pPr>
            <w:r w:rsidRPr="00372A8E">
              <w:t>This component would review and upgrade the National Construction Code (the Code) relating to energy performance standards with a trajectory to net zero emissions by 2040.  This component would also amend the Code to include end-of-trip facilities for bicycle users.</w:t>
            </w:r>
          </w:p>
          <w:p w:rsidR="000B5C96" w:rsidRPr="00372A8E" w:rsidRDefault="000B5C96" w:rsidP="003F606A">
            <w:pPr>
              <w:pStyle w:val="PullOutBoxBodyText"/>
              <w:keepNext/>
              <w:keepLines/>
            </w:pPr>
            <w:r w:rsidRPr="00372A8E">
              <w:t>Departmental expenditure required to implement the proposal would be in addition to the capped amounts specified.</w:t>
            </w:r>
          </w:p>
          <w:p w:rsidR="000B5C96" w:rsidRPr="00372A8E" w:rsidRDefault="000B5C96" w:rsidP="003F606A">
            <w:pPr>
              <w:pStyle w:val="PullOutBoxBodyText"/>
              <w:keepNext/>
              <w:keepLines/>
            </w:pPr>
            <w:r w:rsidRPr="00372A8E">
              <w:t>The proposal would have effect from 1 September 2016.</w:t>
            </w:r>
          </w:p>
        </w:tc>
      </w:tr>
      <w:tr w:rsidR="000B5C96" w:rsidRPr="00372A8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Person/party requesting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Senator Richard Di Natale, Australian Greens</w:t>
            </w:r>
          </w:p>
        </w:tc>
      </w:tr>
      <w:tr w:rsidR="000B5C96" w:rsidRPr="00372A8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Date of public release of policy:</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30 June 2016</w:t>
            </w:r>
          </w:p>
        </w:tc>
      </w:tr>
      <w:tr w:rsidR="000B5C96" w:rsidRPr="00372A8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Date costing request received: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30 June 2016</w:t>
            </w:r>
          </w:p>
        </w:tc>
      </w:tr>
      <w:tr w:rsidR="000B5C96" w:rsidRPr="00372A8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Date costing completed: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30 June 2016</w:t>
            </w:r>
          </w:p>
        </w:tc>
      </w:tr>
      <w:tr w:rsidR="000B5C96" w:rsidRPr="00372A8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Expiry date for the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72A8E" w:rsidRDefault="000B5C96" w:rsidP="003F606A">
            <w:pPr>
              <w:pStyle w:val="PullOutBoxBodyText"/>
            </w:pPr>
            <w:r w:rsidRPr="00372A8E">
              <w:t>Release of the next economic and fiscal outlook report</w:t>
            </w:r>
          </w:p>
        </w:tc>
      </w:tr>
    </w:tbl>
    <w:p w:rsidR="000B5C96" w:rsidRPr="00372A8E" w:rsidRDefault="000B5C96" w:rsidP="003F606A">
      <w:pPr>
        <w:pStyle w:val="CostingsH7"/>
      </w:pPr>
      <w:r w:rsidRPr="00372A8E">
        <w:t>Costing overview</w:t>
      </w:r>
    </w:p>
    <w:p w:rsidR="000B5C96" w:rsidRPr="00372A8E" w:rsidRDefault="000B5C96" w:rsidP="003F606A">
      <w:pPr>
        <w:pStyle w:val="BodyText"/>
      </w:pPr>
      <w:r w:rsidRPr="00372A8E">
        <w:t>This proposal would be expected to decrease the fiscal and underlying cash balances by $258.4 million over the 2016-17 Budget forward estimates period.  This impact is due to an increase of $249.7 million in administered expenses and $8.7 million in departmental expenses.</w:t>
      </w:r>
    </w:p>
    <w:p w:rsidR="000B5C96" w:rsidRPr="00372A8E" w:rsidRDefault="000B5C96" w:rsidP="003F606A">
      <w:pPr>
        <w:pStyle w:val="BodyText"/>
      </w:pPr>
      <w:r w:rsidRPr="00372A8E">
        <w:t xml:space="preserve">The proposal would have an impact beyond the 2016-17 Budget forward estimates period.  The disaggregated financial impacts for the total (Table A1) and Components 1, 3 and 4 of the proposal (Tables A2-A4) over the period 2016-17 to 2026-27 are provided at </w:t>
      </w:r>
      <w:r w:rsidRPr="00372A8E">
        <w:rPr>
          <w:u w:val="single"/>
        </w:rPr>
        <w:t>Attachment A</w:t>
      </w:r>
      <w:r w:rsidRPr="00372A8E">
        <w:t>.</w:t>
      </w:r>
    </w:p>
    <w:p w:rsidR="000B5C96" w:rsidRPr="00372A8E" w:rsidRDefault="000B5C96" w:rsidP="003F606A">
      <w:pPr>
        <w:pStyle w:val="BodyText"/>
      </w:pPr>
      <w:r w:rsidRPr="00372A8E">
        <w:rPr>
          <w:lang w:eastAsia="en-AU"/>
        </w:rPr>
        <w:t xml:space="preserve">Component 1 of </w:t>
      </w:r>
      <w:r w:rsidRPr="00372A8E">
        <w:t>this costing is considered to be of very low</w:t>
      </w:r>
      <w:r w:rsidRPr="00372A8E">
        <w:rPr>
          <w:b/>
        </w:rPr>
        <w:t xml:space="preserve"> </w:t>
      </w:r>
      <w:r w:rsidRPr="00372A8E">
        <w:t>reliability as it relies on assumptions about the growth of EUA schemes and the scalability of an existing scheme to reflect a national level rollout.  Components 2 to 4 of this costing are considered to be of high reliability as they are based on specified capped amounts and the application of administrative co</w:t>
      </w:r>
      <w:r>
        <w:t>sts based on similar programs.</w:t>
      </w:r>
    </w:p>
    <w:p w:rsidR="000B5C96" w:rsidRPr="00372A8E" w:rsidRDefault="000B5C96" w:rsidP="003F606A">
      <w:pPr>
        <w:keepNext/>
        <w:keepLines/>
        <w:spacing w:before="340" w:after="114"/>
        <w:rPr>
          <w:rFonts w:ascii="Calibri" w:eastAsia="Calibri" w:hAnsi="Calibri" w:cs="Times New Roman"/>
          <w:b/>
          <w:bCs/>
          <w:color w:val="1F497D"/>
          <w:spacing w:val="-4"/>
        </w:rPr>
      </w:pPr>
      <w:r w:rsidRPr="00372A8E">
        <w:rPr>
          <w:rFonts w:ascii="Calibri" w:eastAsia="Calibri" w:hAnsi="Calibri" w:cs="Times New Roman"/>
          <w:b/>
          <w:bCs/>
          <w:color w:val="1F497D"/>
          <w:spacing w:val="-4"/>
        </w:rPr>
        <w:t>Table 1: Financial implications (outturn prices)</w:t>
      </w:r>
      <w:r w:rsidRPr="00372A8E">
        <w:rPr>
          <w:rFonts w:ascii="Calibri" w:eastAsia="Calibri" w:hAnsi="Calibri" w:cs="Times New Roman"/>
          <w:b/>
          <w:bCs/>
          <w:color w:val="1F497D"/>
          <w:spacing w:val="-4"/>
          <w:vertAlign w:val="superscript"/>
        </w:rPr>
        <w:t>(a)(b)</w:t>
      </w:r>
    </w:p>
    <w:tbl>
      <w:tblPr>
        <w:tblStyle w:val="TableGrid42"/>
        <w:tblW w:w="4993" w:type="pct"/>
        <w:tblInd w:w="0" w:type="dxa"/>
        <w:tblLook w:val="04A0" w:firstRow="1" w:lastRow="0" w:firstColumn="1" w:lastColumn="0" w:noHBand="0" w:noVBand="1"/>
      </w:tblPr>
      <w:tblGrid>
        <w:gridCol w:w="2645"/>
        <w:gridCol w:w="1134"/>
        <w:gridCol w:w="1133"/>
        <w:gridCol w:w="1133"/>
        <w:gridCol w:w="1133"/>
        <w:gridCol w:w="1132"/>
      </w:tblGrid>
      <w:tr w:rsidR="000B5C96" w:rsidRPr="00372A8E"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before="70" w:beforeAutospacing="0" w:after="70" w:afterAutospacing="0" w:line="240" w:lineRule="auto"/>
              <w:ind w:left="57" w:right="57"/>
              <w:rPr>
                <w:rFonts w:asciiTheme="minorHAnsi" w:eastAsia="Calibri" w:hAnsiTheme="minorHAnsi"/>
                <w:lang w:eastAsia="en-AU"/>
              </w:rPr>
            </w:pPr>
            <w:r w:rsidRPr="00372A8E">
              <w:rPr>
                <w:rFonts w:asciiTheme="minorHAnsi" w:eastAsia="Calibri" w:hAnsiTheme="minorHAnsi"/>
                <w:lang w:eastAsia="en-AU"/>
              </w:rPr>
              <w:t>Impact on ($m)</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before="70" w:beforeAutospacing="0" w:after="70" w:afterAutospacing="0"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372A8E">
              <w:rPr>
                <w:rFonts w:asciiTheme="minorHAnsi" w:eastAsia="Calibri" w:hAnsiTheme="minorHAnsi"/>
                <w:lang w:eastAsia="en-AU"/>
              </w:rPr>
              <w:t>2016–17</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before="70" w:beforeAutospacing="0" w:after="70" w:afterAutospacing="0"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372A8E">
              <w:rPr>
                <w:rFonts w:asciiTheme="minorHAnsi" w:eastAsia="Calibri" w:hAnsiTheme="minorHAnsi"/>
                <w:lang w:eastAsia="en-AU"/>
              </w:rPr>
              <w:t>2017–18</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before="70" w:beforeAutospacing="0" w:after="70" w:afterAutospacing="0"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372A8E">
              <w:rPr>
                <w:rFonts w:asciiTheme="minorHAnsi" w:eastAsia="Calibri" w:hAnsiTheme="minorHAnsi"/>
                <w:lang w:eastAsia="en-AU"/>
              </w:rPr>
              <w:t>2018–19</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before="70" w:beforeAutospacing="0" w:after="70" w:afterAutospacing="0"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372A8E">
              <w:rPr>
                <w:rFonts w:asciiTheme="minorHAnsi" w:eastAsia="Calibri" w:hAnsiTheme="minorHAnsi"/>
                <w:lang w:eastAsia="en-AU"/>
              </w:rPr>
              <w:t>2019–20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before="70" w:beforeAutospacing="0" w:after="70" w:afterAutospacing="0" w:line="24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372A8E">
              <w:rPr>
                <w:rFonts w:asciiTheme="minorHAnsi" w:eastAsia="Calibri" w:hAnsiTheme="minorHAnsi"/>
                <w:b/>
                <w:lang w:eastAsia="en-AU"/>
              </w:rPr>
              <w:t>Total</w:t>
            </w:r>
          </w:p>
        </w:tc>
      </w:tr>
      <w:tr w:rsidR="000B5C96" w:rsidRPr="00372A8E"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rPr>
                <w:rFonts w:asciiTheme="minorHAnsi" w:hAnsiTheme="minorHAnsi"/>
                <w:lang w:eastAsia="en-AU"/>
              </w:rPr>
            </w:pPr>
            <w:r w:rsidRPr="00372A8E">
              <w:rPr>
                <w:rFonts w:asciiTheme="minorHAnsi" w:hAnsiTheme="minorHAnsi"/>
                <w:lang w:eastAsia="en-AU"/>
              </w:rPr>
              <w:t>Fiscal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372A8E">
              <w:rPr>
                <w:rFonts w:asciiTheme="minorHAnsi" w:eastAsia="Calibri" w:hAnsiTheme="minorHAnsi"/>
                <w:lang w:eastAsia="en-AU"/>
              </w:rPr>
              <w:t xml:space="preserve">-64.0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372A8E">
              <w:rPr>
                <w:rFonts w:asciiTheme="minorHAnsi" w:eastAsia="Calibri" w:hAnsiTheme="minorHAnsi"/>
                <w:lang w:eastAsia="en-AU"/>
              </w:rPr>
              <w:t xml:space="preserve">-64.7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372A8E">
              <w:rPr>
                <w:rFonts w:asciiTheme="minorHAnsi" w:eastAsia="Calibri" w:hAnsiTheme="minorHAnsi"/>
                <w:lang w:eastAsia="en-AU"/>
              </w:rPr>
              <w:t xml:space="preserve">-64.8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372A8E">
              <w:rPr>
                <w:rFonts w:asciiTheme="minorHAnsi" w:eastAsia="Calibri" w:hAnsiTheme="minorHAnsi"/>
                <w:lang w:eastAsia="en-AU"/>
              </w:rPr>
              <w:t xml:space="preserve">-64.8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lang w:eastAsia="en-AU"/>
              </w:rPr>
            </w:pPr>
            <w:r w:rsidRPr="00372A8E">
              <w:rPr>
                <w:rFonts w:asciiTheme="minorHAnsi" w:eastAsia="Calibri" w:hAnsiTheme="minorHAnsi"/>
                <w:b/>
                <w:lang w:eastAsia="en-AU"/>
              </w:rPr>
              <w:t xml:space="preserve">-258.4 </w:t>
            </w:r>
          </w:p>
        </w:tc>
      </w:tr>
      <w:tr w:rsidR="000B5C96" w:rsidRPr="00372A8E"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rPr>
                <w:rFonts w:asciiTheme="minorHAnsi" w:hAnsiTheme="minorHAnsi"/>
                <w:lang w:eastAsia="en-AU"/>
              </w:rPr>
            </w:pPr>
            <w:r w:rsidRPr="00372A8E">
              <w:rPr>
                <w:rFonts w:asciiTheme="minorHAnsi" w:hAnsiTheme="minorHAnsi"/>
                <w:lang w:eastAsia="en-AU"/>
              </w:rPr>
              <w:t>Underlying cash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372A8E">
              <w:rPr>
                <w:rFonts w:asciiTheme="minorHAnsi" w:eastAsia="Calibri" w:hAnsiTheme="minorHAnsi"/>
                <w:lang w:eastAsia="en-AU"/>
              </w:rPr>
              <w:t xml:space="preserve">-64.0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372A8E">
              <w:rPr>
                <w:rFonts w:asciiTheme="minorHAnsi" w:eastAsia="Calibri" w:hAnsiTheme="minorHAnsi"/>
                <w:lang w:eastAsia="en-AU"/>
              </w:rPr>
              <w:t xml:space="preserve">-64.7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372A8E">
              <w:rPr>
                <w:rFonts w:asciiTheme="minorHAnsi" w:eastAsia="Calibri" w:hAnsiTheme="minorHAnsi"/>
                <w:lang w:eastAsia="en-AU"/>
              </w:rPr>
              <w:t xml:space="preserve">-64.8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372A8E">
              <w:rPr>
                <w:rFonts w:asciiTheme="minorHAnsi" w:eastAsia="Calibri" w:hAnsiTheme="minorHAnsi"/>
                <w:lang w:eastAsia="en-AU"/>
              </w:rPr>
              <w:t xml:space="preserve">-64.8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372A8E"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372A8E">
              <w:rPr>
                <w:rFonts w:asciiTheme="minorHAnsi" w:eastAsia="Calibri" w:hAnsiTheme="minorHAnsi"/>
                <w:b/>
                <w:lang w:eastAsia="en-AU"/>
              </w:rPr>
              <w:t xml:space="preserve">-258.4 </w:t>
            </w:r>
          </w:p>
        </w:tc>
      </w:tr>
    </w:tbl>
    <w:p w:rsidR="000B5C96" w:rsidRPr="00372A8E" w:rsidRDefault="000B5C96" w:rsidP="0025347D">
      <w:pPr>
        <w:pStyle w:val="Footnotes"/>
        <w:keepNext/>
        <w:keepLines/>
        <w:numPr>
          <w:ilvl w:val="0"/>
          <w:numId w:val="272"/>
        </w:numPr>
        <w:ind w:left="284" w:hanging="284"/>
      </w:pPr>
      <w:r w:rsidRPr="00372A8E">
        <w:t>A positive number indicates an increase in the relevant budget balance, a negative number a decrease.</w:t>
      </w:r>
    </w:p>
    <w:p w:rsidR="000B5C96" w:rsidRPr="008E0685" w:rsidRDefault="000B5C96" w:rsidP="000B5C96">
      <w:pPr>
        <w:pStyle w:val="Footnotes"/>
        <w:keepNext/>
        <w:keepLines/>
        <w:numPr>
          <w:ilvl w:val="0"/>
          <w:numId w:val="7"/>
        </w:numPr>
        <w:ind w:left="284" w:hanging="284"/>
      </w:pPr>
      <w:r w:rsidRPr="008E0685">
        <w:t>Figures may not sum to totals due to rounding.</w:t>
      </w:r>
    </w:p>
    <w:p w:rsidR="000B5C96" w:rsidRPr="00372A8E" w:rsidRDefault="000B5C96" w:rsidP="003F606A">
      <w:pPr>
        <w:pStyle w:val="CostingsH7"/>
      </w:pPr>
      <w:r w:rsidRPr="00372A8E">
        <w:t>Key assumptions</w:t>
      </w:r>
    </w:p>
    <w:p w:rsidR="000B5C96" w:rsidRDefault="000B5C96" w:rsidP="003F606A">
      <w:pPr>
        <w:pStyle w:val="BodyText"/>
      </w:pPr>
      <w:r>
        <w:t>In costing this proposal, the following assumptions have been made:</w:t>
      </w:r>
    </w:p>
    <w:p w:rsidR="000B5C96" w:rsidRDefault="000B5C96" w:rsidP="000B5C96">
      <w:pPr>
        <w:pStyle w:val="ListBullet"/>
        <w:numPr>
          <w:ilvl w:val="0"/>
          <w:numId w:val="123"/>
        </w:numPr>
        <w:ind w:left="454" w:hanging="454"/>
      </w:pPr>
      <w:r>
        <w:t>For Component 1, current and projected City of Melbourne EUAs are representative of opportunities across Australia.</w:t>
      </w:r>
    </w:p>
    <w:p w:rsidR="000B5C96" w:rsidRDefault="000B5C96" w:rsidP="000B5C96">
      <w:pPr>
        <w:pStyle w:val="ListBullet"/>
        <w:numPr>
          <w:ilvl w:val="0"/>
          <w:numId w:val="123"/>
        </w:numPr>
        <w:ind w:left="454" w:hanging="454"/>
      </w:pPr>
      <w:r>
        <w:t xml:space="preserve">For Component 2, there would be a change to the mandate for the CEFC that would specify that $100.0 million of annual loans coming from within existing CEFC equity would be directed to the specified purpose, with the dividends from this redirection being at the same level as the overall dividend performance of the current CEFC investments (therefore, this component would have no effect on the budget bottom line). </w:t>
      </w:r>
    </w:p>
    <w:p w:rsidR="000B5C96" w:rsidRDefault="000B5C96" w:rsidP="000B5C96">
      <w:pPr>
        <w:pStyle w:val="ListBullet"/>
        <w:numPr>
          <w:ilvl w:val="0"/>
          <w:numId w:val="123"/>
        </w:numPr>
        <w:ind w:left="454" w:hanging="454"/>
      </w:pPr>
      <w:r>
        <w:t>Components 3 to 4 would be administered by the Department of the Environment.</w:t>
      </w:r>
    </w:p>
    <w:p w:rsidR="000B5C96" w:rsidRDefault="000B5C96" w:rsidP="000B5C96">
      <w:pPr>
        <w:pStyle w:val="ListBullet"/>
        <w:numPr>
          <w:ilvl w:val="0"/>
          <w:numId w:val="123"/>
        </w:numPr>
        <w:ind w:left="454" w:hanging="454"/>
      </w:pPr>
      <w:r>
        <w:t>While Components 3 to 4 commence on 1 September 2016, the full amount of funding could be delivered in 2016-17.</w:t>
      </w:r>
    </w:p>
    <w:p w:rsidR="000B5C96" w:rsidRDefault="000B5C96" w:rsidP="000B5C96">
      <w:pPr>
        <w:pStyle w:val="ListBullet"/>
        <w:numPr>
          <w:ilvl w:val="0"/>
          <w:numId w:val="123"/>
        </w:numPr>
        <w:ind w:left="454" w:hanging="454"/>
      </w:pPr>
      <w:r>
        <w:t>The introduction of a new requirement for new buildings receiving government funding to include green walls or roofs would not have a material impact on the cost of existing programs or program administration.</w:t>
      </w:r>
    </w:p>
    <w:p w:rsidR="000B5C96" w:rsidRDefault="000B5C96" w:rsidP="000B5C96">
      <w:pPr>
        <w:pStyle w:val="ListBullet"/>
        <w:numPr>
          <w:ilvl w:val="0"/>
          <w:numId w:val="123"/>
        </w:numPr>
        <w:ind w:left="454" w:hanging="454"/>
      </w:pPr>
      <w:r>
        <w:t>For Component 5, the review and upgrade of the Code represent the core responsibility of the Australian Building Codes Board, and the cost would be met from within the existing resources.</w:t>
      </w:r>
    </w:p>
    <w:p w:rsidR="000B5C96" w:rsidRPr="00372A8E" w:rsidRDefault="000B5C96" w:rsidP="003F606A">
      <w:pPr>
        <w:pStyle w:val="CostingsH7"/>
      </w:pPr>
      <w:r w:rsidRPr="00372A8E">
        <w:t>Methodology</w:t>
      </w:r>
    </w:p>
    <w:p w:rsidR="000B5C96" w:rsidRDefault="000B5C96" w:rsidP="003F606A">
      <w:pPr>
        <w:pStyle w:val="BodyText"/>
      </w:pPr>
      <w:r>
        <w:t>For Component 1, the abatement achieved from City of Melbourne EUAs per dollar invested was scaled up to reflect the potential level of abatement across Victoria using data for the level of expected state-wide investment.  The estimated abatement for Victoria was then scaled to the national level using Australian Bureau of Statistics population data.  Departmental costs are consistent with analogous programs.  The $5.00 per tonne of abatement has been indexed by the Consumer Price Index from 2017-18.  The 2016-17 estimates account for the 1 September 2016 start date.</w:t>
      </w:r>
    </w:p>
    <w:p w:rsidR="000B5C96" w:rsidRDefault="000B5C96" w:rsidP="003F606A">
      <w:pPr>
        <w:pStyle w:val="BodyText"/>
        <w:keepNext/>
        <w:keepLines/>
      </w:pPr>
      <w:r>
        <w:t>For Components 3 to 4, administered expenditure is as specified in the request.  Departmental expenditure estimates are based on other like initiatives and estimates account for the net effect of indexation parameters and the efficiency dividend, in accordance with the Department of Finance’s costing practices.</w:t>
      </w:r>
    </w:p>
    <w:p w:rsidR="000B5C96" w:rsidRPr="00665159" w:rsidRDefault="000B5C96" w:rsidP="003F606A">
      <w:pPr>
        <w:pStyle w:val="CostingsH7"/>
      </w:pPr>
      <w:r w:rsidRPr="00665159">
        <w:t>Data sources</w:t>
      </w:r>
    </w:p>
    <w:p w:rsidR="000B5C96" w:rsidRPr="00665159" w:rsidRDefault="000B5C96" w:rsidP="003F606A">
      <w:pPr>
        <w:pStyle w:val="BodyText"/>
      </w:pPr>
      <w:r w:rsidRPr="00665159">
        <w:t xml:space="preserve">Australian Bureau of Statistics (Cat no. 3101.0) </w:t>
      </w:r>
      <w:r w:rsidRPr="00665159">
        <w:rPr>
          <w:i/>
        </w:rPr>
        <w:t>Australian Demographic Statistics</w:t>
      </w:r>
      <w:r w:rsidRPr="00665159">
        <w:t>, June 2015.</w:t>
      </w:r>
    </w:p>
    <w:p w:rsidR="000B5C96" w:rsidRPr="00665159" w:rsidRDefault="000B5C96" w:rsidP="003F606A">
      <w:pPr>
        <w:pStyle w:val="BodyText"/>
      </w:pPr>
      <w:r w:rsidRPr="00665159">
        <w:t xml:space="preserve">Estimates of projected EUA investments across Victoria and specifically in the City of Melbourne were sourced from the Eastern Alliance for Greenhouse Action at </w:t>
      </w:r>
      <w:hyperlink r:id="rId551" w:history="1">
        <w:r w:rsidRPr="00665159">
          <w:rPr>
            <w:color w:val="0000FF"/>
            <w:u w:val="single"/>
          </w:rPr>
          <w:t>https://eaga.com.au/wp-content/uploads/EUA-Finance-for-the-Regions-Summary-Report-2013-12-02.pdf</w:t>
        </w:r>
      </w:hyperlink>
      <w:r w:rsidRPr="00665159">
        <w:t>.</w:t>
      </w:r>
    </w:p>
    <w:p w:rsidR="000B5C96" w:rsidRPr="00665159" w:rsidRDefault="000B5C96" w:rsidP="003F606A">
      <w:pPr>
        <w:pStyle w:val="BodyText"/>
      </w:pPr>
      <w:r w:rsidRPr="00665159">
        <w:t xml:space="preserve">Estimates and projections of projects, costs and abatement for the City of Melbourne were sourced from the Sustainable Melbourne Fund at </w:t>
      </w:r>
      <w:hyperlink r:id="rId552" w:history="1">
        <w:r w:rsidRPr="00665159">
          <w:rPr>
            <w:color w:val="0000FF"/>
            <w:u w:val="single"/>
          </w:rPr>
          <w:t>http://sustainablemelbournefund.com.au/services/environmental-upgrade-agreements/</w:t>
        </w:r>
      </w:hyperlink>
      <w:r w:rsidRPr="00665159">
        <w:t>.</w:t>
      </w:r>
    </w:p>
    <w:p w:rsidR="000B5C96" w:rsidRPr="00665159" w:rsidRDefault="000B5C96" w:rsidP="003F606A">
      <w:pPr>
        <w:pStyle w:val="BodyText"/>
      </w:pPr>
      <w:r w:rsidRPr="00665159">
        <w:t>The Department of Finance provided indexation and efficiency dividend parameters.</w:t>
      </w:r>
    </w:p>
    <w:p w:rsidR="000B5C96" w:rsidRPr="00665159" w:rsidRDefault="000B5C96" w:rsidP="003F606A">
      <w:pPr>
        <w:pStyle w:val="BodyText"/>
        <w:rPr>
          <w:highlight w:val="yellow"/>
        </w:rPr>
        <w:sectPr w:rsidR="000B5C96" w:rsidRPr="00665159" w:rsidSect="003F606A">
          <w:headerReference w:type="even" r:id="rId553"/>
          <w:headerReference w:type="default" r:id="rId554"/>
          <w:footerReference w:type="even" r:id="rId555"/>
          <w:footerReference w:type="default" r:id="rId556"/>
          <w:pgSz w:w="11906" w:h="16838"/>
          <w:pgMar w:top="1361" w:right="1797" w:bottom="1474" w:left="1797" w:header="283" w:footer="454" w:gutter="0"/>
          <w:cols w:space="720"/>
          <w:docGrid w:linePitch="299"/>
        </w:sectPr>
      </w:pPr>
    </w:p>
    <w:p w:rsidR="000B5C96" w:rsidRPr="00F22D47" w:rsidRDefault="000B5C96" w:rsidP="000B5C96">
      <w:pPr>
        <w:pStyle w:val="Heading6"/>
        <w:numPr>
          <w:ilvl w:val="0"/>
          <w:numId w:val="5"/>
        </w:numPr>
        <w:tabs>
          <w:tab w:val="right" w:pos="1418"/>
          <w:tab w:val="right" w:pos="1701"/>
          <w:tab w:val="right" w:pos="1985"/>
        </w:tabs>
      </w:pPr>
      <w:r w:rsidRPr="00F22D47">
        <w:t>Attachment A: National Green Buildings Plan—financial implications</w:t>
      </w:r>
    </w:p>
    <w:p w:rsidR="000B5C96" w:rsidRPr="00F22D47" w:rsidRDefault="000B5C96" w:rsidP="003F606A">
      <w:pPr>
        <w:pStyle w:val="Caption"/>
        <w:rPr>
          <w:vertAlign w:val="superscript"/>
        </w:rPr>
      </w:pPr>
      <w:r w:rsidRPr="00F22D47">
        <w:t>Table A1: National Green Buildings Plan – Financial implications (outturn prices)</w:t>
      </w:r>
      <w:r w:rsidRPr="00F22D47">
        <w:rPr>
          <w:vertAlign w:val="superscript"/>
        </w:rPr>
        <w:t>(a)(b)</w:t>
      </w:r>
    </w:p>
    <w:tbl>
      <w:tblPr>
        <w:tblStyle w:val="TableGrid43"/>
        <w:tblW w:w="4948" w:type="pct"/>
        <w:tblInd w:w="0" w:type="dxa"/>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F22D47"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rPr>
                <w:rFonts w:eastAsia="Calibri"/>
                <w:lang w:eastAsia="en-AU"/>
              </w:rPr>
            </w:pPr>
            <w:r w:rsidRPr="00F22D47">
              <w:rPr>
                <w:rFonts w:eastAsia="Calibri"/>
                <w:lang w:eastAsia="en-AU"/>
              </w:rPr>
              <w:t>($m)</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lang w:eastAsia="en-AU"/>
              </w:rPr>
            </w:pPr>
            <w:r w:rsidRPr="00F22D47">
              <w:rPr>
                <w:lang w:eastAsia="en-AU"/>
              </w:rPr>
              <w:t>2016–17</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lang w:eastAsia="en-AU"/>
              </w:rPr>
            </w:pPr>
            <w:r w:rsidRPr="00F22D47">
              <w:rPr>
                <w:lang w:eastAsia="en-AU"/>
              </w:rPr>
              <w:t>2017–18</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lang w:eastAsia="en-AU"/>
              </w:rPr>
            </w:pPr>
            <w:r w:rsidRPr="00F22D47">
              <w:rPr>
                <w:lang w:eastAsia="en-AU"/>
              </w:rPr>
              <w:t>2018–19</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lang w:eastAsia="en-AU"/>
              </w:rPr>
            </w:pPr>
            <w:r w:rsidRPr="00F22D47">
              <w:rPr>
                <w:lang w:eastAsia="en-AU"/>
              </w:rPr>
              <w:t>2019–20</w:t>
            </w:r>
          </w:p>
        </w:tc>
        <w:tc>
          <w:tcPr>
            <w:tcW w:w="32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lang w:eastAsia="en-AU"/>
              </w:rPr>
            </w:pPr>
            <w:r w:rsidRPr="00F22D47">
              <w:rPr>
                <w:b/>
                <w:lang w:eastAsia="en-AU"/>
              </w:rPr>
              <w:t>Total to 2019–20</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lang w:eastAsia="en-AU"/>
              </w:rPr>
            </w:pPr>
            <w:r w:rsidRPr="00F22D47">
              <w:rPr>
                <w:lang w:eastAsia="en-AU"/>
              </w:rPr>
              <w:t>2020–21</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lang w:eastAsia="en-AU"/>
              </w:rPr>
            </w:pPr>
            <w:r w:rsidRPr="00F22D47">
              <w:rPr>
                <w:lang w:eastAsia="en-AU"/>
              </w:rPr>
              <w:t>2021–22</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lang w:eastAsia="en-AU"/>
              </w:rPr>
            </w:pPr>
            <w:r w:rsidRPr="00F22D47">
              <w:rPr>
                <w:lang w:eastAsia="en-AU"/>
              </w:rPr>
              <w:t>2022–23</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lang w:eastAsia="en-AU"/>
              </w:rPr>
            </w:pPr>
            <w:r w:rsidRPr="00F22D47">
              <w:rPr>
                <w:lang w:eastAsia="en-AU"/>
              </w:rPr>
              <w:t>2023–24</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lang w:eastAsia="en-AU"/>
              </w:rPr>
            </w:pPr>
            <w:r w:rsidRPr="00F22D47">
              <w:rPr>
                <w:lang w:eastAsia="en-AU"/>
              </w:rPr>
              <w:t>2024–25</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lang w:eastAsia="en-AU"/>
              </w:rPr>
            </w:pPr>
            <w:r w:rsidRPr="00F22D47">
              <w:rPr>
                <w:lang w:eastAsia="en-AU"/>
              </w:rPr>
              <w:t>2025–26</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lang w:eastAsia="en-AU"/>
              </w:rPr>
            </w:pPr>
            <w:r w:rsidRPr="00F22D47">
              <w:rPr>
                <w:lang w:eastAsia="en-AU"/>
              </w:rPr>
              <w:t>2026–27</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lang w:eastAsia="en-AU"/>
              </w:rPr>
            </w:pPr>
            <w:r w:rsidRPr="00F22D47">
              <w:rPr>
                <w:b/>
                <w:lang w:eastAsia="en-AU"/>
              </w:rPr>
              <w:t>Total to 2026–27</w:t>
            </w:r>
          </w:p>
        </w:tc>
      </w:tr>
      <w:tr w:rsidR="000B5C96" w:rsidRPr="00F22D47"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808080"/>
              <w:left w:val="single" w:sz="4" w:space="0" w:color="808080"/>
              <w:bottom w:val="single" w:sz="4" w:space="0" w:color="808080"/>
              <w:right w:val="single" w:sz="4" w:space="0" w:color="808080"/>
            </w:tcBorders>
            <w:shd w:val="clear" w:color="auto" w:fill="E9ECF3"/>
            <w:hideMark/>
          </w:tcPr>
          <w:p w:rsidR="000B5C96" w:rsidRPr="00F22D47" w:rsidRDefault="000B5C96" w:rsidP="003F606A">
            <w:pPr>
              <w:spacing w:line="240" w:lineRule="auto"/>
              <w:ind w:left="57" w:right="57"/>
              <w:rPr>
                <w:rFonts w:eastAsia="Calibri"/>
                <w:b/>
                <w:lang w:eastAsia="en-AU"/>
              </w:rPr>
            </w:pPr>
            <w:r w:rsidRPr="00F22D47">
              <w:rPr>
                <w:rFonts w:eastAsia="Calibri"/>
                <w:b/>
                <w:lang w:eastAsia="en-AU"/>
              </w:rPr>
              <w:t>Impact on fiscal and underlying cash balances – expenses/payments</w:t>
            </w:r>
          </w:p>
        </w:tc>
      </w:tr>
      <w:tr w:rsidR="000B5C96" w:rsidRPr="00F22D47"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rPr>
                <w:rFonts w:eastAsia="Calibri"/>
                <w:lang w:eastAsia="en-AU"/>
              </w:rPr>
            </w:pPr>
            <w:r w:rsidRPr="00F22D47">
              <w:rPr>
                <w:rFonts w:eastAsia="Calibri"/>
                <w:lang w:eastAsia="en-AU"/>
              </w:rPr>
              <w:t>Administered</w:t>
            </w:r>
          </w:p>
        </w:tc>
        <w:tc>
          <w:tcPr>
            <w:tcW w:w="326"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-61.9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-62.6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-62.6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-62.7 </w:t>
            </w:r>
          </w:p>
        </w:tc>
        <w:tc>
          <w:tcPr>
            <w:tcW w:w="327"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i/>
                <w:lang w:eastAsia="en-AU"/>
              </w:rPr>
            </w:pPr>
            <w:r w:rsidRPr="00F22D47">
              <w:rPr>
                <w:rFonts w:eastAsia="Calibri"/>
                <w:b/>
                <w:i/>
                <w:lang w:eastAsia="en-AU"/>
              </w:rPr>
              <w:t xml:space="preserve">-249.7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-62.7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-62.8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-62.9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-63.0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-63.0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-63.1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-63.2 </w:t>
            </w:r>
          </w:p>
        </w:tc>
        <w:tc>
          <w:tcPr>
            <w:tcW w:w="326"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i/>
                <w:lang w:eastAsia="en-AU"/>
              </w:rPr>
            </w:pPr>
            <w:r w:rsidRPr="00F22D47">
              <w:rPr>
                <w:rFonts w:eastAsia="Calibri"/>
                <w:b/>
                <w:i/>
                <w:lang w:eastAsia="en-AU"/>
              </w:rPr>
              <w:t xml:space="preserve">-690.5 </w:t>
            </w:r>
          </w:p>
        </w:tc>
      </w:tr>
      <w:tr w:rsidR="000B5C96" w:rsidRPr="00F22D47"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rPr>
                <w:rFonts w:eastAsia="Calibri"/>
                <w:lang w:eastAsia="en-AU"/>
              </w:rPr>
            </w:pPr>
            <w:r w:rsidRPr="00F22D47">
              <w:rPr>
                <w:rFonts w:eastAsia="Calibri"/>
                <w:lang w:eastAsia="en-AU"/>
              </w:rPr>
              <w:t>Departmental</w:t>
            </w:r>
          </w:p>
        </w:tc>
        <w:tc>
          <w:tcPr>
            <w:tcW w:w="326"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-2.2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-2.2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-2.2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-2.2 </w:t>
            </w:r>
          </w:p>
        </w:tc>
        <w:tc>
          <w:tcPr>
            <w:tcW w:w="327"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i/>
                <w:lang w:eastAsia="en-AU"/>
              </w:rPr>
            </w:pPr>
            <w:r w:rsidRPr="00F22D47">
              <w:rPr>
                <w:rFonts w:eastAsia="Calibri"/>
                <w:b/>
                <w:i/>
                <w:lang w:eastAsia="en-AU"/>
              </w:rPr>
              <w:t xml:space="preserve">-8.7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-2.2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-2.2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-2.2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-2.2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-2.2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-2.3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i/>
                <w:lang w:eastAsia="en-AU"/>
              </w:rPr>
            </w:pPr>
            <w:r w:rsidRPr="00F22D47">
              <w:rPr>
                <w:rFonts w:eastAsia="Calibri"/>
                <w:i/>
                <w:lang w:eastAsia="en-AU"/>
              </w:rPr>
              <w:t xml:space="preserve">-2.3 </w:t>
            </w:r>
          </w:p>
        </w:tc>
        <w:tc>
          <w:tcPr>
            <w:tcW w:w="326" w:type="pct"/>
            <w:tcBorders>
              <w:top w:val="single" w:sz="4" w:space="0" w:color="808080"/>
              <w:left w:val="single" w:sz="4" w:space="0" w:color="808080"/>
              <w:bottom w:val="single" w:sz="4" w:space="0" w:color="808080"/>
              <w:right w:val="single" w:sz="4" w:space="0" w:color="808080"/>
            </w:tcBorders>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i/>
                <w:lang w:eastAsia="en-AU"/>
              </w:rPr>
            </w:pPr>
            <w:r w:rsidRPr="00F22D47">
              <w:rPr>
                <w:rFonts w:eastAsia="Calibri"/>
                <w:b/>
                <w:i/>
                <w:lang w:eastAsia="en-AU"/>
              </w:rPr>
              <w:t xml:space="preserve">-24.2 </w:t>
            </w:r>
          </w:p>
        </w:tc>
      </w:tr>
      <w:tr w:rsidR="000B5C96" w:rsidRPr="00F22D47"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rPr>
                <w:rFonts w:eastAsia="Calibri"/>
                <w:b/>
                <w:lang w:eastAsia="en-AU"/>
              </w:rPr>
            </w:pPr>
            <w:r w:rsidRPr="00F22D47">
              <w:rPr>
                <w:rFonts w:eastAsia="Calibri"/>
                <w:b/>
                <w:lang w:eastAsia="en-AU"/>
              </w:rPr>
              <w:t>Total</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-64.0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-64.7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-64.8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-64.8 </w:t>
            </w:r>
          </w:p>
        </w:tc>
        <w:tc>
          <w:tcPr>
            <w:tcW w:w="32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-258.4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-64.9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-65.0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-65.1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-65.2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-65.3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-65.4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-65.5 </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F22D47"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Calibri"/>
                <w:b/>
                <w:lang w:eastAsia="en-AU"/>
              </w:rPr>
            </w:pPr>
            <w:r w:rsidRPr="00F22D47">
              <w:rPr>
                <w:rFonts w:eastAsia="Calibri"/>
                <w:b/>
                <w:lang w:eastAsia="en-AU"/>
              </w:rPr>
              <w:t xml:space="preserve">-714.7 </w:t>
            </w:r>
          </w:p>
        </w:tc>
      </w:tr>
    </w:tbl>
    <w:p w:rsidR="000B5C96" w:rsidRPr="00F22D47" w:rsidRDefault="000B5C96" w:rsidP="00FD7D0A">
      <w:pPr>
        <w:pStyle w:val="Footnotes"/>
        <w:numPr>
          <w:ilvl w:val="0"/>
          <w:numId w:val="273"/>
        </w:numPr>
        <w:ind w:left="284" w:hanging="284"/>
      </w:pPr>
      <w:r w:rsidRPr="00F22D47">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Default="000B5C96" w:rsidP="000B5C96">
      <w:pPr>
        <w:pStyle w:val="Footnotes"/>
        <w:numPr>
          <w:ilvl w:val="0"/>
          <w:numId w:val="7"/>
        </w:numPr>
        <w:ind w:left="284" w:hanging="284"/>
      </w:pPr>
      <w:r w:rsidRPr="003743FD">
        <w:t>Figures may not sum to totals due to rounding.</w:t>
      </w:r>
    </w:p>
    <w:p w:rsidR="000B5C96" w:rsidRDefault="000B5C96" w:rsidP="003F606A">
      <w:pPr>
        <w:pStyle w:val="Caption"/>
        <w:rPr>
          <w:vertAlign w:val="superscript"/>
        </w:rPr>
      </w:pPr>
      <w:r>
        <w:t>Table A2: Component 1: EUAs – Financial implications (outturn prices)</w:t>
      </w:r>
      <w:r>
        <w:rPr>
          <w:vertAlign w:val="superscript"/>
        </w:rPr>
        <w:t>(a)(b)</w:t>
      </w:r>
    </w:p>
    <w:tbl>
      <w:tblPr>
        <w:tblStyle w:val="TableGrid"/>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rPr>
                <w:szCs w:val="20"/>
              </w:rPr>
            </w:pPr>
            <w:r>
              <w:rPr>
                <w:szCs w:val="20"/>
              </w:rPr>
              <w:t>($m)</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2016–17</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2017–18</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2018–19</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2019–20</w:t>
            </w:r>
          </w:p>
        </w:tc>
        <w:tc>
          <w:tcPr>
            <w:tcW w:w="32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rPr>
                <w:b w:val="0"/>
              </w:rPr>
              <w:t>Total to 2019–20</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2020–21</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2021–22</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2022–23</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2023–24</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2024–25</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2025–26</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2026–27</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rPr>
                <w:b w:val="0"/>
              </w:rPr>
              <w:t>Total to 2026–27</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keepNext/>
              <w:keepLines/>
              <w:spacing w:line="240" w:lineRule="auto"/>
              <w:ind w:left="57" w:right="57"/>
              <w:rPr>
                <w:b/>
                <w:szCs w:val="20"/>
              </w:rPr>
            </w:pPr>
            <w:r>
              <w:rPr>
                <w:b/>
                <w:szCs w:val="20"/>
              </w:rPr>
              <w:t>Impact on fiscal and underlying cash balances – expenses/payments</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rPr>
                <w:szCs w:val="20"/>
              </w:rPr>
            </w:pPr>
            <w:r>
              <w:rPr>
                <w:szCs w:val="20"/>
              </w:rPr>
              <w:t>Administered</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-1.9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-2.6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-2.6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-2.7 </w:t>
            </w:r>
          </w:p>
        </w:tc>
        <w:tc>
          <w:tcPr>
            <w:tcW w:w="327"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-9.7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-2.7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-2.8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-2.9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-3.0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-3.0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-3.1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-3.2 </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-30.5 </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rPr>
                <w:szCs w:val="20"/>
              </w:rPr>
            </w:pPr>
            <w:r>
              <w:rPr>
                <w:szCs w:val="20"/>
              </w:rPr>
              <w:t>Departmental</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-0.1 </w:t>
            </w:r>
          </w:p>
        </w:tc>
        <w:tc>
          <w:tcPr>
            <w:tcW w:w="327"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-0.4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-0.1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-0.1 </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-1.1 </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rPr>
                <w:b/>
                <w:szCs w:val="20"/>
              </w:rPr>
            </w:pPr>
            <w:r>
              <w:rPr>
                <w:b/>
                <w:szCs w:val="20"/>
              </w:rPr>
              <w:t>Total</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-1.9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-2.7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-2.7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-2.8 </w:t>
            </w:r>
          </w:p>
        </w:tc>
        <w:tc>
          <w:tcPr>
            <w:tcW w:w="32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-10.1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-2.8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-2.9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-3.0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-3.1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-3.1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-3.2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-3.3 </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-31.5 </w:t>
            </w:r>
          </w:p>
        </w:tc>
      </w:tr>
    </w:tbl>
    <w:p w:rsidR="000B5C96" w:rsidRDefault="000B5C96" w:rsidP="00FD7D0A">
      <w:pPr>
        <w:pStyle w:val="Footnotes"/>
        <w:numPr>
          <w:ilvl w:val="0"/>
          <w:numId w:val="274"/>
        </w:numPr>
        <w:ind w:left="284" w:hanging="284"/>
      </w:pPr>
      <w:r>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Default="000B5C96" w:rsidP="000B5C96">
      <w:pPr>
        <w:pStyle w:val="Footnotes"/>
        <w:numPr>
          <w:ilvl w:val="0"/>
          <w:numId w:val="7"/>
        </w:numPr>
        <w:ind w:left="284" w:hanging="284"/>
      </w:pPr>
      <w:r>
        <w:t>Figures may not sum to totals due to rounding.</w:t>
      </w:r>
    </w:p>
    <w:p w:rsidR="000B5C96" w:rsidRDefault="000B5C96" w:rsidP="003F606A">
      <w:pPr>
        <w:pStyle w:val="Caption"/>
        <w:rPr>
          <w:vertAlign w:val="superscript"/>
        </w:rPr>
      </w:pPr>
      <w:r>
        <w:t>Table A3: Component 3: Grant funding for new building – Financial implications (outturn prices)</w:t>
      </w:r>
      <w:r>
        <w:rPr>
          <w:vertAlign w:val="superscript"/>
        </w:rPr>
        <w:t>(a)(b)</w:t>
      </w:r>
    </w:p>
    <w:tbl>
      <w:tblPr>
        <w:tblStyle w:val="TableGrid"/>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rPr>
                <w:szCs w:val="20"/>
              </w:rPr>
            </w:pPr>
            <w:r>
              <w:rPr>
                <w:szCs w:val="20"/>
              </w:rPr>
              <w:t>($m)</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2016–17</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2017–18</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2018–19</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2019–20</w:t>
            </w:r>
          </w:p>
        </w:tc>
        <w:tc>
          <w:tcPr>
            <w:tcW w:w="32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rPr>
                <w:b w:val="0"/>
              </w:rPr>
              <w:t>Total to 2019–20</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2020–21</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2021–22</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2022–23</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2023–24</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2024–25</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2025–26</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2026–27</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rPr>
                <w:b w:val="0"/>
              </w:rPr>
              <w:t>Total to 2026–27</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spacing w:line="240" w:lineRule="auto"/>
              <w:ind w:left="57" w:right="57"/>
              <w:rPr>
                <w:b/>
                <w:szCs w:val="20"/>
              </w:rPr>
            </w:pPr>
            <w:r>
              <w:rPr>
                <w:b/>
                <w:szCs w:val="20"/>
              </w:rPr>
              <w:t>Impact on fiscal and underlying cash balances – expenses/payments</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rPr>
                <w:szCs w:val="20"/>
              </w:rPr>
            </w:pPr>
            <w:r>
              <w:rPr>
                <w:szCs w:val="20"/>
              </w:rPr>
              <w:t>Administered</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-50.0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-50.0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-50.0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-50.0 </w:t>
            </w:r>
          </w:p>
        </w:tc>
        <w:tc>
          <w:tcPr>
            <w:tcW w:w="327"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-200.0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-50.0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-50.0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-50.0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-50.0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-50.0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-50.0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-50.0 </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-550.0 </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rPr>
                <w:szCs w:val="20"/>
              </w:rPr>
            </w:pPr>
            <w:r>
              <w:rPr>
                <w:szCs w:val="20"/>
              </w:rPr>
              <w:t>Departmental</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-1.6 </w:t>
            </w:r>
          </w:p>
        </w:tc>
        <w:tc>
          <w:tcPr>
            <w:tcW w:w="327"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-6.4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-1.6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-1.7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-1.7 </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-17.8 </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rPr>
                <w:b/>
                <w:szCs w:val="20"/>
              </w:rPr>
            </w:pPr>
            <w:r>
              <w:rPr>
                <w:b/>
                <w:szCs w:val="20"/>
              </w:rPr>
              <w:t>Total</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-51.6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-51.6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-51.6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-51.6 </w:t>
            </w:r>
          </w:p>
        </w:tc>
        <w:tc>
          <w:tcPr>
            <w:tcW w:w="32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-206.4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-51.6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-51.6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-51.6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-51.6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-51.6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-51.7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-51.7 </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-567.8 </w:t>
            </w:r>
          </w:p>
        </w:tc>
      </w:tr>
    </w:tbl>
    <w:p w:rsidR="000B5C96" w:rsidRDefault="000B5C96" w:rsidP="00FD7D0A">
      <w:pPr>
        <w:pStyle w:val="Footnotes"/>
        <w:numPr>
          <w:ilvl w:val="0"/>
          <w:numId w:val="275"/>
        </w:numPr>
        <w:ind w:left="284" w:hanging="284"/>
      </w:pPr>
      <w:r>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Default="000B5C96" w:rsidP="000B5C96">
      <w:pPr>
        <w:pStyle w:val="Footnotes"/>
        <w:numPr>
          <w:ilvl w:val="0"/>
          <w:numId w:val="7"/>
        </w:numPr>
        <w:ind w:left="284" w:hanging="284"/>
      </w:pPr>
      <w:r>
        <w:t>Figures may not sum to totals due to rounding.</w:t>
      </w:r>
    </w:p>
    <w:p w:rsidR="000B5C96" w:rsidRDefault="000B5C96" w:rsidP="003F606A">
      <w:pPr>
        <w:pStyle w:val="Caption"/>
        <w:rPr>
          <w:vertAlign w:val="superscript"/>
        </w:rPr>
      </w:pPr>
      <w:r>
        <w:t>Table A4: Component 4: Grant funding for new green roofs and walls – Financial implications (outturn prices)</w:t>
      </w:r>
      <w:r>
        <w:rPr>
          <w:vertAlign w:val="superscript"/>
        </w:rPr>
        <w:t>(a)(b)</w:t>
      </w:r>
    </w:p>
    <w:tbl>
      <w:tblPr>
        <w:tblStyle w:val="TableGrid"/>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keepNext/>
              <w:keepLines/>
              <w:spacing w:line="240" w:lineRule="auto"/>
              <w:ind w:left="57" w:right="57"/>
              <w:rPr>
                <w:szCs w:val="20"/>
              </w:rPr>
            </w:pPr>
            <w:r>
              <w:rPr>
                <w:szCs w:val="20"/>
              </w:rPr>
              <w:t>($m)</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2016–17</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2017–18</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2018–19</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2019–20</w:t>
            </w:r>
          </w:p>
        </w:tc>
        <w:tc>
          <w:tcPr>
            <w:tcW w:w="32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rPr>
                <w:b w:val="0"/>
              </w:rPr>
              <w:t>Total to 2019–20</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2020–21</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2021–22</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2022–23</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2023–24</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2024–25</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2025–26</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t>2026–27</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pStyle w:val="TableHeadingCentred"/>
              <w:spacing w:line="240" w:lineRule="auto"/>
              <w:ind w:left="57" w:right="57"/>
              <w:cnfStyle w:val="000000000000" w:firstRow="0" w:lastRow="0" w:firstColumn="0" w:lastColumn="0" w:oddVBand="0" w:evenVBand="0" w:oddHBand="0" w:evenHBand="0" w:firstRowFirstColumn="0" w:firstRowLastColumn="0" w:lastRowFirstColumn="0" w:lastRowLastColumn="0"/>
            </w:pPr>
            <w:r>
              <w:rPr>
                <w:b w:val="0"/>
              </w:rPr>
              <w:t>Total to 2026–27</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808080"/>
              <w:left w:val="single" w:sz="4" w:space="0" w:color="808080"/>
              <w:bottom w:val="single" w:sz="4" w:space="0" w:color="808080"/>
              <w:right w:val="single" w:sz="4" w:space="0" w:color="808080"/>
            </w:tcBorders>
            <w:shd w:val="clear" w:color="auto" w:fill="E9ECF3"/>
            <w:hideMark/>
          </w:tcPr>
          <w:p w:rsidR="000B5C96" w:rsidRDefault="000B5C96">
            <w:pPr>
              <w:spacing w:line="240" w:lineRule="auto"/>
              <w:ind w:left="57" w:right="57"/>
              <w:rPr>
                <w:b/>
                <w:szCs w:val="20"/>
              </w:rPr>
            </w:pPr>
            <w:r>
              <w:rPr>
                <w:b/>
                <w:szCs w:val="20"/>
              </w:rPr>
              <w:t>Impact on fiscal and underlying cash balances – expenses/payments</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rPr>
                <w:szCs w:val="20"/>
              </w:rPr>
            </w:pPr>
            <w:r>
              <w:rPr>
                <w:szCs w:val="20"/>
              </w:rPr>
              <w:t>Administered</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-10.0 </w:t>
            </w:r>
          </w:p>
        </w:tc>
        <w:tc>
          <w:tcPr>
            <w:tcW w:w="327"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-40.0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-10.0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-10.0 </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-110.0 </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rPr>
                <w:szCs w:val="20"/>
              </w:rPr>
            </w:pPr>
            <w:r>
              <w:rPr>
                <w:szCs w:val="20"/>
              </w:rPr>
              <w:t>Departmental</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-0.5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-0.5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-0.5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-0.5 </w:t>
            </w:r>
          </w:p>
        </w:tc>
        <w:tc>
          <w:tcPr>
            <w:tcW w:w="327"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-1.9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-0.5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-0.5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-0.5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-0.5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-0.5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-0.5 </w:t>
            </w:r>
          </w:p>
        </w:tc>
        <w:tc>
          <w:tcPr>
            <w:tcW w:w="325"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rPr>
            </w:pPr>
            <w:r>
              <w:rPr>
                <w:i/>
              </w:rPr>
              <w:t xml:space="preserve">-0.5 </w:t>
            </w:r>
          </w:p>
        </w:tc>
        <w:tc>
          <w:tcPr>
            <w:tcW w:w="326" w:type="pct"/>
            <w:tcBorders>
              <w:top w:val="single" w:sz="4" w:space="0" w:color="808080"/>
              <w:left w:val="single" w:sz="4" w:space="0" w:color="808080"/>
              <w:bottom w:val="single" w:sz="4" w:space="0" w:color="808080"/>
              <w:right w:val="single" w:sz="4" w:space="0" w:color="808080"/>
            </w:tcBorders>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rPr>
            </w:pPr>
            <w:r>
              <w:rPr>
                <w:b/>
                <w:i/>
              </w:rPr>
              <w:t xml:space="preserve">-5.3 </w:t>
            </w:r>
          </w:p>
        </w:tc>
      </w:tr>
      <w:tr w:rsidR="000B5C96" w:rsidTr="003F606A">
        <w:trPr>
          <w:cantSplit/>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rPr>
                <w:b/>
                <w:szCs w:val="20"/>
              </w:rPr>
            </w:pPr>
            <w:r>
              <w:rPr>
                <w:b/>
                <w:szCs w:val="20"/>
              </w:rPr>
              <w:t>Total</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-10.5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-10.5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-10.5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-10.5 </w:t>
            </w:r>
          </w:p>
        </w:tc>
        <w:tc>
          <w:tcPr>
            <w:tcW w:w="327"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-41.9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-10.5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-10.5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-10.5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-10.5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-10.5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-10.5 </w:t>
            </w:r>
          </w:p>
        </w:tc>
        <w:tc>
          <w:tcPr>
            <w:tcW w:w="325"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-10.5 </w:t>
            </w:r>
          </w:p>
        </w:tc>
        <w:tc>
          <w:tcPr>
            <w:tcW w:w="326"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Default="000B5C9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rPr>
            </w:pPr>
            <w:r>
              <w:rPr>
                <w:b/>
              </w:rPr>
              <w:t xml:space="preserve">-115.3 </w:t>
            </w:r>
          </w:p>
        </w:tc>
      </w:tr>
    </w:tbl>
    <w:p w:rsidR="000B5C96" w:rsidRDefault="000B5C96" w:rsidP="00FD7D0A">
      <w:pPr>
        <w:pStyle w:val="Footnotes"/>
        <w:numPr>
          <w:ilvl w:val="0"/>
          <w:numId w:val="276"/>
        </w:numPr>
        <w:ind w:left="284" w:hanging="284"/>
      </w:pPr>
      <w:r>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Default="000B5C96" w:rsidP="000B5C96">
      <w:pPr>
        <w:pStyle w:val="Footnotes"/>
        <w:numPr>
          <w:ilvl w:val="0"/>
          <w:numId w:val="7"/>
        </w:numPr>
        <w:ind w:left="284" w:hanging="284"/>
      </w:pPr>
      <w:r>
        <w:t>Figures may not sum to totals due to rounding.</w:t>
      </w:r>
    </w:p>
    <w:p w:rsidR="000B5C96" w:rsidRDefault="000B5C96" w:rsidP="003F606A">
      <w:pPr>
        <w:pStyle w:val="BodyText"/>
      </w:pPr>
    </w:p>
    <w:p w:rsidR="000B5C96" w:rsidRPr="00665159" w:rsidRDefault="000B5C96" w:rsidP="003F606A">
      <w:pPr>
        <w:pStyle w:val="BodyText"/>
        <w:sectPr w:rsidR="000B5C96" w:rsidRPr="00665159" w:rsidSect="003F606A">
          <w:headerReference w:type="even" r:id="rId557"/>
          <w:headerReference w:type="default" r:id="rId558"/>
          <w:footerReference w:type="even" r:id="rId559"/>
          <w:footerReference w:type="default" r:id="rId560"/>
          <w:pgSz w:w="16839" w:h="11907" w:orient="landscape" w:code="9"/>
          <w:pgMar w:top="1361" w:right="1797" w:bottom="1474" w:left="1797" w:header="283" w:footer="454" w:gutter="0"/>
          <w:cols w:space="708"/>
          <w:docGrid w:linePitch="360"/>
        </w:sectPr>
      </w:pPr>
    </w:p>
    <w:p w:rsidR="000B5C96" w:rsidRDefault="000B5C96" w:rsidP="003F606A">
      <w:pPr>
        <w:pStyle w:val="Heading5"/>
      </w:pPr>
      <w:bookmarkStart w:id="187" w:name="_Toc458001973"/>
      <w:bookmarkStart w:id="188" w:name="_Toc458069458"/>
      <w:r>
        <w:t>GRN066: Repowering Public and Community Housing</w:t>
      </w:r>
      <w:bookmarkEnd w:id="187"/>
      <w:bookmarkEnd w:id="188"/>
    </w:p>
    <w:p w:rsidR="000B5C96" w:rsidRDefault="000B5C96" w:rsidP="003F606A">
      <w:pPr>
        <w:pStyle w:val="BodyText"/>
      </w:pPr>
      <w:r>
        <w:rPr>
          <w:noProof/>
          <w:lang w:eastAsia="en-AU"/>
        </w:rPr>
        <w:drawing>
          <wp:inline distT="0" distB="0" distL="0" distR="0" wp14:anchorId="495958A8" wp14:editId="03AAF13D">
            <wp:extent cx="2696845" cy="572135"/>
            <wp:effectExtent l="0" t="0" r="8255" b="0"/>
            <wp:docPr id="477" name="Picture 47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48119D" w:rsidRDefault="000B5C96" w:rsidP="000B5C96">
      <w:pPr>
        <w:pStyle w:val="Heading6"/>
        <w:numPr>
          <w:ilvl w:val="0"/>
          <w:numId w:val="5"/>
        </w:numPr>
        <w:tabs>
          <w:tab w:val="right" w:pos="1418"/>
          <w:tab w:val="right" w:pos="1701"/>
          <w:tab w:val="right" w:pos="1985"/>
        </w:tabs>
      </w:pPr>
      <w:r w:rsidRPr="0048119D">
        <w:t>Policy costing—during the caretaker period for the 2016 general election</w:t>
      </w:r>
    </w:p>
    <w:tbl>
      <w:tblPr>
        <w:tblStyle w:val="Style17"/>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Repowering Public and Community Housing</w:t>
            </w:r>
          </w:p>
        </w:tc>
      </w:tr>
      <w:tr w:rsidR="000B5C96" w:rsidRPr="0048119D" w:rsidTr="003F606A">
        <w:tc>
          <w:tcPr>
            <w:tcW w:w="3005" w:type="dxa"/>
          </w:tcPr>
          <w:p w:rsidR="000B5C96" w:rsidRPr="0048119D" w:rsidRDefault="000B5C96" w:rsidP="003F606A">
            <w:pPr>
              <w:pStyle w:val="PullOutBoxBodyText"/>
            </w:pPr>
            <w:r w:rsidRPr="0048119D">
              <w:t>Summary of proposal:</w:t>
            </w:r>
          </w:p>
        </w:tc>
        <w:tc>
          <w:tcPr>
            <w:tcW w:w="5335" w:type="dxa"/>
          </w:tcPr>
          <w:p w:rsidR="000B5C96" w:rsidRPr="0048119D" w:rsidRDefault="000B5C96" w:rsidP="003F606A">
            <w:pPr>
              <w:pStyle w:val="PullOutBoxBodyText"/>
            </w:pPr>
            <w:r w:rsidRPr="0048119D">
              <w:t>The proposal would upgrade Australia’s entire public and community housing stock by 2030 by providing capped funding of $2,000 for every dwelling.</w:t>
            </w:r>
          </w:p>
          <w:p w:rsidR="000B5C96" w:rsidRPr="0048119D" w:rsidRDefault="000B5C96" w:rsidP="003F606A">
            <w:pPr>
              <w:pStyle w:val="PullOutBoxBodyText"/>
            </w:pPr>
            <w:r w:rsidRPr="0048119D">
              <w:t>The $2,000 for each dwelling would be used to:</w:t>
            </w:r>
          </w:p>
          <w:p w:rsidR="000B5C96" w:rsidRPr="0048119D" w:rsidRDefault="000B5C96" w:rsidP="000B5C96">
            <w:pPr>
              <w:pStyle w:val="PullOutBoxBullet"/>
              <w:numPr>
                <w:ilvl w:val="0"/>
                <w:numId w:val="2"/>
              </w:numPr>
              <w:ind w:left="397"/>
              <w:rPr>
                <w:color w:val="000000"/>
                <w:lang w:eastAsia="en-AU"/>
              </w:rPr>
            </w:pPr>
            <w:r w:rsidRPr="0048119D">
              <w:rPr>
                <w:lang w:eastAsia="en-AU"/>
              </w:rPr>
              <w:t xml:space="preserve">Put a two kilowatt (2kW) solar PV system on the roof of all Australia’s social housing properties. </w:t>
            </w:r>
          </w:p>
          <w:p w:rsidR="000B5C96" w:rsidRPr="0048119D" w:rsidRDefault="000B5C96" w:rsidP="000B5C96">
            <w:pPr>
              <w:pStyle w:val="PullOutBoxBullet"/>
              <w:numPr>
                <w:ilvl w:val="0"/>
                <w:numId w:val="2"/>
              </w:numPr>
              <w:ind w:left="397"/>
              <w:rPr>
                <w:lang w:eastAsia="en-AU"/>
              </w:rPr>
            </w:pPr>
            <w:r w:rsidRPr="0048119D">
              <w:rPr>
                <w:lang w:eastAsia="en-AU"/>
              </w:rPr>
              <w:t>Install energy efficient appliances, LED lighting, window glazing, smart meters, water efficient appliances and shower heads, roof and wall insulation, ceiling and ventilation fans, efficient heating and cooling, low cost sensors, and draught proofing.</w:t>
            </w:r>
          </w:p>
          <w:p w:rsidR="000B5C96" w:rsidRPr="0048119D" w:rsidRDefault="000B5C96" w:rsidP="000B5C96">
            <w:pPr>
              <w:pStyle w:val="PullOutBoxBullet"/>
              <w:numPr>
                <w:ilvl w:val="0"/>
                <w:numId w:val="2"/>
              </w:numPr>
              <w:ind w:left="397"/>
              <w:rPr>
                <w:lang w:eastAsia="en-AU"/>
              </w:rPr>
            </w:pPr>
            <w:r w:rsidRPr="0048119D">
              <w:rPr>
                <w:lang w:eastAsia="en-AU"/>
              </w:rPr>
              <w:t>Add secure door and window fittings for cross ventilation</w:t>
            </w:r>
          </w:p>
          <w:p w:rsidR="000B5C96" w:rsidRPr="0048119D" w:rsidRDefault="000B5C96" w:rsidP="000B5C96">
            <w:pPr>
              <w:pStyle w:val="PullOutBoxBullet"/>
              <w:numPr>
                <w:ilvl w:val="0"/>
                <w:numId w:val="2"/>
              </w:numPr>
              <w:ind w:left="397"/>
              <w:rPr>
                <w:lang w:eastAsia="en-AU"/>
              </w:rPr>
            </w:pPr>
            <w:r w:rsidRPr="0048119D">
              <w:rPr>
                <w:lang w:eastAsia="en-AU"/>
              </w:rPr>
              <w:t>Provide a property energy assessment, education and advice for tenants</w:t>
            </w:r>
          </w:p>
          <w:p w:rsidR="000B5C96" w:rsidRPr="0048119D" w:rsidRDefault="000B5C96" w:rsidP="000B5C96">
            <w:pPr>
              <w:pStyle w:val="PullOutBoxBullet"/>
              <w:numPr>
                <w:ilvl w:val="0"/>
                <w:numId w:val="2"/>
              </w:numPr>
              <w:ind w:left="397"/>
              <w:rPr>
                <w:lang w:eastAsia="en-AU"/>
              </w:rPr>
            </w:pPr>
            <w:r w:rsidRPr="0048119D">
              <w:rPr>
                <w:lang w:eastAsia="en-AU"/>
              </w:rPr>
              <w:t>Provide a training, employment and education package for tenants interested in developing skills in the green jobs sector, to employ at least 5,000 tenants in the roll</w:t>
            </w:r>
            <w:r w:rsidRPr="0048119D">
              <w:rPr>
                <w:lang w:eastAsia="en-AU"/>
              </w:rPr>
              <w:noBreakHyphen/>
              <w:t>out and maintenance of this package.</w:t>
            </w:r>
          </w:p>
          <w:p w:rsidR="000B5C96" w:rsidRPr="0048119D" w:rsidRDefault="000B5C96" w:rsidP="003F606A">
            <w:pPr>
              <w:pStyle w:val="PullOutBoxBodyText"/>
            </w:pPr>
            <w:r w:rsidRPr="0048119D">
              <w:t>The proposal would have effect from 1 September 2016.</w:t>
            </w:r>
          </w:p>
        </w:tc>
      </w:tr>
      <w:tr w:rsidR="000B5C96" w:rsidRPr="0048119D" w:rsidTr="003F606A">
        <w:tc>
          <w:tcPr>
            <w:tcW w:w="3005" w:type="dxa"/>
          </w:tcPr>
          <w:p w:rsidR="000B5C96" w:rsidRPr="0048119D" w:rsidRDefault="000B5C96" w:rsidP="003F606A">
            <w:pPr>
              <w:pStyle w:val="PullOutBoxBodyText"/>
            </w:pPr>
            <w:r w:rsidRPr="0048119D">
              <w:t>Person/party requesting costing:</w:t>
            </w:r>
          </w:p>
        </w:tc>
        <w:tc>
          <w:tcPr>
            <w:tcW w:w="5335" w:type="dxa"/>
          </w:tcPr>
          <w:p w:rsidR="000B5C96" w:rsidRPr="0048119D" w:rsidRDefault="000B5C96" w:rsidP="003F606A">
            <w:pPr>
              <w:pStyle w:val="PullOutBoxBodyText"/>
            </w:pPr>
            <w:r w:rsidRPr="0048119D">
              <w:t>Senator Richard Di Natale, Australian Greens</w:t>
            </w:r>
          </w:p>
        </w:tc>
      </w:tr>
      <w:tr w:rsidR="000B5C96" w:rsidRPr="0048119D" w:rsidTr="003F606A">
        <w:tc>
          <w:tcPr>
            <w:tcW w:w="3005" w:type="dxa"/>
          </w:tcPr>
          <w:p w:rsidR="000B5C96" w:rsidRPr="0048119D" w:rsidRDefault="000B5C96" w:rsidP="003F606A">
            <w:pPr>
              <w:pStyle w:val="PullOutBoxBodyText"/>
            </w:pPr>
            <w:r w:rsidRPr="0048119D">
              <w:t>Date of public release of policy:</w:t>
            </w:r>
          </w:p>
        </w:tc>
        <w:tc>
          <w:tcPr>
            <w:tcW w:w="5335" w:type="dxa"/>
          </w:tcPr>
          <w:p w:rsidR="000B5C96" w:rsidRPr="0048119D" w:rsidRDefault="000B5C96" w:rsidP="003F606A">
            <w:pPr>
              <w:pStyle w:val="PullOutBoxBodyText"/>
            </w:pPr>
            <w:r w:rsidRPr="0048119D">
              <w:t>14 June 2016</w:t>
            </w:r>
          </w:p>
          <w:p w:rsidR="000B5C96" w:rsidRPr="0048119D" w:rsidRDefault="00E46526" w:rsidP="003F606A">
            <w:pPr>
              <w:pStyle w:val="PullOutBoxBodyText"/>
            </w:pPr>
            <w:hyperlink r:id="rId561" w:history="1">
              <w:r w:rsidR="000B5C96" w:rsidRPr="0048119D">
                <w:rPr>
                  <w:color w:val="0000FF"/>
                  <w:u w:val="single"/>
                </w:rPr>
                <w:t>http://greens.org.au/renew-community-housing</w:t>
              </w:r>
            </w:hyperlink>
          </w:p>
        </w:tc>
      </w:tr>
      <w:tr w:rsidR="000B5C96" w:rsidRPr="0048119D" w:rsidTr="003F606A">
        <w:tc>
          <w:tcPr>
            <w:tcW w:w="3005" w:type="dxa"/>
          </w:tcPr>
          <w:p w:rsidR="000B5C96" w:rsidRPr="0048119D" w:rsidRDefault="000B5C96" w:rsidP="003F606A">
            <w:pPr>
              <w:pStyle w:val="PullOutBoxBodyText"/>
            </w:pPr>
            <w:r w:rsidRPr="0048119D">
              <w:t>Date costing request received:</w:t>
            </w:r>
          </w:p>
        </w:tc>
        <w:tc>
          <w:tcPr>
            <w:tcW w:w="5335" w:type="dxa"/>
          </w:tcPr>
          <w:p w:rsidR="000B5C96" w:rsidRPr="0048119D" w:rsidRDefault="000B5C96" w:rsidP="003F606A">
            <w:pPr>
              <w:pStyle w:val="PullOutBoxBodyText"/>
            </w:pPr>
            <w:r w:rsidRPr="0048119D">
              <w:t>30 June 2016</w:t>
            </w:r>
          </w:p>
        </w:tc>
      </w:tr>
      <w:tr w:rsidR="000B5C96" w:rsidRPr="0048119D" w:rsidTr="003F606A">
        <w:tc>
          <w:tcPr>
            <w:tcW w:w="3005" w:type="dxa"/>
          </w:tcPr>
          <w:p w:rsidR="000B5C96" w:rsidRPr="0048119D" w:rsidRDefault="000B5C96" w:rsidP="003F606A">
            <w:pPr>
              <w:pStyle w:val="PullOutBoxBodyText"/>
            </w:pPr>
            <w:r w:rsidRPr="0048119D">
              <w:t>Date costing completed:</w:t>
            </w:r>
          </w:p>
        </w:tc>
        <w:tc>
          <w:tcPr>
            <w:tcW w:w="5335" w:type="dxa"/>
          </w:tcPr>
          <w:p w:rsidR="000B5C96" w:rsidRPr="0048119D" w:rsidRDefault="000B5C96" w:rsidP="003F606A">
            <w:pPr>
              <w:pStyle w:val="PullOutBoxBodyText"/>
            </w:pPr>
            <w:r w:rsidRPr="0048119D">
              <w:t>30 June 2016</w:t>
            </w:r>
          </w:p>
        </w:tc>
      </w:tr>
      <w:tr w:rsidR="000B5C96" w:rsidRPr="0048119D" w:rsidTr="003F606A">
        <w:tc>
          <w:tcPr>
            <w:tcW w:w="3005" w:type="dxa"/>
          </w:tcPr>
          <w:p w:rsidR="000B5C96" w:rsidRPr="0048119D" w:rsidRDefault="000B5C96" w:rsidP="003F606A">
            <w:pPr>
              <w:pStyle w:val="PullOutBoxBodyText"/>
            </w:pPr>
            <w:r w:rsidRPr="0048119D">
              <w:t>Expiry date for the costing:</w:t>
            </w:r>
          </w:p>
        </w:tc>
        <w:tc>
          <w:tcPr>
            <w:tcW w:w="5335" w:type="dxa"/>
          </w:tcPr>
          <w:p w:rsidR="000B5C96" w:rsidRPr="0048119D" w:rsidRDefault="000B5C96" w:rsidP="003F606A">
            <w:pPr>
              <w:pStyle w:val="PullOutBoxBodyText"/>
            </w:pPr>
            <w:r w:rsidRPr="0048119D">
              <w:t>Release of the next economic and fiscal outlook report</w:t>
            </w:r>
          </w:p>
        </w:tc>
      </w:tr>
    </w:tbl>
    <w:p w:rsidR="000B5C96" w:rsidRPr="0048119D" w:rsidRDefault="000B5C96" w:rsidP="003F606A">
      <w:pPr>
        <w:pStyle w:val="CostingsH7"/>
      </w:pPr>
      <w:r w:rsidRPr="0048119D">
        <w:t>Costing overview</w:t>
      </w:r>
    </w:p>
    <w:p w:rsidR="000B5C96" w:rsidRPr="0048119D" w:rsidRDefault="000B5C96" w:rsidP="003F606A">
      <w:pPr>
        <w:pStyle w:val="BodyText"/>
      </w:pPr>
      <w:r w:rsidRPr="0048119D">
        <w:t>This proposal would be expected to decrease both the fiscal and underlying cash balances by $250.0 million over the 2016-17 Budget forward estimates period.  This reflects an increase in administered expenses of $241.0 million and an increase in departmental expenses of $9.0 million over this period.</w:t>
      </w:r>
    </w:p>
    <w:p w:rsidR="000B5C96" w:rsidRPr="0048119D" w:rsidRDefault="000B5C96" w:rsidP="003F606A">
      <w:pPr>
        <w:pStyle w:val="Caption"/>
      </w:pPr>
      <w:r w:rsidRPr="0048119D">
        <w:t>Table 1: Financial implications (outturn prices)</w:t>
      </w:r>
      <w:r w:rsidRPr="0048119D">
        <w:rPr>
          <w:vertAlign w:val="superscript"/>
        </w:rPr>
        <w:t>(a)(b)</w:t>
      </w:r>
    </w:p>
    <w:tbl>
      <w:tblPr>
        <w:tblStyle w:val="TableGrid44"/>
        <w:tblW w:w="4993" w:type="pct"/>
        <w:tblLook w:val="04A0" w:firstRow="1" w:lastRow="0" w:firstColumn="1" w:lastColumn="0" w:noHBand="0" w:noVBand="1"/>
      </w:tblPr>
      <w:tblGrid>
        <w:gridCol w:w="2644"/>
        <w:gridCol w:w="1133"/>
        <w:gridCol w:w="1134"/>
        <w:gridCol w:w="1134"/>
        <w:gridCol w:w="1134"/>
        <w:gridCol w:w="1132"/>
      </w:tblGrid>
      <w:tr w:rsidR="000B5C96" w:rsidRPr="0048119D"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48119D" w:rsidRDefault="000B5C96" w:rsidP="003F606A">
            <w:pPr>
              <w:keepNext/>
              <w:keepLines/>
              <w:spacing w:line="240" w:lineRule="auto"/>
              <w:ind w:left="57" w:right="57"/>
              <w:rPr>
                <w:szCs w:val="20"/>
              </w:rPr>
            </w:pPr>
            <w:r w:rsidRPr="0048119D">
              <w:rPr>
                <w:szCs w:val="20"/>
              </w:rPr>
              <w:t>Impact on ($m)</w:t>
            </w:r>
          </w:p>
        </w:tc>
        <w:tc>
          <w:tcPr>
            <w:tcW w:w="682" w:type="pct"/>
          </w:tcPr>
          <w:p w:rsidR="000B5C96" w:rsidRPr="0048119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8119D">
              <w:rPr>
                <w:szCs w:val="20"/>
              </w:rPr>
              <w:t>2016–17</w:t>
            </w:r>
          </w:p>
        </w:tc>
        <w:tc>
          <w:tcPr>
            <w:tcW w:w="682" w:type="pct"/>
          </w:tcPr>
          <w:p w:rsidR="000B5C96" w:rsidRPr="0048119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8119D">
              <w:rPr>
                <w:szCs w:val="20"/>
              </w:rPr>
              <w:t>2017–18</w:t>
            </w:r>
          </w:p>
        </w:tc>
        <w:tc>
          <w:tcPr>
            <w:tcW w:w="682" w:type="pct"/>
          </w:tcPr>
          <w:p w:rsidR="000B5C96" w:rsidRPr="0048119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8119D">
              <w:rPr>
                <w:szCs w:val="20"/>
              </w:rPr>
              <w:t>2018–19</w:t>
            </w:r>
          </w:p>
        </w:tc>
        <w:tc>
          <w:tcPr>
            <w:tcW w:w="682" w:type="pct"/>
          </w:tcPr>
          <w:p w:rsidR="000B5C96" w:rsidRPr="0048119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8119D">
              <w:rPr>
                <w:szCs w:val="20"/>
              </w:rPr>
              <w:t>2019–20</w:t>
            </w:r>
          </w:p>
        </w:tc>
        <w:tc>
          <w:tcPr>
            <w:tcW w:w="681" w:type="pct"/>
          </w:tcPr>
          <w:p w:rsidR="000B5C96" w:rsidRPr="0048119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8119D">
              <w:rPr>
                <w:b/>
                <w:szCs w:val="20"/>
              </w:rPr>
              <w:t>Total</w:t>
            </w:r>
          </w:p>
        </w:tc>
      </w:tr>
      <w:tr w:rsidR="000B5C96" w:rsidRPr="0048119D"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48119D" w:rsidRDefault="000B5C96" w:rsidP="003F606A">
            <w:pPr>
              <w:keepNext/>
              <w:keepLines/>
              <w:spacing w:line="240" w:lineRule="auto"/>
              <w:ind w:left="57" w:right="57"/>
              <w:rPr>
                <w:szCs w:val="20"/>
              </w:rPr>
            </w:pPr>
            <w:r w:rsidRPr="0048119D">
              <w:rPr>
                <w:szCs w:val="20"/>
              </w:rPr>
              <w:t>Fiscal balance</w:t>
            </w:r>
          </w:p>
        </w:tc>
        <w:tc>
          <w:tcPr>
            <w:tcW w:w="682" w:type="pct"/>
          </w:tcPr>
          <w:p w:rsidR="000B5C96" w:rsidRPr="0048119D"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8119D">
              <w:rPr>
                <w:rFonts w:ascii="Calibri" w:hAnsi="Calibri"/>
              </w:rPr>
              <w:t>-62.0</w:t>
            </w:r>
          </w:p>
        </w:tc>
        <w:tc>
          <w:tcPr>
            <w:tcW w:w="682" w:type="pct"/>
          </w:tcPr>
          <w:p w:rsidR="000B5C96" w:rsidRPr="0048119D"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8119D">
              <w:rPr>
                <w:rFonts w:ascii="Calibri" w:hAnsi="Calibri"/>
              </w:rPr>
              <w:t>-62.0</w:t>
            </w:r>
          </w:p>
        </w:tc>
        <w:tc>
          <w:tcPr>
            <w:tcW w:w="682" w:type="pct"/>
          </w:tcPr>
          <w:p w:rsidR="000B5C96" w:rsidRPr="0048119D"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8119D">
              <w:rPr>
                <w:rFonts w:ascii="Calibri" w:hAnsi="Calibri"/>
              </w:rPr>
              <w:t>-62.0</w:t>
            </w:r>
          </w:p>
        </w:tc>
        <w:tc>
          <w:tcPr>
            <w:tcW w:w="682" w:type="pct"/>
          </w:tcPr>
          <w:p w:rsidR="000B5C96" w:rsidRPr="0048119D"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8119D">
              <w:rPr>
                <w:rFonts w:ascii="Calibri" w:hAnsi="Calibri"/>
              </w:rPr>
              <w:t>-62.0</w:t>
            </w:r>
          </w:p>
        </w:tc>
        <w:tc>
          <w:tcPr>
            <w:tcW w:w="681" w:type="pct"/>
          </w:tcPr>
          <w:p w:rsidR="000B5C96" w:rsidRPr="0048119D"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8119D">
              <w:rPr>
                <w:rFonts w:ascii="Calibri" w:hAnsi="Calibri"/>
                <w:b/>
              </w:rPr>
              <w:t>-250.0</w:t>
            </w:r>
          </w:p>
        </w:tc>
      </w:tr>
      <w:tr w:rsidR="000B5C96" w:rsidRPr="0048119D"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48119D" w:rsidRDefault="000B5C96" w:rsidP="003F606A">
            <w:pPr>
              <w:keepNext/>
              <w:keepLines/>
              <w:spacing w:line="240" w:lineRule="auto"/>
              <w:ind w:left="57" w:right="57"/>
              <w:rPr>
                <w:szCs w:val="20"/>
              </w:rPr>
            </w:pPr>
            <w:r w:rsidRPr="0048119D">
              <w:rPr>
                <w:szCs w:val="20"/>
              </w:rPr>
              <w:t>Underlying cash balance</w:t>
            </w:r>
          </w:p>
        </w:tc>
        <w:tc>
          <w:tcPr>
            <w:tcW w:w="682" w:type="pct"/>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8119D">
              <w:rPr>
                <w:rFonts w:ascii="Calibri" w:hAnsi="Calibri"/>
              </w:rPr>
              <w:t>-62.0</w:t>
            </w:r>
          </w:p>
        </w:tc>
        <w:tc>
          <w:tcPr>
            <w:tcW w:w="682" w:type="pct"/>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8119D">
              <w:rPr>
                <w:rFonts w:ascii="Calibri" w:hAnsi="Calibri"/>
              </w:rPr>
              <w:t>-62.0</w:t>
            </w:r>
          </w:p>
        </w:tc>
        <w:tc>
          <w:tcPr>
            <w:tcW w:w="682" w:type="pct"/>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8119D">
              <w:rPr>
                <w:rFonts w:ascii="Calibri" w:hAnsi="Calibri"/>
              </w:rPr>
              <w:t>-62.0</w:t>
            </w:r>
          </w:p>
        </w:tc>
        <w:tc>
          <w:tcPr>
            <w:tcW w:w="682" w:type="pct"/>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8119D">
              <w:rPr>
                <w:rFonts w:ascii="Calibri" w:hAnsi="Calibri"/>
              </w:rPr>
              <w:t>-62.0</w:t>
            </w:r>
          </w:p>
        </w:tc>
        <w:tc>
          <w:tcPr>
            <w:tcW w:w="681" w:type="pct"/>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8119D">
              <w:rPr>
                <w:rFonts w:ascii="Calibri" w:hAnsi="Calibri"/>
                <w:b/>
              </w:rPr>
              <w:t>-250.0</w:t>
            </w:r>
          </w:p>
        </w:tc>
      </w:tr>
    </w:tbl>
    <w:p w:rsidR="000B5C96" w:rsidRPr="0048119D" w:rsidRDefault="000B5C96" w:rsidP="002C7093">
      <w:pPr>
        <w:pStyle w:val="Footnotes"/>
        <w:numPr>
          <w:ilvl w:val="0"/>
          <w:numId w:val="277"/>
        </w:numPr>
        <w:ind w:left="284" w:hanging="284"/>
      </w:pPr>
      <w:r w:rsidRPr="0048119D">
        <w:rPr>
          <w:lang w:eastAsia="en-AU"/>
        </w:rPr>
        <w:t>A positive number represents an increase in the relevant budget balance, a negative number a decrease.</w:t>
      </w:r>
      <w:r w:rsidRPr="0048119D">
        <w:t xml:space="preserve"> </w:t>
      </w:r>
    </w:p>
    <w:p w:rsidR="000B5C96" w:rsidRPr="0048119D" w:rsidRDefault="000B5C96" w:rsidP="000B5C96">
      <w:pPr>
        <w:pStyle w:val="Footnotes"/>
        <w:numPr>
          <w:ilvl w:val="0"/>
          <w:numId w:val="7"/>
        </w:numPr>
        <w:ind w:left="284" w:hanging="284"/>
      </w:pPr>
      <w:r w:rsidRPr="0048119D">
        <w:t>Figures may not sum to totals due to rounding.</w:t>
      </w:r>
    </w:p>
    <w:p w:rsidR="000B5C96" w:rsidRPr="0048119D" w:rsidRDefault="000B5C96" w:rsidP="003F606A">
      <w:pPr>
        <w:pStyle w:val="BodyText17ptAbove"/>
        <w:rPr>
          <w:lang w:eastAsia="en-AU"/>
        </w:rPr>
      </w:pPr>
      <w:r w:rsidRPr="0048119D">
        <w:rPr>
          <w:lang w:eastAsia="en-AU"/>
        </w:rPr>
        <w:t>The proposal would have ongoing financial implications beyond the 2016-17 Budget forward estimates period until 2029-30 at which point funding for the proposal would terminate.  The annual impact over the period 2020-21 to 2029-30 would be in line with the impact in 2019</w:t>
      </w:r>
      <w:r>
        <w:rPr>
          <w:lang w:eastAsia="en-AU"/>
        </w:rPr>
        <w:noBreakHyphen/>
      </w:r>
      <w:r w:rsidRPr="0048119D">
        <w:rPr>
          <w:lang w:eastAsia="en-AU"/>
        </w:rPr>
        <w:t xml:space="preserve">20.  A breakdown by administered and departmental expenses is at </w:t>
      </w:r>
      <w:r w:rsidRPr="0048119D">
        <w:rPr>
          <w:u w:val="single"/>
          <w:lang w:eastAsia="en-AU"/>
        </w:rPr>
        <w:t>Attachment A</w:t>
      </w:r>
      <w:r w:rsidRPr="0048119D">
        <w:rPr>
          <w:lang w:eastAsia="en-AU"/>
        </w:rPr>
        <w:t>.</w:t>
      </w:r>
    </w:p>
    <w:p w:rsidR="000B5C96" w:rsidRPr="0048119D" w:rsidRDefault="000B5C96" w:rsidP="003F606A">
      <w:pPr>
        <w:pStyle w:val="BodyText"/>
      </w:pPr>
      <w:r w:rsidRPr="0048119D">
        <w:rPr>
          <w:lang w:eastAsia="en-AU"/>
        </w:rPr>
        <w:t>This costing is considered to be of high reliability as it is largely based on specified capped amounts.</w:t>
      </w:r>
    </w:p>
    <w:p w:rsidR="000B5C96" w:rsidRPr="0048119D" w:rsidRDefault="000B5C96" w:rsidP="003F606A">
      <w:pPr>
        <w:pStyle w:val="CostingsH7"/>
      </w:pPr>
      <w:r w:rsidRPr="0048119D">
        <w:t>Key assumptions</w:t>
      </w:r>
    </w:p>
    <w:p w:rsidR="000B5C96" w:rsidRPr="0048119D" w:rsidRDefault="000B5C96" w:rsidP="000B5C96">
      <w:pPr>
        <w:pStyle w:val="ListBullet"/>
        <w:numPr>
          <w:ilvl w:val="0"/>
          <w:numId w:val="123"/>
        </w:numPr>
        <w:spacing w:line="260" w:lineRule="atLeast"/>
        <w:ind w:left="284" w:hanging="284"/>
        <w:rPr>
          <w:lang w:eastAsia="en-AU"/>
        </w:rPr>
      </w:pPr>
      <w:r w:rsidRPr="0048119D">
        <w:rPr>
          <w:lang w:eastAsia="en-AU"/>
        </w:rPr>
        <w:t>The PBO has not undertaken any analysis of whether the prescribed funding amounts would be adequate to achieve the activities outlined in the proposal.</w:t>
      </w:r>
    </w:p>
    <w:p w:rsidR="000B5C96" w:rsidRPr="0048119D" w:rsidRDefault="000B5C96" w:rsidP="000B5C96">
      <w:pPr>
        <w:pStyle w:val="ListBullet"/>
        <w:numPr>
          <w:ilvl w:val="0"/>
          <w:numId w:val="123"/>
        </w:numPr>
        <w:spacing w:line="260" w:lineRule="atLeast"/>
        <w:ind w:left="284" w:hanging="284"/>
        <w:rPr>
          <w:lang w:eastAsia="en-AU"/>
        </w:rPr>
      </w:pPr>
      <w:r w:rsidRPr="0048119D">
        <w:rPr>
          <w:lang w:eastAsia="en-AU"/>
        </w:rPr>
        <w:t>It was assumed that around 30,000 dwellings would be upgraded annually until 2030.</w:t>
      </w:r>
    </w:p>
    <w:p w:rsidR="000B5C96" w:rsidRPr="0048119D" w:rsidRDefault="000B5C96" w:rsidP="003F606A">
      <w:pPr>
        <w:pStyle w:val="CostingsH7"/>
      </w:pPr>
      <w:r w:rsidRPr="0048119D">
        <w:t>Methodology</w:t>
      </w:r>
    </w:p>
    <w:p w:rsidR="000B5C96" w:rsidRPr="0048119D" w:rsidRDefault="000B5C96" w:rsidP="003F606A">
      <w:pPr>
        <w:pStyle w:val="BodyText"/>
      </w:pPr>
      <w:r w:rsidRPr="0048119D">
        <w:t>Administered expense estimates are as specified in the request.</w:t>
      </w:r>
    </w:p>
    <w:p w:rsidR="000B5C96" w:rsidRPr="0048119D" w:rsidRDefault="000B5C96" w:rsidP="003F606A">
      <w:pPr>
        <w:pStyle w:val="BodyText"/>
      </w:pPr>
      <w:r w:rsidRPr="0048119D">
        <w:t>Departmental expense estimates are in addition to the administered costs and are based on similar sized grant programs and estimates account for the net effect of indexation parameters and the efficiency dividend, in accordance with the Department of Finance’s costing practices.</w:t>
      </w:r>
    </w:p>
    <w:p w:rsidR="000B5C96" w:rsidRPr="0048119D" w:rsidRDefault="000B5C96" w:rsidP="003F606A">
      <w:pPr>
        <w:pStyle w:val="BodyText"/>
      </w:pPr>
      <w:r w:rsidRPr="0048119D">
        <w:t>Administered and departmental expense estimates were rounded to the nearest $1 million.</w:t>
      </w:r>
    </w:p>
    <w:p w:rsidR="000B5C96" w:rsidRPr="0048119D" w:rsidRDefault="000B5C96" w:rsidP="003F606A">
      <w:pPr>
        <w:pStyle w:val="CostingsH7"/>
      </w:pPr>
      <w:r w:rsidRPr="0048119D">
        <w:t>Data sources</w:t>
      </w:r>
    </w:p>
    <w:p w:rsidR="000B5C96" w:rsidRDefault="000B5C96" w:rsidP="003F606A">
      <w:pPr>
        <w:keepLines/>
        <w:spacing w:after="113"/>
        <w:ind w:left="284" w:hanging="284"/>
        <w:rPr>
          <w:rFonts w:ascii="Calibri" w:eastAsia="Times New Roman" w:hAnsi="Calibri" w:cs="Times New Roman"/>
          <w:lang w:eastAsia="en-AU"/>
        </w:rPr>
        <w:sectPr w:rsidR="000B5C96" w:rsidSect="003F606A">
          <w:headerReference w:type="even" r:id="rId562"/>
          <w:headerReference w:type="default" r:id="rId563"/>
          <w:footerReference w:type="even" r:id="rId564"/>
          <w:footerReference w:type="default" r:id="rId565"/>
          <w:pgSz w:w="11907" w:h="16839" w:code="9"/>
          <w:pgMar w:top="1361" w:right="1797" w:bottom="1474" w:left="1797" w:header="283" w:footer="454" w:gutter="0"/>
          <w:cols w:space="708"/>
          <w:docGrid w:linePitch="360"/>
        </w:sectPr>
      </w:pPr>
      <w:r w:rsidRPr="0048119D">
        <w:rPr>
          <w:rFonts w:ascii="Calibri" w:eastAsia="Times New Roman" w:hAnsi="Calibri" w:cs="Times New Roman"/>
          <w:lang w:eastAsia="en-AU"/>
        </w:rPr>
        <w:t>Department of Finance provided indexation and efficiency dividend parameters.</w:t>
      </w:r>
    </w:p>
    <w:p w:rsidR="000B5C96" w:rsidRPr="0048119D" w:rsidRDefault="000B5C96" w:rsidP="000B5C96">
      <w:pPr>
        <w:pStyle w:val="Heading6"/>
        <w:numPr>
          <w:ilvl w:val="0"/>
          <w:numId w:val="5"/>
        </w:numPr>
        <w:tabs>
          <w:tab w:val="right" w:pos="1418"/>
          <w:tab w:val="right" w:pos="1701"/>
          <w:tab w:val="right" w:pos="1985"/>
        </w:tabs>
      </w:pPr>
      <w:r w:rsidRPr="0048119D">
        <w:t>Attachment A: Repowering Public and Community Housing—financial implications</w:t>
      </w:r>
    </w:p>
    <w:p w:rsidR="000B5C96" w:rsidRPr="0048119D" w:rsidRDefault="000B5C96" w:rsidP="003F606A">
      <w:pPr>
        <w:pStyle w:val="Caption"/>
        <w:rPr>
          <w:vertAlign w:val="superscript"/>
        </w:rPr>
      </w:pPr>
      <w:r w:rsidRPr="0048119D">
        <w:t>Table A1: Repowering Public and Community Housing—Financial implications (outturn prices)</w:t>
      </w:r>
      <w:r w:rsidRPr="0048119D">
        <w:rPr>
          <w:vertAlign w:val="superscript"/>
        </w:rPr>
        <w:t>(a)(b)</w:t>
      </w:r>
    </w:p>
    <w:tbl>
      <w:tblPr>
        <w:tblStyle w:val="TableGrid45"/>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48119D"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48119D" w:rsidRDefault="000B5C96" w:rsidP="003F606A">
            <w:pPr>
              <w:keepNext/>
              <w:keepLines/>
              <w:spacing w:line="240" w:lineRule="auto"/>
              <w:ind w:left="57" w:right="57"/>
              <w:rPr>
                <w:b/>
                <w:szCs w:val="20"/>
              </w:rPr>
            </w:pPr>
            <w:r w:rsidRPr="0048119D">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48119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8119D">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48119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8119D">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48119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8119D">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48119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8119D">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48119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48119D">
              <w:rPr>
                <w:b/>
              </w:rPr>
              <w:t>Total</w:t>
            </w:r>
            <w:r w:rsidRPr="0048119D">
              <w:rPr>
                <w:b/>
                <w:szCs w:val="20"/>
              </w:rPr>
              <w:t xml:space="preserve"> to 2019–20</w:t>
            </w:r>
          </w:p>
        </w:tc>
      </w:tr>
      <w:tr w:rsidR="000B5C96" w:rsidRPr="0048119D"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48119D" w:rsidRDefault="000B5C96" w:rsidP="003F606A">
            <w:pPr>
              <w:keepNext/>
              <w:keepLines/>
              <w:spacing w:line="240" w:lineRule="auto"/>
              <w:ind w:left="57" w:right="57"/>
              <w:rPr>
                <w:b/>
              </w:rPr>
            </w:pPr>
            <w:r w:rsidRPr="0048119D">
              <w:rPr>
                <w:b/>
              </w:rPr>
              <w:t xml:space="preserve">Impact on fiscal and underlying cash balances </w:t>
            </w:r>
          </w:p>
        </w:tc>
      </w:tr>
      <w:tr w:rsidR="000B5C96" w:rsidRPr="0048119D"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ind w:left="57" w:right="57"/>
              <w:rPr>
                <w:i/>
              </w:rPr>
            </w:pPr>
            <w:r w:rsidRPr="0048119D">
              <w:rPr>
                <w:i/>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8119D">
              <w:rPr>
                <w:rFonts w:ascii="Calibri" w:hAnsi="Calibri"/>
                <w:i/>
              </w:rPr>
              <w:t xml:space="preserve">-60.0 </w:t>
            </w:r>
          </w:p>
        </w:tc>
        <w:tc>
          <w:tcPr>
            <w:tcW w:w="682"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8119D">
              <w:rPr>
                <w:rFonts w:ascii="Calibri" w:hAnsi="Calibri"/>
                <w:i/>
              </w:rPr>
              <w:t xml:space="preserve">-60.0 </w:t>
            </w:r>
          </w:p>
        </w:tc>
        <w:tc>
          <w:tcPr>
            <w:tcW w:w="682"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8119D">
              <w:rPr>
                <w:rFonts w:ascii="Calibri" w:hAnsi="Calibri"/>
                <w:i/>
              </w:rPr>
              <w:t xml:space="preserve">-60.0 </w:t>
            </w:r>
          </w:p>
        </w:tc>
        <w:tc>
          <w:tcPr>
            <w:tcW w:w="682"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48119D">
              <w:rPr>
                <w:rFonts w:ascii="Calibri" w:hAnsi="Calibri"/>
                <w:i/>
              </w:rPr>
              <w:t xml:space="preserve">-60.0 </w:t>
            </w:r>
          </w:p>
        </w:tc>
        <w:tc>
          <w:tcPr>
            <w:tcW w:w="682"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48119D">
              <w:rPr>
                <w:rFonts w:ascii="Calibri" w:hAnsi="Calibri"/>
                <w:b/>
                <w:i/>
              </w:rPr>
              <w:t xml:space="preserve">-241.0 </w:t>
            </w:r>
          </w:p>
        </w:tc>
      </w:tr>
      <w:tr w:rsidR="000B5C96" w:rsidRPr="0048119D"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ind w:left="57" w:right="57"/>
              <w:rPr>
                <w:i/>
              </w:rPr>
            </w:pPr>
            <w:r w:rsidRPr="0048119D">
              <w:rPr>
                <w:i/>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48119D">
              <w:rPr>
                <w:rFonts w:ascii="Calibri" w:hAnsi="Calibri"/>
                <w:i/>
              </w:rPr>
              <w:t xml:space="preserve">-2.0 </w:t>
            </w:r>
          </w:p>
        </w:tc>
        <w:tc>
          <w:tcPr>
            <w:tcW w:w="682"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48119D">
              <w:rPr>
                <w:rFonts w:ascii="Calibri" w:hAnsi="Calibri"/>
                <w:i/>
              </w:rPr>
              <w:t xml:space="preserve">-2.0 </w:t>
            </w:r>
          </w:p>
        </w:tc>
        <w:tc>
          <w:tcPr>
            <w:tcW w:w="682"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48119D">
              <w:rPr>
                <w:rFonts w:ascii="Calibri" w:hAnsi="Calibri"/>
                <w:i/>
              </w:rPr>
              <w:t xml:space="preserve">-2.0 </w:t>
            </w:r>
          </w:p>
        </w:tc>
        <w:tc>
          <w:tcPr>
            <w:tcW w:w="682"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48119D">
              <w:rPr>
                <w:rFonts w:ascii="Calibri" w:hAnsi="Calibri"/>
                <w:i/>
              </w:rPr>
              <w:t xml:space="preserve">-2.0 </w:t>
            </w:r>
          </w:p>
        </w:tc>
        <w:tc>
          <w:tcPr>
            <w:tcW w:w="682" w:type="pct"/>
            <w:tcBorders>
              <w:top w:val="single" w:sz="4" w:space="0" w:color="788184"/>
              <w:left w:val="single" w:sz="4" w:space="0" w:color="788184"/>
              <w:bottom w:val="single" w:sz="4" w:space="0" w:color="788184"/>
              <w:right w:val="single" w:sz="4" w:space="0" w:color="788184"/>
            </w:tcBorders>
          </w:tcPr>
          <w:p w:rsidR="000B5C96" w:rsidRPr="0048119D"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48119D">
              <w:rPr>
                <w:rFonts w:ascii="Calibri" w:hAnsi="Calibri"/>
                <w:b/>
                <w:i/>
              </w:rPr>
              <w:t xml:space="preserve">-9.0 </w:t>
            </w:r>
          </w:p>
        </w:tc>
      </w:tr>
      <w:tr w:rsidR="000B5C96" w:rsidRPr="0048119D"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48119D" w:rsidRDefault="000B5C96" w:rsidP="003F606A">
            <w:pPr>
              <w:keepNext/>
              <w:keepLines/>
              <w:spacing w:line="240" w:lineRule="auto"/>
              <w:ind w:left="57" w:right="57"/>
              <w:rPr>
                <w:b/>
                <w:szCs w:val="20"/>
              </w:rPr>
            </w:pPr>
            <w:r w:rsidRPr="0048119D">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8119D">
              <w:rPr>
                <w:rFonts w:ascii="Calibri" w:hAnsi="Calibri"/>
                <w:b/>
                <w:color w:val="000000"/>
              </w:rPr>
              <w:t xml:space="preserve">-62.0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8119D">
              <w:rPr>
                <w:rFonts w:ascii="Calibri" w:hAnsi="Calibri"/>
                <w:b/>
                <w:color w:val="000000"/>
              </w:rPr>
              <w:t xml:space="preserve">-62.0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8119D">
              <w:rPr>
                <w:rFonts w:ascii="Calibri" w:hAnsi="Calibri"/>
                <w:b/>
                <w:color w:val="000000"/>
              </w:rPr>
              <w:t xml:space="preserve">-62.0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48119D">
              <w:rPr>
                <w:rFonts w:ascii="Calibri" w:hAnsi="Calibri"/>
                <w:b/>
                <w:color w:val="000000"/>
              </w:rPr>
              <w:t xml:space="preserve">-62.0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48119D"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8119D">
              <w:rPr>
                <w:rFonts w:ascii="Calibri" w:hAnsi="Calibri"/>
                <w:b/>
              </w:rPr>
              <w:t xml:space="preserve">-250.0 </w:t>
            </w:r>
          </w:p>
        </w:tc>
      </w:tr>
    </w:tbl>
    <w:p w:rsidR="000B5C96" w:rsidRDefault="000B5C96" w:rsidP="002C7093">
      <w:pPr>
        <w:pStyle w:val="Footnotes"/>
        <w:numPr>
          <w:ilvl w:val="0"/>
          <w:numId w:val="278"/>
        </w:numPr>
        <w:ind w:left="284" w:hanging="284"/>
      </w:pPr>
      <w:r w:rsidRPr="0048119D">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48119D" w:rsidRDefault="000B5C96" w:rsidP="000B5C96">
      <w:pPr>
        <w:pStyle w:val="Footnotes"/>
        <w:numPr>
          <w:ilvl w:val="0"/>
          <w:numId w:val="7"/>
        </w:numPr>
        <w:ind w:left="284" w:hanging="284"/>
      </w:pPr>
      <w:r w:rsidRPr="0048119D">
        <w:t>Figures may not sum to totals due to rounding.</w:t>
      </w:r>
    </w:p>
    <w:p w:rsidR="000B5C96" w:rsidRDefault="000B5C96" w:rsidP="000B5C96">
      <w:pPr>
        <w:pStyle w:val="Footnotes"/>
        <w:numPr>
          <w:ilvl w:val="0"/>
          <w:numId w:val="7"/>
        </w:numPr>
        <w:ind w:left="284" w:hanging="284"/>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89" w:name="_Toc458001974"/>
      <w:bookmarkStart w:id="190" w:name="_Toc458069459"/>
      <w:r>
        <w:t>GRN067: Keep Climate Change Authority</w:t>
      </w:r>
      <w:bookmarkEnd w:id="189"/>
      <w:bookmarkEnd w:id="190"/>
    </w:p>
    <w:p w:rsidR="000B5C96" w:rsidRDefault="000B5C96" w:rsidP="003F606A">
      <w:pPr>
        <w:pStyle w:val="BodyText"/>
      </w:pPr>
      <w:r>
        <w:rPr>
          <w:noProof/>
          <w:lang w:eastAsia="en-AU"/>
        </w:rPr>
        <w:drawing>
          <wp:inline distT="0" distB="0" distL="0" distR="0" wp14:anchorId="4FF55A38" wp14:editId="129304DE">
            <wp:extent cx="2696845" cy="572135"/>
            <wp:effectExtent l="0" t="0" r="8255" b="0"/>
            <wp:docPr id="478" name="Picture 47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Default="000B5C96" w:rsidP="000B5C96">
      <w:pPr>
        <w:pStyle w:val="Heading6"/>
        <w:numPr>
          <w:ilvl w:val="0"/>
          <w:numId w:val="5"/>
        </w:numPr>
        <w:tabs>
          <w:tab w:val="right" w:pos="1418"/>
          <w:tab w:val="right" w:pos="1701"/>
          <w:tab w:val="right" w:pos="1985"/>
        </w:tabs>
      </w:pPr>
      <w:r w:rsidRPr="00002D5D">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 xml:space="preserve">Keeping the Climate Change Authority  </w:t>
            </w:r>
          </w:p>
        </w:tc>
      </w:tr>
      <w:tr w:rsidR="000B5C96" w:rsidTr="003F606A">
        <w:tc>
          <w:tcPr>
            <w:tcW w:w="3005" w:type="dxa"/>
          </w:tcPr>
          <w:p w:rsidR="000B5C96" w:rsidRDefault="000B5C96" w:rsidP="003F606A">
            <w:pPr>
              <w:pStyle w:val="PullOutBoxBodyText"/>
            </w:pPr>
            <w:r>
              <w:t>Summary of proposal:</w:t>
            </w:r>
          </w:p>
        </w:tc>
        <w:tc>
          <w:tcPr>
            <w:tcW w:w="5335" w:type="dxa"/>
          </w:tcPr>
          <w:p w:rsidR="000B5C96" w:rsidRDefault="000B5C96" w:rsidP="003F606A">
            <w:pPr>
              <w:pStyle w:val="PullOutBoxBodyText"/>
            </w:pPr>
            <w:r w:rsidRPr="003F6BC4">
              <w:t xml:space="preserve">The proposal would </w:t>
            </w:r>
            <w:r>
              <w:t>provide $35 million over the 2016</w:t>
            </w:r>
            <w:r>
              <w:noBreakHyphen/>
              <w:t xml:space="preserve">17 Budget forward estimates period to </w:t>
            </w:r>
            <w:r w:rsidRPr="003F6BC4">
              <w:t>restore funding for the Climate Change Authority to 2013</w:t>
            </w:r>
            <w:r>
              <w:noBreakHyphen/>
            </w:r>
            <w:r w:rsidRPr="003F6BC4">
              <w:t>14 levels from 2016 onwards, with indexation by the Consumer Price Index (CPI).</w:t>
            </w:r>
          </w:p>
          <w:p w:rsidR="000B5C96" w:rsidRDefault="000B5C96" w:rsidP="003F606A">
            <w:pPr>
              <w:pStyle w:val="PullOutBoxBodyText"/>
            </w:pPr>
            <w:r w:rsidRPr="003F6BC4">
              <w:t xml:space="preserve">This proposal would commence on 1 </w:t>
            </w:r>
            <w:r>
              <w:t xml:space="preserve">September </w:t>
            </w:r>
            <w:r w:rsidRPr="003F6BC4">
              <w:t>2016</w:t>
            </w:r>
            <w:r>
              <w:t>.</w:t>
            </w:r>
          </w:p>
        </w:tc>
      </w:tr>
      <w:tr w:rsidR="000B5C96" w:rsidTr="003F606A">
        <w:tc>
          <w:tcPr>
            <w:tcW w:w="3005" w:type="dxa"/>
          </w:tcPr>
          <w:p w:rsidR="000B5C96" w:rsidRDefault="000B5C96" w:rsidP="003F606A">
            <w:pPr>
              <w:pStyle w:val="PullOutBoxBodyText"/>
            </w:pPr>
            <w:r>
              <w:t>Person/party requesting costing:</w:t>
            </w:r>
          </w:p>
        </w:tc>
        <w:tc>
          <w:tcPr>
            <w:tcW w:w="5335" w:type="dxa"/>
          </w:tcPr>
          <w:p w:rsidR="000B5C96" w:rsidRDefault="000B5C96" w:rsidP="003F606A">
            <w:pPr>
              <w:pStyle w:val="PullOutBoxBodyText"/>
            </w:pPr>
            <w:r>
              <w:t>Senator Richard Di Natale, Australian Greens</w:t>
            </w:r>
          </w:p>
        </w:tc>
      </w:tr>
      <w:tr w:rsidR="000B5C96" w:rsidTr="003F606A">
        <w:tc>
          <w:tcPr>
            <w:tcW w:w="3005" w:type="dxa"/>
          </w:tcPr>
          <w:p w:rsidR="000B5C96" w:rsidRDefault="000B5C96" w:rsidP="003F606A">
            <w:pPr>
              <w:pStyle w:val="PullOutBoxBodyText"/>
            </w:pPr>
            <w:r>
              <w:t>Date of public release of policy:</w:t>
            </w:r>
          </w:p>
        </w:tc>
        <w:tc>
          <w:tcPr>
            <w:tcW w:w="5335" w:type="dxa"/>
          </w:tcPr>
          <w:p w:rsidR="000B5C96" w:rsidRDefault="000B5C96" w:rsidP="003F606A">
            <w:pPr>
              <w:pStyle w:val="PullOutBoxBodyText"/>
            </w:pPr>
            <w:r>
              <w:t>21 June 2016</w:t>
            </w:r>
          </w:p>
          <w:p w:rsidR="000B5C96" w:rsidRPr="00C17112" w:rsidRDefault="00E46526" w:rsidP="003F606A">
            <w:pPr>
              <w:pStyle w:val="PullOutBoxBodyText"/>
            </w:pPr>
            <w:hyperlink r:id="rId566" w:history="1">
              <w:r w:rsidR="000B5C96">
                <w:rPr>
                  <w:rStyle w:val="Hyperlink"/>
                </w:rPr>
                <w:t>http://www.climateinstitute.org.au/news/election-2016-greens.html</w:t>
              </w:r>
            </w:hyperlink>
          </w:p>
        </w:tc>
      </w:tr>
      <w:tr w:rsidR="000B5C96" w:rsidTr="003F606A">
        <w:tc>
          <w:tcPr>
            <w:tcW w:w="3005" w:type="dxa"/>
          </w:tcPr>
          <w:p w:rsidR="000B5C96" w:rsidRDefault="000B5C96" w:rsidP="003F606A">
            <w:pPr>
              <w:pStyle w:val="PullOutBoxBodyText"/>
            </w:pPr>
            <w:r>
              <w:t>Date costing request received:</w:t>
            </w:r>
          </w:p>
        </w:tc>
        <w:tc>
          <w:tcPr>
            <w:tcW w:w="5335" w:type="dxa"/>
          </w:tcPr>
          <w:p w:rsidR="000B5C96" w:rsidRDefault="000B5C96" w:rsidP="003F606A">
            <w:pPr>
              <w:pStyle w:val="PullOutBoxBodyText"/>
            </w:pPr>
            <w:r>
              <w:t>30 June 2016</w:t>
            </w:r>
          </w:p>
        </w:tc>
      </w:tr>
      <w:tr w:rsidR="000B5C96" w:rsidTr="003F606A">
        <w:tc>
          <w:tcPr>
            <w:tcW w:w="3005" w:type="dxa"/>
          </w:tcPr>
          <w:p w:rsidR="000B5C96" w:rsidRDefault="000B5C96" w:rsidP="003F606A">
            <w:pPr>
              <w:pStyle w:val="PullOutBoxBodyText"/>
            </w:pPr>
            <w:r>
              <w:t>Date costing completed:</w:t>
            </w:r>
          </w:p>
        </w:tc>
        <w:tc>
          <w:tcPr>
            <w:tcW w:w="5335" w:type="dxa"/>
          </w:tcPr>
          <w:p w:rsidR="000B5C96" w:rsidRPr="00C17112" w:rsidRDefault="000B5C96" w:rsidP="003F606A">
            <w:pPr>
              <w:pStyle w:val="PullOutBoxBodyText"/>
            </w:pPr>
            <w:r>
              <w:t>30 June 2016</w:t>
            </w:r>
          </w:p>
        </w:tc>
      </w:tr>
      <w:tr w:rsidR="000B5C96" w:rsidTr="003F606A">
        <w:tc>
          <w:tcPr>
            <w:tcW w:w="3005" w:type="dxa"/>
          </w:tcPr>
          <w:p w:rsidR="000B5C96" w:rsidRPr="00220BE5" w:rsidRDefault="000B5C96" w:rsidP="003F606A">
            <w:pPr>
              <w:pStyle w:val="PullOutBoxBodyText"/>
            </w:pPr>
            <w:r w:rsidRPr="00220BE5">
              <w:t>Expiry date for the costing:</w:t>
            </w:r>
          </w:p>
        </w:tc>
        <w:tc>
          <w:tcPr>
            <w:tcW w:w="5335" w:type="dxa"/>
          </w:tcPr>
          <w:p w:rsidR="000B5C96" w:rsidRPr="00220BE5" w:rsidRDefault="000B5C96" w:rsidP="003F606A">
            <w:pPr>
              <w:pStyle w:val="PullOutBoxBodyText"/>
            </w:pPr>
            <w:r>
              <w:t>Release of the next economic and fiscal outlook report</w:t>
            </w:r>
          </w:p>
        </w:tc>
      </w:tr>
    </w:tbl>
    <w:p w:rsidR="000B5C96" w:rsidRPr="00002D5D" w:rsidRDefault="000B5C96" w:rsidP="003F606A">
      <w:pPr>
        <w:pStyle w:val="CostingsH7"/>
      </w:pPr>
      <w:r w:rsidRPr="00002D5D">
        <w:t>Costing overview</w:t>
      </w:r>
    </w:p>
    <w:p w:rsidR="000B5C96" w:rsidRPr="003F6BC4" w:rsidRDefault="000B5C96" w:rsidP="003F606A">
      <w:pPr>
        <w:pStyle w:val="BodyText"/>
      </w:pPr>
      <w:r w:rsidRPr="003F6BC4">
        <w:t xml:space="preserve">This proposal would </w:t>
      </w:r>
      <w:r>
        <w:t xml:space="preserve">be expected to </w:t>
      </w:r>
      <w:r w:rsidRPr="003F6BC4">
        <w:t>decrease the fiscal</w:t>
      </w:r>
      <w:r>
        <w:t xml:space="preserve"> and</w:t>
      </w:r>
      <w:r w:rsidRPr="00627EC3">
        <w:t xml:space="preserve"> </w:t>
      </w:r>
      <w:r w:rsidRPr="003F6BC4">
        <w:t>underlying cash balances by $33.5 million over the 2016-17 Budget forward estimates.  This is entirely due to an increase in departmental expenditure.</w:t>
      </w:r>
    </w:p>
    <w:p w:rsidR="000B5C96" w:rsidRDefault="000B5C96" w:rsidP="003F606A">
      <w:pPr>
        <w:pStyle w:val="BodyText"/>
      </w:pPr>
      <w:r w:rsidRPr="003F6BC4">
        <w:t>This propos</w:t>
      </w:r>
      <w:r>
        <w:t xml:space="preserve">al would have an ongoing </w:t>
      </w:r>
      <w:r w:rsidRPr="003F6BC4">
        <w:t xml:space="preserve">financial impact beyond the </w:t>
      </w:r>
      <w:r>
        <w:t>forward estimates period.  The annual impact to the budget would be consistent with the impact in 2019-20 growing in line with CPI.</w:t>
      </w:r>
    </w:p>
    <w:p w:rsidR="000B5C96" w:rsidRPr="00002D5D" w:rsidRDefault="000B5C96" w:rsidP="003F606A">
      <w:pPr>
        <w:pStyle w:val="BodyText"/>
        <w:rPr>
          <w:highlight w:val="yellow"/>
        </w:rPr>
      </w:pPr>
      <w:r w:rsidRPr="001A6B96">
        <w:rPr>
          <w:lang w:eastAsia="en-AU"/>
        </w:rPr>
        <w:t>This costing is considered to be of high reliability</w:t>
      </w:r>
      <w:r>
        <w:t xml:space="preserve"> as it is based on indexation of specified amounts.</w:t>
      </w:r>
    </w:p>
    <w:p w:rsidR="000B5C96" w:rsidRPr="00A0140C" w:rsidRDefault="000B5C96" w:rsidP="003F606A">
      <w:pPr>
        <w:pStyle w:val="Caption"/>
      </w:pPr>
      <w:r w:rsidRPr="00A0140C">
        <w:t>Table 1: Financial implications (outturn prices)</w:t>
      </w:r>
      <w:r w:rsidRPr="00A0140C">
        <w:rPr>
          <w:vertAlign w:val="superscript"/>
        </w:rPr>
        <w:t>(a)(b)</w:t>
      </w:r>
    </w:p>
    <w:tbl>
      <w:tblPr>
        <w:tblStyle w:val="TableGrid46"/>
        <w:tblW w:w="4993" w:type="pct"/>
        <w:tblLook w:val="04A0" w:firstRow="1" w:lastRow="0" w:firstColumn="1" w:lastColumn="0" w:noHBand="0" w:noVBand="1"/>
      </w:tblPr>
      <w:tblGrid>
        <w:gridCol w:w="2644"/>
        <w:gridCol w:w="1133"/>
        <w:gridCol w:w="1134"/>
        <w:gridCol w:w="1134"/>
        <w:gridCol w:w="1134"/>
        <w:gridCol w:w="1132"/>
      </w:tblGrid>
      <w:tr w:rsidR="000B5C96" w:rsidRPr="00A0140C"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A0140C" w:rsidRDefault="000B5C96" w:rsidP="003F606A">
            <w:pPr>
              <w:keepNext/>
              <w:keepLines/>
              <w:spacing w:line="240" w:lineRule="auto"/>
              <w:ind w:left="57" w:right="57"/>
              <w:rPr>
                <w:szCs w:val="20"/>
              </w:rPr>
            </w:pPr>
            <w:r w:rsidRPr="00A0140C">
              <w:rPr>
                <w:szCs w:val="20"/>
              </w:rPr>
              <w:t>Impact on ($m)</w:t>
            </w:r>
          </w:p>
        </w:tc>
        <w:tc>
          <w:tcPr>
            <w:tcW w:w="682" w:type="pct"/>
            <w:vAlign w:val="center"/>
          </w:tcPr>
          <w:p w:rsidR="000B5C96" w:rsidRPr="00A0140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0140C">
              <w:rPr>
                <w:szCs w:val="20"/>
              </w:rPr>
              <w:t>2016–17</w:t>
            </w:r>
          </w:p>
        </w:tc>
        <w:tc>
          <w:tcPr>
            <w:tcW w:w="682" w:type="pct"/>
            <w:vAlign w:val="center"/>
          </w:tcPr>
          <w:p w:rsidR="000B5C96" w:rsidRPr="00A0140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0140C">
              <w:rPr>
                <w:szCs w:val="20"/>
              </w:rPr>
              <w:t>2017–18</w:t>
            </w:r>
          </w:p>
        </w:tc>
        <w:tc>
          <w:tcPr>
            <w:tcW w:w="682" w:type="pct"/>
            <w:vAlign w:val="center"/>
          </w:tcPr>
          <w:p w:rsidR="000B5C96" w:rsidRPr="00A0140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0140C">
              <w:rPr>
                <w:szCs w:val="20"/>
              </w:rPr>
              <w:t>2018–19</w:t>
            </w:r>
          </w:p>
        </w:tc>
        <w:tc>
          <w:tcPr>
            <w:tcW w:w="682" w:type="pct"/>
            <w:vAlign w:val="center"/>
          </w:tcPr>
          <w:p w:rsidR="000B5C96" w:rsidRPr="00A0140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A0140C">
              <w:rPr>
                <w:szCs w:val="20"/>
              </w:rPr>
              <w:t>2019–20</w:t>
            </w:r>
          </w:p>
        </w:tc>
        <w:tc>
          <w:tcPr>
            <w:tcW w:w="681" w:type="pct"/>
            <w:vAlign w:val="center"/>
          </w:tcPr>
          <w:p w:rsidR="000B5C96" w:rsidRPr="00A0140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A0140C">
              <w:rPr>
                <w:b/>
                <w:szCs w:val="20"/>
              </w:rPr>
              <w:t>Total</w:t>
            </w:r>
          </w:p>
        </w:tc>
      </w:tr>
      <w:tr w:rsidR="000B5C96" w:rsidRPr="00A0140C"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A0140C" w:rsidRDefault="000B5C96" w:rsidP="003F606A">
            <w:pPr>
              <w:keepNext/>
              <w:keepLines/>
              <w:spacing w:line="240" w:lineRule="auto"/>
              <w:ind w:left="57" w:right="57"/>
              <w:rPr>
                <w:szCs w:val="20"/>
              </w:rPr>
            </w:pPr>
            <w:r w:rsidRPr="00A0140C">
              <w:rPr>
                <w:szCs w:val="20"/>
              </w:rPr>
              <w:t>Fiscal balance</w:t>
            </w:r>
          </w:p>
        </w:tc>
        <w:tc>
          <w:tcPr>
            <w:tcW w:w="682" w:type="pct"/>
          </w:tcPr>
          <w:p w:rsidR="000B5C96" w:rsidRPr="00A0140C"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0140C">
              <w:rPr>
                <w:rFonts w:ascii="Calibri" w:hAnsi="Calibri"/>
              </w:rPr>
              <w:t>-6.1</w:t>
            </w:r>
          </w:p>
        </w:tc>
        <w:tc>
          <w:tcPr>
            <w:tcW w:w="682" w:type="pct"/>
          </w:tcPr>
          <w:p w:rsidR="000B5C96" w:rsidRPr="00A0140C"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0140C">
              <w:rPr>
                <w:rFonts w:ascii="Calibri" w:hAnsi="Calibri"/>
              </w:rPr>
              <w:t>-8.9</w:t>
            </w:r>
          </w:p>
        </w:tc>
        <w:tc>
          <w:tcPr>
            <w:tcW w:w="682" w:type="pct"/>
          </w:tcPr>
          <w:p w:rsidR="000B5C96" w:rsidRPr="00A0140C"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0140C">
              <w:rPr>
                <w:rFonts w:ascii="Calibri" w:hAnsi="Calibri"/>
              </w:rPr>
              <w:t>-9.1</w:t>
            </w:r>
          </w:p>
        </w:tc>
        <w:tc>
          <w:tcPr>
            <w:tcW w:w="682" w:type="pct"/>
          </w:tcPr>
          <w:p w:rsidR="000B5C96" w:rsidRPr="00A0140C"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0140C">
              <w:rPr>
                <w:rFonts w:ascii="Calibri" w:hAnsi="Calibri"/>
              </w:rPr>
              <w:t>-9.3</w:t>
            </w:r>
          </w:p>
        </w:tc>
        <w:tc>
          <w:tcPr>
            <w:tcW w:w="681" w:type="pct"/>
          </w:tcPr>
          <w:p w:rsidR="000B5C96" w:rsidRPr="00A0140C"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0140C">
              <w:rPr>
                <w:rFonts w:ascii="Calibri" w:hAnsi="Calibri"/>
              </w:rPr>
              <w:t>-33.5</w:t>
            </w:r>
          </w:p>
        </w:tc>
      </w:tr>
      <w:tr w:rsidR="000B5C96" w:rsidRPr="00A0140C"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A0140C" w:rsidRDefault="000B5C96" w:rsidP="003F606A">
            <w:pPr>
              <w:keepNext/>
              <w:keepLines/>
              <w:spacing w:line="240" w:lineRule="auto"/>
              <w:ind w:left="57" w:right="57"/>
              <w:rPr>
                <w:szCs w:val="20"/>
              </w:rPr>
            </w:pPr>
            <w:r w:rsidRPr="00A0140C">
              <w:rPr>
                <w:szCs w:val="20"/>
              </w:rPr>
              <w:t>Underlying cash balance</w:t>
            </w:r>
          </w:p>
        </w:tc>
        <w:tc>
          <w:tcPr>
            <w:tcW w:w="682" w:type="pct"/>
          </w:tcPr>
          <w:p w:rsidR="000B5C96" w:rsidRPr="00A0140C"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0140C">
              <w:rPr>
                <w:rFonts w:ascii="Calibri" w:hAnsi="Calibri"/>
              </w:rPr>
              <w:t>-6.1</w:t>
            </w:r>
          </w:p>
        </w:tc>
        <w:tc>
          <w:tcPr>
            <w:tcW w:w="682" w:type="pct"/>
          </w:tcPr>
          <w:p w:rsidR="000B5C96" w:rsidRPr="00A0140C"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0140C">
              <w:rPr>
                <w:rFonts w:ascii="Calibri" w:hAnsi="Calibri"/>
              </w:rPr>
              <w:t>-8.9</w:t>
            </w:r>
          </w:p>
        </w:tc>
        <w:tc>
          <w:tcPr>
            <w:tcW w:w="682" w:type="pct"/>
          </w:tcPr>
          <w:p w:rsidR="000B5C96" w:rsidRPr="00A0140C"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0140C">
              <w:rPr>
                <w:rFonts w:ascii="Calibri" w:hAnsi="Calibri"/>
              </w:rPr>
              <w:t>-9.1</w:t>
            </w:r>
          </w:p>
        </w:tc>
        <w:tc>
          <w:tcPr>
            <w:tcW w:w="682" w:type="pct"/>
          </w:tcPr>
          <w:p w:rsidR="000B5C96" w:rsidRPr="00A0140C"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0140C">
              <w:rPr>
                <w:rFonts w:ascii="Calibri" w:hAnsi="Calibri"/>
              </w:rPr>
              <w:t>-9.3</w:t>
            </w:r>
          </w:p>
        </w:tc>
        <w:tc>
          <w:tcPr>
            <w:tcW w:w="681" w:type="pct"/>
          </w:tcPr>
          <w:p w:rsidR="000B5C96" w:rsidRPr="00A0140C"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0140C">
              <w:rPr>
                <w:rFonts w:ascii="Calibri" w:hAnsi="Calibri"/>
              </w:rPr>
              <w:t>-33.5</w:t>
            </w:r>
          </w:p>
        </w:tc>
      </w:tr>
    </w:tbl>
    <w:p w:rsidR="000B5C96" w:rsidRDefault="000B5C96" w:rsidP="002C7093">
      <w:pPr>
        <w:pStyle w:val="Footnotes"/>
        <w:numPr>
          <w:ilvl w:val="0"/>
          <w:numId w:val="279"/>
        </w:numPr>
        <w:ind w:left="284" w:hanging="284"/>
      </w:pPr>
      <w:r w:rsidRPr="00A0140C">
        <w:t>A positive number indicates an increase in the relevant budget balance, a negative number a decrease.</w:t>
      </w:r>
    </w:p>
    <w:p w:rsidR="000B5C96" w:rsidRPr="00A0140C" w:rsidRDefault="000B5C96" w:rsidP="000B5C96">
      <w:pPr>
        <w:pStyle w:val="Footnotes"/>
        <w:numPr>
          <w:ilvl w:val="0"/>
          <w:numId w:val="7"/>
        </w:numPr>
        <w:ind w:left="284" w:hanging="284"/>
      </w:pPr>
      <w:r>
        <w:t>Figures may not sum to totals due to rounding.</w:t>
      </w:r>
    </w:p>
    <w:p w:rsidR="000B5C96" w:rsidRPr="00A0140C" w:rsidRDefault="000B5C96" w:rsidP="003F606A">
      <w:pPr>
        <w:pStyle w:val="CostingsH7"/>
      </w:pPr>
      <w:r w:rsidRPr="00A0140C">
        <w:t>Methodology</w:t>
      </w:r>
    </w:p>
    <w:p w:rsidR="000B5C96" w:rsidRPr="00A0140C" w:rsidRDefault="000B5C96" w:rsidP="003F606A">
      <w:pPr>
        <w:pStyle w:val="BodyText"/>
      </w:pPr>
      <w:r w:rsidRPr="00A0140C">
        <w:t>This proposal has been costed in two stages:</w:t>
      </w:r>
    </w:p>
    <w:p w:rsidR="000B5C96" w:rsidRPr="00A0140C" w:rsidRDefault="000B5C96" w:rsidP="000B5C96">
      <w:pPr>
        <w:pStyle w:val="ListBullet"/>
        <w:numPr>
          <w:ilvl w:val="0"/>
          <w:numId w:val="123"/>
        </w:numPr>
        <w:ind w:left="454" w:hanging="454"/>
        <w:rPr>
          <w:lang w:eastAsia="en-AU"/>
        </w:rPr>
      </w:pPr>
      <w:r w:rsidRPr="00A0140C">
        <w:rPr>
          <w:lang w:eastAsia="en-AU"/>
        </w:rPr>
        <w:t xml:space="preserve">Funding to the Climate Change Authority was restored to 2013-14 levels from 1 September 2016 taking into account the $2.6 million in funding for 2016-17 currently reflected in the budget baseline. </w:t>
      </w:r>
    </w:p>
    <w:p w:rsidR="000B5C96" w:rsidRPr="00A0140C" w:rsidRDefault="000B5C96" w:rsidP="000B5C96">
      <w:pPr>
        <w:pStyle w:val="ListBullet"/>
        <w:numPr>
          <w:ilvl w:val="0"/>
          <w:numId w:val="123"/>
        </w:numPr>
        <w:ind w:left="454" w:hanging="454"/>
        <w:rPr>
          <w:lang w:eastAsia="en-AU"/>
        </w:rPr>
      </w:pPr>
      <w:r w:rsidRPr="00A0140C">
        <w:rPr>
          <w:lang w:eastAsia="en-AU"/>
        </w:rPr>
        <w:t xml:space="preserve">The full funding allocation would be provided over the 10 months of 2016-17 from the commencement date of 1 September 2016. </w:t>
      </w:r>
    </w:p>
    <w:p w:rsidR="000B5C96" w:rsidRPr="00A0140C" w:rsidRDefault="000B5C96" w:rsidP="000B5C96">
      <w:pPr>
        <w:pStyle w:val="ListBullet"/>
        <w:numPr>
          <w:ilvl w:val="0"/>
          <w:numId w:val="123"/>
        </w:numPr>
        <w:ind w:left="454" w:hanging="454"/>
        <w:rPr>
          <w:lang w:eastAsia="en-AU"/>
        </w:rPr>
      </w:pPr>
      <w:r w:rsidRPr="00A0140C">
        <w:rPr>
          <w:lang w:eastAsia="en-AU"/>
        </w:rPr>
        <w:t>Annual indexation by CPI was then applied to the restored CCA departmental appropriation amount.</w:t>
      </w:r>
    </w:p>
    <w:p w:rsidR="000B5C96" w:rsidRPr="00A0140C" w:rsidRDefault="000B5C96" w:rsidP="003F606A">
      <w:pPr>
        <w:pStyle w:val="CostingsH7"/>
      </w:pPr>
      <w:r w:rsidRPr="00A0140C">
        <w:t>Data sources</w:t>
      </w:r>
    </w:p>
    <w:p w:rsidR="000B5C96" w:rsidRPr="00A0140C" w:rsidRDefault="000B5C96" w:rsidP="003F606A">
      <w:pPr>
        <w:pStyle w:val="BodyText"/>
      </w:pPr>
      <w:r w:rsidRPr="00A0140C">
        <w:t>The Department of Finance provided efficiency dividend and indexation parameters.</w:t>
      </w:r>
    </w:p>
    <w:p w:rsidR="000B5C96" w:rsidRPr="00A0140C" w:rsidRDefault="000B5C96" w:rsidP="003F606A">
      <w:pPr>
        <w:pStyle w:val="BodyText"/>
      </w:pPr>
      <w:r w:rsidRPr="00A0140C">
        <w:t>Department of Industry, Innovation, Climate Change, Science, Research and Tertiary Education Portfolio 2013-14 Portfolio Budget Statements.</w:t>
      </w:r>
    </w:p>
    <w:p w:rsidR="000B5C96" w:rsidRPr="00A0140C" w:rsidRDefault="000B5C96" w:rsidP="003F606A">
      <w:pPr>
        <w:pStyle w:val="BodyText"/>
      </w:pPr>
      <w:r w:rsidRPr="00A0140C">
        <w:t>Climate Change Authority 2013-14 Annual Report.</w:t>
      </w:r>
    </w:p>
    <w:p w:rsidR="000B5C96" w:rsidRPr="00A0140C" w:rsidRDefault="000B5C96" w:rsidP="003F606A">
      <w:pPr>
        <w:pStyle w:val="BodyText"/>
      </w:pPr>
      <w:r w:rsidRPr="00A0140C">
        <w:t>Department of the Environment 2016-17 Portfolio Budget Statements.</w:t>
      </w:r>
    </w:p>
    <w:p w:rsidR="000B5C96" w:rsidRPr="00A0140C" w:rsidRDefault="000B5C96" w:rsidP="003F606A">
      <w:pPr>
        <w:pStyle w:val="BodyText"/>
        <w:sectPr w:rsidR="000B5C96" w:rsidRPr="00A0140C"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91" w:name="_Toc458001975"/>
      <w:bookmarkStart w:id="192" w:name="_Toc458069460"/>
      <w:r>
        <w:t>GRN069: Confronting the Domestic Violence Crisis</w:t>
      </w:r>
      <w:bookmarkEnd w:id="191"/>
      <w:bookmarkEnd w:id="192"/>
    </w:p>
    <w:p w:rsidR="000B5C96" w:rsidRPr="008A0AE1" w:rsidRDefault="000B5C96" w:rsidP="003F606A">
      <w:pPr>
        <w:pStyle w:val="BodyText"/>
      </w:pPr>
      <w:r>
        <w:rPr>
          <w:noProof/>
          <w:lang w:eastAsia="en-AU"/>
        </w:rPr>
        <w:drawing>
          <wp:inline distT="0" distB="0" distL="0" distR="0" wp14:anchorId="2D2E690E" wp14:editId="6880FE99">
            <wp:extent cx="2696845" cy="572135"/>
            <wp:effectExtent l="0" t="0" r="8255" b="0"/>
            <wp:docPr id="479" name="Picture 47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Default="000B5C96" w:rsidP="000B5C96">
      <w:pPr>
        <w:pStyle w:val="Heading6"/>
        <w:numPr>
          <w:ilvl w:val="0"/>
          <w:numId w:val="5"/>
        </w:numPr>
        <w:tabs>
          <w:tab w:val="right" w:pos="1418"/>
          <w:tab w:val="right" w:pos="1701"/>
          <w:tab w:val="right" w:pos="1985"/>
        </w:tabs>
      </w:pPr>
      <w:r>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Name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Confronting our Domestic Violence Crisis</w:t>
            </w:r>
          </w:p>
        </w:tc>
      </w:tr>
      <w:tr w:rsidR="000B5C96" w:rsidRPr="00A0140C"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Summary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The proposal has a number of components.</w:t>
            </w:r>
          </w:p>
          <w:p w:rsidR="000B5C96" w:rsidRPr="00116FB9" w:rsidRDefault="000B5C96" w:rsidP="003F606A">
            <w:pPr>
              <w:pStyle w:val="PullOutBoxBodyText"/>
              <w:rPr>
                <w:b/>
                <w:u w:val="single"/>
              </w:rPr>
            </w:pPr>
            <w:r w:rsidRPr="00116FB9">
              <w:rPr>
                <w:u w:val="single"/>
              </w:rPr>
              <w:t>Component 1:</w:t>
            </w:r>
            <w:r w:rsidRPr="00116FB9">
              <w:rPr>
                <w:b/>
                <w:u w:val="single"/>
              </w:rPr>
              <w:t xml:space="preserve"> </w:t>
            </w:r>
            <w:r w:rsidRPr="00116FB9">
              <w:rPr>
                <w:u w:val="single"/>
              </w:rPr>
              <w:t>Fund a national peak body</w:t>
            </w:r>
          </w:p>
          <w:p w:rsidR="000B5C96" w:rsidRPr="00A0140C" w:rsidRDefault="000B5C96" w:rsidP="000B5C96">
            <w:pPr>
              <w:pStyle w:val="PullOutBoxBullet"/>
              <w:numPr>
                <w:ilvl w:val="0"/>
                <w:numId w:val="2"/>
              </w:numPr>
              <w:ind w:left="397"/>
            </w:pPr>
            <w:r w:rsidRPr="00A0140C">
              <w:t>This component would provide $2.0 million per year ($8.0 million over four years) to fund a national peak body for specialist domestic violence services.</w:t>
            </w:r>
          </w:p>
          <w:p w:rsidR="000B5C96" w:rsidRPr="00116FB9" w:rsidRDefault="000B5C96" w:rsidP="003F606A">
            <w:pPr>
              <w:pStyle w:val="PullOutBoxBodyText"/>
              <w:rPr>
                <w:u w:val="single"/>
              </w:rPr>
            </w:pPr>
            <w:r w:rsidRPr="00116FB9">
              <w:rPr>
                <w:u w:val="single"/>
              </w:rPr>
              <w:t>Component 2: Provide funding for specialist domestic violence services</w:t>
            </w:r>
          </w:p>
          <w:p w:rsidR="000B5C96" w:rsidRPr="00A0140C" w:rsidRDefault="000B5C96" w:rsidP="000B5C96">
            <w:pPr>
              <w:pStyle w:val="PullOutBoxBullet"/>
              <w:numPr>
                <w:ilvl w:val="0"/>
                <w:numId w:val="2"/>
              </w:numPr>
              <w:ind w:left="397"/>
            </w:pPr>
            <w:r w:rsidRPr="00A0140C">
              <w:t xml:space="preserve">This component would provide $500.0 million per year ($5.0 billion over 10 years) from 1 September 2016 for a new ten-year National Partnership Agreement (NPA) for the Prevention of Domestic Violence and Violence Against Women between the Commonwealth and state and territory governments.  </w:t>
            </w:r>
          </w:p>
          <w:p w:rsidR="000B5C96" w:rsidRPr="00116FB9" w:rsidRDefault="000B5C96" w:rsidP="003F606A">
            <w:pPr>
              <w:pStyle w:val="PullOutBoxBodyText"/>
              <w:rPr>
                <w:u w:val="single"/>
              </w:rPr>
            </w:pPr>
            <w:r w:rsidRPr="00116FB9">
              <w:rPr>
                <w:u w:val="single"/>
              </w:rPr>
              <w:t>Component 3: Establish specialist domestic violence courts</w:t>
            </w:r>
          </w:p>
          <w:p w:rsidR="000B5C96" w:rsidRPr="00A0140C" w:rsidRDefault="000B5C96" w:rsidP="000B5C96">
            <w:pPr>
              <w:pStyle w:val="PullOutBoxBullet"/>
              <w:numPr>
                <w:ilvl w:val="0"/>
                <w:numId w:val="2"/>
              </w:numPr>
              <w:ind w:left="397"/>
            </w:pPr>
            <w:r w:rsidRPr="00A0140C">
              <w:t>This component would provide $10.0 million per year ($20.0 million over two years) for a program of training, information sharing and extra resources to assist state and territory governments to set up specialist domestic violence courts.</w:t>
            </w:r>
          </w:p>
          <w:p w:rsidR="000B5C96" w:rsidRPr="00116FB9" w:rsidRDefault="000B5C96" w:rsidP="003F606A">
            <w:pPr>
              <w:pStyle w:val="PullOutBoxBodyText"/>
              <w:rPr>
                <w:u w:val="single"/>
              </w:rPr>
            </w:pPr>
            <w:r w:rsidRPr="00116FB9">
              <w:rPr>
                <w:u w:val="single"/>
              </w:rPr>
              <w:t>Component 4: Making our family law system safe</w:t>
            </w:r>
          </w:p>
          <w:p w:rsidR="000B5C96" w:rsidRPr="00A0140C" w:rsidRDefault="000B5C96" w:rsidP="000B5C96">
            <w:pPr>
              <w:pStyle w:val="PullOutBoxBullet"/>
              <w:numPr>
                <w:ilvl w:val="0"/>
                <w:numId w:val="2"/>
              </w:numPr>
              <w:ind w:left="397"/>
            </w:pPr>
            <w:r w:rsidRPr="00A0140C">
              <w:t>The component would:</w:t>
            </w:r>
          </w:p>
          <w:p w:rsidR="000B5C96" w:rsidRPr="00A0140C" w:rsidRDefault="000B5C96" w:rsidP="000B5C96">
            <w:pPr>
              <w:pStyle w:val="PullOutBoxBullet2"/>
              <w:numPr>
                <w:ilvl w:val="1"/>
                <w:numId w:val="2"/>
              </w:numPr>
              <w:ind w:left="737"/>
            </w:pPr>
            <w:r w:rsidRPr="00A0140C">
              <w:t>provide $5.0 million per year ($20.0 million over four years) to create a special process in family courts for domestic violence cases</w:t>
            </w:r>
          </w:p>
          <w:p w:rsidR="000B5C96" w:rsidRPr="00A0140C" w:rsidRDefault="000B5C96" w:rsidP="000B5C96">
            <w:pPr>
              <w:pStyle w:val="PullOutBoxBullet2"/>
              <w:numPr>
                <w:ilvl w:val="1"/>
                <w:numId w:val="2"/>
              </w:numPr>
              <w:ind w:left="737"/>
            </w:pPr>
            <w:r w:rsidRPr="00A0140C">
              <w:t>provide $10.0 million per year ($40.0 million over four years) for legally assisted and supported family dispute resolution.</w:t>
            </w:r>
          </w:p>
        </w:tc>
      </w:tr>
      <w:tr w:rsidR="000B5C96" w:rsidRPr="00A0140C" w:rsidTr="003F606A">
        <w:tc>
          <w:tcPr>
            <w:tcW w:w="3005" w:type="dxa"/>
            <w:tcBorders>
              <w:top w:val="single" w:sz="4" w:space="0" w:color="788182"/>
              <w:left w:val="single" w:sz="4" w:space="0" w:color="788182"/>
              <w:bottom w:val="single" w:sz="4" w:space="0" w:color="788182"/>
              <w:right w:val="single" w:sz="4" w:space="0" w:color="788182"/>
            </w:tcBorders>
          </w:tcPr>
          <w:p w:rsidR="000B5C96" w:rsidRPr="00A0140C" w:rsidRDefault="000B5C96" w:rsidP="003F606A">
            <w:pPr>
              <w:pStyle w:val="PullOutBoxBodyText"/>
              <w:keepNext/>
              <w:keepLines/>
            </w:pP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116FB9" w:rsidRDefault="000B5C96" w:rsidP="003F606A">
            <w:pPr>
              <w:pStyle w:val="PullOutBoxBodyText"/>
              <w:keepNext/>
              <w:keepLines/>
              <w:rPr>
                <w:u w:val="single"/>
              </w:rPr>
            </w:pPr>
            <w:r w:rsidRPr="00116FB9">
              <w:rPr>
                <w:u w:val="single"/>
              </w:rPr>
              <w:t>Component 5: Primary prevention and gender equality</w:t>
            </w:r>
          </w:p>
          <w:p w:rsidR="000B5C96" w:rsidRPr="00A0140C" w:rsidRDefault="000B5C96" w:rsidP="000B5C96">
            <w:pPr>
              <w:pStyle w:val="PullOutBoxBullet"/>
              <w:keepNext/>
              <w:keepLines/>
              <w:numPr>
                <w:ilvl w:val="0"/>
                <w:numId w:val="2"/>
              </w:numPr>
              <w:ind w:left="397"/>
            </w:pPr>
            <w:r w:rsidRPr="00A0140C">
              <w:t>This component would:</w:t>
            </w:r>
          </w:p>
          <w:p w:rsidR="000B5C96" w:rsidRPr="00A0140C" w:rsidRDefault="000B5C96" w:rsidP="000B5C96">
            <w:pPr>
              <w:pStyle w:val="PullOutBoxBullet2"/>
              <w:keepNext/>
              <w:keepLines/>
              <w:numPr>
                <w:ilvl w:val="1"/>
                <w:numId w:val="2"/>
              </w:numPr>
              <w:ind w:left="737"/>
            </w:pPr>
            <w:r w:rsidRPr="00A0140C">
              <w:t>provide additional funding of $1.0 million per year ($6.0 million over six years) to Our Watch</w:t>
            </w:r>
          </w:p>
          <w:p w:rsidR="000B5C96" w:rsidRPr="00A0140C" w:rsidRDefault="000B5C96" w:rsidP="000B5C96">
            <w:pPr>
              <w:pStyle w:val="PullOutBoxBullet2"/>
              <w:keepNext/>
              <w:keepLines/>
              <w:numPr>
                <w:ilvl w:val="1"/>
                <w:numId w:val="2"/>
              </w:numPr>
              <w:ind w:left="737"/>
            </w:pPr>
            <w:r w:rsidRPr="00A0140C">
              <w:t>provide $2.0 million per year ($8.0 million over four years) for The Line social marketing campaign</w:t>
            </w:r>
          </w:p>
          <w:p w:rsidR="000B5C96" w:rsidRPr="00A0140C" w:rsidRDefault="000B5C96" w:rsidP="000B5C96">
            <w:pPr>
              <w:pStyle w:val="PullOutBoxBullet2"/>
              <w:keepNext/>
              <w:keepLines/>
              <w:numPr>
                <w:ilvl w:val="1"/>
                <w:numId w:val="2"/>
              </w:numPr>
              <w:ind w:left="737"/>
            </w:pPr>
            <w:r w:rsidRPr="00A0140C">
              <w:t>provide $2.5 million per year ($10.0 million over four years) for a national rollout of respectful relationships in schools</w:t>
            </w:r>
          </w:p>
          <w:p w:rsidR="000B5C96" w:rsidRPr="00A0140C" w:rsidRDefault="000B5C96" w:rsidP="000B5C96">
            <w:pPr>
              <w:pStyle w:val="PullOutBoxBullet2"/>
              <w:keepNext/>
              <w:keepLines/>
              <w:numPr>
                <w:ilvl w:val="1"/>
                <w:numId w:val="2"/>
              </w:numPr>
              <w:ind w:left="737"/>
            </w:pPr>
            <w:r w:rsidRPr="00A0140C">
              <w:t>provide $3.0 million per year ($18.0 million over six years) for an expert primary prevention workforce.</w:t>
            </w:r>
          </w:p>
          <w:p w:rsidR="000B5C96" w:rsidRPr="00A0140C" w:rsidRDefault="000B5C96" w:rsidP="003F606A">
            <w:pPr>
              <w:pStyle w:val="PullOutBoxBodyText"/>
              <w:keepNext/>
              <w:keepLines/>
            </w:pPr>
            <w:r w:rsidRPr="00A0140C">
              <w:t>All administered components of this proposal would be indexed in line with growth in the Consumer Price Index (CPI).</w:t>
            </w:r>
          </w:p>
          <w:p w:rsidR="000B5C96" w:rsidRPr="00A0140C" w:rsidRDefault="000B5C96" w:rsidP="003F606A">
            <w:pPr>
              <w:pStyle w:val="PullOutBoxBodyText"/>
              <w:keepNext/>
              <w:keepLines/>
            </w:pPr>
            <w:r w:rsidRPr="00A0140C">
              <w:t>All components of this proposal, unless otherwise specified, commence on 1 September 2016.</w:t>
            </w:r>
          </w:p>
        </w:tc>
      </w:tr>
      <w:tr w:rsidR="000B5C96" w:rsidRPr="00A0140C"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Person/party requesting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Senator Richard Di Natale, Australian Greens</w:t>
            </w:r>
          </w:p>
        </w:tc>
      </w:tr>
      <w:tr w:rsidR="000B5C96" w:rsidRPr="00A0140C"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Date of public release of policy:</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 xml:space="preserve">26 May 2016 and 20 June 2016 </w:t>
            </w:r>
          </w:p>
          <w:p w:rsidR="000B5C96" w:rsidRPr="00A0140C" w:rsidRDefault="00E46526" w:rsidP="003F606A">
            <w:pPr>
              <w:pStyle w:val="PullOutBoxBodyText"/>
            </w:pPr>
            <w:hyperlink r:id="rId567" w:history="1">
              <w:r w:rsidR="000B5C96" w:rsidRPr="00A0140C">
                <w:rPr>
                  <w:rStyle w:val="Hyperlink"/>
                </w:rPr>
                <w:t>http://greens.org.au/domestic-violence</w:t>
              </w:r>
            </w:hyperlink>
            <w:r w:rsidR="000B5C96" w:rsidRPr="00A0140C">
              <w:t xml:space="preserve"> </w:t>
            </w:r>
          </w:p>
          <w:p w:rsidR="000B5C96" w:rsidRPr="00A0140C" w:rsidRDefault="00E46526" w:rsidP="003F606A">
            <w:pPr>
              <w:pStyle w:val="PullOutBoxBodyText"/>
            </w:pPr>
            <w:hyperlink r:id="rId568" w:history="1">
              <w:r w:rsidR="000B5C96" w:rsidRPr="00A0140C">
                <w:rPr>
                  <w:rStyle w:val="Hyperlink"/>
                </w:rPr>
                <w:t>http://greens.org.au/prevent-violence</w:t>
              </w:r>
            </w:hyperlink>
          </w:p>
        </w:tc>
      </w:tr>
      <w:tr w:rsidR="000B5C96" w:rsidRPr="00A0140C"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Date costing request received: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30 June 2016</w:t>
            </w:r>
          </w:p>
        </w:tc>
      </w:tr>
      <w:tr w:rsidR="000B5C96" w:rsidRPr="00A0140C"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Date costing completed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1 July 2016</w:t>
            </w:r>
          </w:p>
        </w:tc>
      </w:tr>
      <w:tr w:rsidR="000B5C96" w:rsidRPr="00A0140C"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Additional information requested (including date):</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On 1 July 2016 the Parliamentary Budget Office sought clarification on the start date for the National Partnership Agreement component of this costing.</w:t>
            </w:r>
          </w:p>
        </w:tc>
      </w:tr>
      <w:tr w:rsidR="000B5C96" w:rsidRPr="00A0140C"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Additional information received (including date):</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On 1 July 2016 the office of Senator Di Natale confirmed that the National Partnership Agreement component of the costing would start on 1 September 2016.</w:t>
            </w:r>
          </w:p>
        </w:tc>
      </w:tr>
      <w:tr w:rsidR="000B5C96" w:rsidRPr="00A0140C"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Expiry date for the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0140C" w:rsidRDefault="000B5C96" w:rsidP="003F606A">
            <w:pPr>
              <w:pStyle w:val="PullOutBoxBodyText"/>
            </w:pPr>
            <w:r w:rsidRPr="00A0140C">
              <w:t>Release of the next economic and fiscal outlook report</w:t>
            </w:r>
          </w:p>
        </w:tc>
      </w:tr>
    </w:tbl>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Pr="00A0140C" w:rsidRDefault="000B5C96" w:rsidP="003F606A">
      <w:pPr>
        <w:pStyle w:val="CostingsH7"/>
      </w:pPr>
      <w:r w:rsidRPr="00A0140C">
        <w:t>Costing overview</w:t>
      </w:r>
    </w:p>
    <w:p w:rsidR="000B5C96" w:rsidRPr="00A0140C" w:rsidRDefault="000B5C96" w:rsidP="003F606A">
      <w:pPr>
        <w:pStyle w:val="BodyText"/>
      </w:pPr>
      <w:r w:rsidRPr="00A0140C">
        <w:t xml:space="preserve">The proposal would decrease both the fiscal and underlying cash balances by $2,204.3 million over the 2016-17 Budget forward estimates period.  This impact is due to an increase of $2,197.0 million in administered expenses and $7.3 million in departmental expenses. </w:t>
      </w:r>
    </w:p>
    <w:p w:rsidR="000B5C96" w:rsidRPr="00A0140C" w:rsidRDefault="000B5C96" w:rsidP="003F606A">
      <w:pPr>
        <w:pStyle w:val="BodyText"/>
      </w:pPr>
      <w:r w:rsidRPr="00A0140C">
        <w:t>Components 2 and 5 would have financial implications that extend beyond the 2016</w:t>
      </w:r>
      <w:r w:rsidRPr="00A0140C">
        <w:noBreakHyphen/>
        <w:t xml:space="preserve">17 Budget forward estimates period until 2025-26, with the annual impact being the equivalent of the impact in 2019-20 growing in line with CPI. </w:t>
      </w:r>
    </w:p>
    <w:p w:rsidR="000B5C96" w:rsidRPr="00A0140C" w:rsidRDefault="000B5C96" w:rsidP="003F606A">
      <w:pPr>
        <w:pStyle w:val="BodyText"/>
        <w:rPr>
          <w:u w:val="single"/>
        </w:rPr>
      </w:pPr>
      <w:r w:rsidRPr="00A0140C">
        <w:t xml:space="preserve">A detailed breakdown of the financial implications of this proposal over the 2016-17 Budget forward estimates period for the total (Table A1) and by component (Tables A2-A6) is provided at </w:t>
      </w:r>
      <w:r w:rsidRPr="00A0140C">
        <w:rPr>
          <w:u w:val="single"/>
        </w:rPr>
        <w:t>Attachment A.</w:t>
      </w:r>
    </w:p>
    <w:p w:rsidR="000B5C96" w:rsidRPr="00A0140C" w:rsidRDefault="000B5C96" w:rsidP="003F606A">
      <w:pPr>
        <w:pStyle w:val="BodyText"/>
      </w:pPr>
      <w:r w:rsidRPr="00A0140C">
        <w:t>The costing is considered to be of high reliability as it is based on specified capped amounts and the application of administrative costs based on similar programs.  The reliability of the costing decreases the further into the future the estimates are projected.</w:t>
      </w:r>
    </w:p>
    <w:p w:rsidR="000B5C96" w:rsidRPr="00A0140C" w:rsidRDefault="000B5C96" w:rsidP="003F606A">
      <w:pPr>
        <w:pStyle w:val="Caption"/>
      </w:pPr>
      <w:r w:rsidRPr="00A0140C">
        <w:t>Table 1: Financial implications (outturn prices)</w:t>
      </w:r>
      <w:r w:rsidRPr="00A0140C">
        <w:rPr>
          <w:vertAlign w:val="superscript"/>
        </w:rPr>
        <w:t>(a)(b)</w:t>
      </w:r>
    </w:p>
    <w:tbl>
      <w:tblPr>
        <w:tblStyle w:val="TableGrid47"/>
        <w:tblW w:w="4993" w:type="pct"/>
        <w:tblInd w:w="0" w:type="dxa"/>
        <w:tblLook w:val="04A0" w:firstRow="1" w:lastRow="0" w:firstColumn="1" w:lastColumn="0" w:noHBand="0" w:noVBand="1"/>
      </w:tblPr>
      <w:tblGrid>
        <w:gridCol w:w="2645"/>
        <w:gridCol w:w="1134"/>
        <w:gridCol w:w="1133"/>
        <w:gridCol w:w="1133"/>
        <w:gridCol w:w="1133"/>
        <w:gridCol w:w="1132"/>
      </w:tblGrid>
      <w:tr w:rsidR="000B5C96" w:rsidRPr="00A0140C"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A0140C" w:rsidRDefault="000B5C96" w:rsidP="003F606A">
            <w:pPr>
              <w:keepNext/>
              <w:keepLines/>
              <w:spacing w:before="70" w:beforeAutospacing="0" w:after="70" w:afterAutospacing="0" w:line="300" w:lineRule="auto"/>
              <w:ind w:left="57" w:right="57"/>
              <w:rPr>
                <w:rFonts w:asciiTheme="minorHAnsi" w:eastAsia="Calibri" w:hAnsiTheme="minorHAnsi"/>
                <w:lang w:eastAsia="en-AU"/>
              </w:rPr>
            </w:pPr>
            <w:r w:rsidRPr="00A0140C">
              <w:rPr>
                <w:rFonts w:asciiTheme="minorHAnsi" w:eastAsia="Calibri" w:hAnsiTheme="minorHAnsi"/>
                <w:lang w:eastAsia="en-AU"/>
              </w:rPr>
              <w:t>Impact on ($m)</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0140C" w:rsidRDefault="000B5C96" w:rsidP="003F606A">
            <w:pPr>
              <w:keepNext/>
              <w:keepLines/>
              <w:spacing w:before="70" w:beforeAutospacing="0" w:after="70" w:afterAutospacing="0"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0140C">
              <w:rPr>
                <w:rFonts w:asciiTheme="minorHAnsi" w:eastAsia="Calibri" w:hAnsiTheme="minorHAnsi"/>
                <w:lang w:eastAsia="en-AU"/>
              </w:rPr>
              <w:t>2016–17</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0140C" w:rsidRDefault="000B5C96" w:rsidP="003F606A">
            <w:pPr>
              <w:keepNext/>
              <w:keepLines/>
              <w:spacing w:before="70" w:beforeAutospacing="0" w:after="70" w:afterAutospacing="0"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0140C">
              <w:rPr>
                <w:rFonts w:asciiTheme="minorHAnsi" w:eastAsia="Calibri" w:hAnsiTheme="minorHAnsi"/>
                <w:lang w:eastAsia="en-AU"/>
              </w:rPr>
              <w:t>2017–18</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0140C" w:rsidRDefault="000B5C96" w:rsidP="003F606A">
            <w:pPr>
              <w:keepNext/>
              <w:keepLines/>
              <w:spacing w:before="70" w:beforeAutospacing="0" w:after="70" w:afterAutospacing="0"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0140C">
              <w:rPr>
                <w:rFonts w:asciiTheme="minorHAnsi" w:eastAsia="Calibri" w:hAnsiTheme="minorHAnsi"/>
                <w:lang w:eastAsia="en-AU"/>
              </w:rPr>
              <w:t>2018–19</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0140C" w:rsidRDefault="000B5C96" w:rsidP="003F606A">
            <w:pPr>
              <w:keepNext/>
              <w:keepLines/>
              <w:spacing w:before="70" w:beforeAutospacing="0" w:after="70" w:afterAutospacing="0"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A0140C">
              <w:rPr>
                <w:rFonts w:asciiTheme="minorHAnsi" w:eastAsia="Calibri" w:hAnsiTheme="minorHAnsi"/>
                <w:lang w:eastAsia="en-AU"/>
              </w:rPr>
              <w:t>2019–20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A0140C" w:rsidRDefault="000B5C96" w:rsidP="003F606A">
            <w:pPr>
              <w:keepNext/>
              <w:keepLines/>
              <w:spacing w:before="70" w:beforeAutospacing="0" w:after="70" w:afterAutospacing="0"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A0140C">
              <w:rPr>
                <w:rFonts w:asciiTheme="minorHAnsi" w:eastAsia="Calibri" w:hAnsiTheme="minorHAnsi"/>
                <w:b/>
                <w:lang w:eastAsia="en-AU"/>
              </w:rPr>
              <w:t>Total</w:t>
            </w:r>
          </w:p>
        </w:tc>
      </w:tr>
      <w:tr w:rsidR="000B5C96" w:rsidRPr="00A0140C"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A0140C" w:rsidRDefault="000B5C96" w:rsidP="003F606A">
            <w:pPr>
              <w:keepNext/>
              <w:keepLines/>
              <w:spacing w:line="300" w:lineRule="auto"/>
              <w:ind w:left="57" w:right="57"/>
              <w:rPr>
                <w:rFonts w:asciiTheme="minorHAnsi" w:hAnsiTheme="minorHAnsi"/>
                <w:lang w:eastAsia="en-AU"/>
              </w:rPr>
            </w:pPr>
            <w:r w:rsidRPr="00A0140C">
              <w:rPr>
                <w:rFonts w:asciiTheme="minorHAnsi" w:hAnsiTheme="minorHAnsi"/>
                <w:lang w:eastAsia="en-AU"/>
              </w:rPr>
              <w:t>Fiscal balance</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A0140C" w:rsidRDefault="000B5C96" w:rsidP="003F606A">
            <w:pPr>
              <w:spacing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A0140C">
              <w:rPr>
                <w:rFonts w:asciiTheme="minorHAnsi" w:eastAsia="Calibri" w:hAnsiTheme="minorHAnsi"/>
                <w:bCs/>
                <w:color w:val="000000"/>
                <w:lang w:eastAsia="en-AU"/>
              </w:rPr>
              <w:t xml:space="preserve">-537.4 </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A0140C" w:rsidRDefault="000B5C96" w:rsidP="003F606A">
            <w:pPr>
              <w:spacing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A0140C">
              <w:rPr>
                <w:rFonts w:asciiTheme="minorHAnsi" w:eastAsia="Calibri" w:hAnsiTheme="minorHAnsi"/>
                <w:bCs/>
                <w:color w:val="000000"/>
                <w:lang w:eastAsia="en-AU"/>
              </w:rPr>
              <w:t xml:space="preserve">-549.7 </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A0140C" w:rsidRDefault="000B5C96" w:rsidP="003F606A">
            <w:pPr>
              <w:spacing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A0140C">
              <w:rPr>
                <w:rFonts w:asciiTheme="minorHAnsi" w:eastAsia="Calibri" w:hAnsiTheme="minorHAnsi"/>
                <w:bCs/>
                <w:color w:val="000000"/>
                <w:lang w:eastAsia="en-AU"/>
              </w:rPr>
              <w:t xml:space="preserve">-551.8 </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A0140C" w:rsidRDefault="000B5C96" w:rsidP="003F606A">
            <w:pPr>
              <w:spacing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A0140C">
              <w:rPr>
                <w:rFonts w:asciiTheme="minorHAnsi" w:eastAsia="Calibri" w:hAnsiTheme="minorHAnsi"/>
                <w:bCs/>
                <w:color w:val="000000"/>
                <w:lang w:eastAsia="en-AU"/>
              </w:rPr>
              <w:t xml:space="preserve">-565.5 </w:t>
            </w:r>
          </w:p>
        </w:tc>
        <w:tc>
          <w:tcPr>
            <w:tcW w:w="681" w:type="pct"/>
            <w:tcBorders>
              <w:top w:val="single" w:sz="4" w:space="0" w:color="808080"/>
              <w:left w:val="single" w:sz="4" w:space="0" w:color="808080"/>
              <w:bottom w:val="single" w:sz="4" w:space="0" w:color="808080"/>
              <w:right w:val="single" w:sz="4" w:space="0" w:color="808080"/>
            </w:tcBorders>
            <w:vAlign w:val="bottom"/>
            <w:hideMark/>
          </w:tcPr>
          <w:p w:rsidR="000B5C96" w:rsidRPr="00A0140C" w:rsidRDefault="000B5C96" w:rsidP="003F606A">
            <w:pPr>
              <w:spacing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lang w:eastAsia="en-AU"/>
              </w:rPr>
            </w:pPr>
            <w:r w:rsidRPr="00A0140C">
              <w:rPr>
                <w:rFonts w:asciiTheme="minorHAnsi" w:eastAsia="Calibri" w:hAnsiTheme="minorHAnsi"/>
                <w:b/>
                <w:bCs/>
                <w:color w:val="000000"/>
                <w:lang w:eastAsia="en-AU"/>
              </w:rPr>
              <w:t xml:space="preserve">-2,204.3 </w:t>
            </w:r>
          </w:p>
        </w:tc>
      </w:tr>
      <w:tr w:rsidR="000B5C96" w:rsidRPr="00A0140C"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A0140C" w:rsidRDefault="000B5C96" w:rsidP="003F606A">
            <w:pPr>
              <w:keepNext/>
              <w:keepLines/>
              <w:spacing w:line="300" w:lineRule="auto"/>
              <w:ind w:left="57" w:right="57"/>
              <w:rPr>
                <w:rFonts w:asciiTheme="minorHAnsi" w:hAnsiTheme="minorHAnsi"/>
                <w:lang w:eastAsia="en-AU"/>
              </w:rPr>
            </w:pPr>
            <w:r w:rsidRPr="00A0140C">
              <w:rPr>
                <w:rFonts w:asciiTheme="minorHAnsi" w:hAnsiTheme="minorHAnsi"/>
                <w:lang w:eastAsia="en-AU"/>
              </w:rPr>
              <w:t>Underlying cash balance</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A0140C" w:rsidRDefault="000B5C96" w:rsidP="003F606A">
            <w:pPr>
              <w:spacing w:line="30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0140C">
              <w:rPr>
                <w:rFonts w:asciiTheme="minorHAnsi" w:eastAsia="Calibri" w:hAnsiTheme="minorHAnsi"/>
                <w:bCs/>
                <w:color w:val="000000"/>
                <w:lang w:eastAsia="en-AU"/>
              </w:rPr>
              <w:t xml:space="preserve">-537.4 </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A0140C" w:rsidRDefault="000B5C96" w:rsidP="003F606A">
            <w:pPr>
              <w:spacing w:line="30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0140C">
              <w:rPr>
                <w:rFonts w:asciiTheme="minorHAnsi" w:eastAsia="Calibri" w:hAnsiTheme="minorHAnsi"/>
                <w:bCs/>
                <w:color w:val="000000"/>
                <w:lang w:eastAsia="en-AU"/>
              </w:rPr>
              <w:t xml:space="preserve">-549.7 </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A0140C" w:rsidRDefault="000B5C96" w:rsidP="003F606A">
            <w:pPr>
              <w:spacing w:line="30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0140C">
              <w:rPr>
                <w:rFonts w:asciiTheme="minorHAnsi" w:eastAsia="Calibri" w:hAnsiTheme="minorHAnsi"/>
                <w:bCs/>
                <w:color w:val="000000"/>
                <w:lang w:eastAsia="en-AU"/>
              </w:rPr>
              <w:t xml:space="preserve">-551.8 </w:t>
            </w:r>
          </w:p>
        </w:tc>
        <w:tc>
          <w:tcPr>
            <w:tcW w:w="682" w:type="pct"/>
            <w:tcBorders>
              <w:top w:val="single" w:sz="4" w:space="0" w:color="808080"/>
              <w:left w:val="single" w:sz="4" w:space="0" w:color="808080"/>
              <w:bottom w:val="single" w:sz="4" w:space="0" w:color="808080"/>
              <w:right w:val="single" w:sz="4" w:space="0" w:color="808080"/>
            </w:tcBorders>
            <w:vAlign w:val="bottom"/>
            <w:hideMark/>
          </w:tcPr>
          <w:p w:rsidR="000B5C96" w:rsidRPr="00A0140C" w:rsidRDefault="000B5C96" w:rsidP="003F606A">
            <w:pPr>
              <w:spacing w:line="30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0140C">
              <w:rPr>
                <w:rFonts w:asciiTheme="minorHAnsi" w:eastAsia="Calibri" w:hAnsiTheme="minorHAnsi"/>
                <w:bCs/>
                <w:color w:val="000000"/>
                <w:lang w:eastAsia="en-AU"/>
              </w:rPr>
              <w:t xml:space="preserve">-565.5 </w:t>
            </w:r>
          </w:p>
        </w:tc>
        <w:tc>
          <w:tcPr>
            <w:tcW w:w="681" w:type="pct"/>
            <w:tcBorders>
              <w:top w:val="single" w:sz="4" w:space="0" w:color="808080"/>
              <w:left w:val="single" w:sz="4" w:space="0" w:color="808080"/>
              <w:bottom w:val="single" w:sz="4" w:space="0" w:color="808080"/>
              <w:right w:val="single" w:sz="4" w:space="0" w:color="808080"/>
            </w:tcBorders>
            <w:vAlign w:val="bottom"/>
            <w:hideMark/>
          </w:tcPr>
          <w:p w:rsidR="000B5C96" w:rsidRPr="00A0140C" w:rsidRDefault="000B5C96" w:rsidP="003F606A">
            <w:pPr>
              <w:spacing w:line="30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A0140C">
              <w:rPr>
                <w:rFonts w:asciiTheme="minorHAnsi" w:eastAsia="Calibri" w:hAnsiTheme="minorHAnsi"/>
                <w:b/>
                <w:bCs/>
                <w:color w:val="000000"/>
                <w:lang w:eastAsia="en-AU"/>
              </w:rPr>
              <w:t xml:space="preserve">-2,204.3 </w:t>
            </w:r>
          </w:p>
        </w:tc>
      </w:tr>
    </w:tbl>
    <w:p w:rsidR="000B5C96" w:rsidRPr="00A0140C" w:rsidRDefault="000B5C96" w:rsidP="00E54AEC">
      <w:pPr>
        <w:pStyle w:val="Footnotes"/>
        <w:numPr>
          <w:ilvl w:val="0"/>
          <w:numId w:val="280"/>
        </w:numPr>
        <w:ind w:left="284" w:hanging="284"/>
      </w:pPr>
      <w:r w:rsidRPr="00A0140C">
        <w:t>A positive number represents an increase in the relevant budget balance; a negative number a decrease.</w:t>
      </w:r>
    </w:p>
    <w:p w:rsidR="000B5C96" w:rsidRPr="00A0140C" w:rsidRDefault="000B5C96" w:rsidP="000B5C96">
      <w:pPr>
        <w:pStyle w:val="Footnotes"/>
        <w:numPr>
          <w:ilvl w:val="0"/>
          <w:numId w:val="7"/>
        </w:numPr>
        <w:ind w:left="284" w:hanging="284"/>
      </w:pPr>
      <w:r w:rsidRPr="00A0140C">
        <w:t>Figures may not sum to totals due to rounding.</w:t>
      </w:r>
    </w:p>
    <w:p w:rsidR="000B5C96" w:rsidRPr="00A0140C" w:rsidRDefault="000B5C96" w:rsidP="003F606A">
      <w:pPr>
        <w:pStyle w:val="CostingsH7"/>
      </w:pPr>
      <w:r w:rsidRPr="00A0140C">
        <w:t>Key assumptions</w:t>
      </w:r>
    </w:p>
    <w:p w:rsidR="000B5C96" w:rsidRPr="00A0140C" w:rsidRDefault="000B5C96" w:rsidP="003F606A">
      <w:pPr>
        <w:pStyle w:val="BodyText"/>
      </w:pPr>
      <w:r w:rsidRPr="00A0140C">
        <w:t>Despite the 1 September 2016 start date of the proposal, it has been assumed that a full year of funding would be provided in 2016</w:t>
      </w:r>
      <w:r w:rsidRPr="00A0140C">
        <w:noBreakHyphen/>
        <w:t>17.</w:t>
      </w:r>
    </w:p>
    <w:p w:rsidR="000B5C96" w:rsidRPr="00A0140C" w:rsidRDefault="000B5C96" w:rsidP="003F606A">
      <w:pPr>
        <w:pStyle w:val="CostingsH7"/>
      </w:pPr>
      <w:r w:rsidRPr="00A0140C">
        <w:t>Methodology</w:t>
      </w:r>
    </w:p>
    <w:p w:rsidR="000B5C96" w:rsidRPr="00A0140C" w:rsidRDefault="000B5C96" w:rsidP="003F606A">
      <w:pPr>
        <w:pStyle w:val="BodyText"/>
        <w:rPr>
          <w:b/>
        </w:rPr>
      </w:pPr>
      <w:r w:rsidRPr="00A0140C">
        <w:t>Administered expenditure estimates are as specified in the request.  The departmental expenditure estimates are in addition to the capped amounts, as specified, and are based on other like initiatives and estimates account for the net effect of indexation parameters and the efficiency dividend, in accordance with the Department of Finance’s costing practices.</w:t>
      </w:r>
    </w:p>
    <w:p w:rsidR="000B5C96" w:rsidRPr="00A0140C" w:rsidRDefault="000B5C96" w:rsidP="003F606A">
      <w:pPr>
        <w:pStyle w:val="CostingsH7"/>
      </w:pPr>
      <w:r w:rsidRPr="00A0140C">
        <w:t>Data sources</w:t>
      </w:r>
    </w:p>
    <w:p w:rsidR="000B5C96" w:rsidRPr="00A0140C" w:rsidRDefault="000B5C96" w:rsidP="003F606A">
      <w:pPr>
        <w:pStyle w:val="BodyText"/>
        <w:rPr>
          <w:lang w:eastAsia="en-AU"/>
        </w:rPr>
      </w:pPr>
      <w:r w:rsidRPr="00A0140C">
        <w:rPr>
          <w:lang w:eastAsia="en-AU"/>
        </w:rPr>
        <w:t>The Department of Finance provided indexation and efficiency dividend parameters.</w:t>
      </w:r>
    </w:p>
    <w:p w:rsidR="000B5C96" w:rsidRPr="00A0140C" w:rsidRDefault="000B5C96" w:rsidP="003F606A">
      <w:pPr>
        <w:pStyle w:val="BodyText"/>
        <w:rPr>
          <w:rFonts w:eastAsia="Calibri"/>
          <w:highlight w:val="yellow"/>
        </w:rPr>
        <w:sectPr w:rsidR="000B5C96" w:rsidRPr="00A0140C">
          <w:pgSz w:w="11906" w:h="16838"/>
          <w:pgMar w:top="1361" w:right="1797" w:bottom="1474" w:left="1797" w:header="709" w:footer="709" w:gutter="0"/>
          <w:cols w:space="720"/>
        </w:sectPr>
      </w:pPr>
    </w:p>
    <w:p w:rsidR="000B5C96" w:rsidRPr="00CC50F9" w:rsidRDefault="000B5C96" w:rsidP="000B5C96">
      <w:pPr>
        <w:pStyle w:val="Heading6"/>
        <w:numPr>
          <w:ilvl w:val="0"/>
          <w:numId w:val="5"/>
        </w:numPr>
        <w:tabs>
          <w:tab w:val="right" w:pos="1418"/>
          <w:tab w:val="right" w:pos="1701"/>
          <w:tab w:val="right" w:pos="1985"/>
        </w:tabs>
      </w:pPr>
      <w:r w:rsidRPr="00CC50F9">
        <w:t>Attachment A: Confronting our Domestic Violence Crisis—financial implications</w:t>
      </w:r>
    </w:p>
    <w:p w:rsidR="000B5C96" w:rsidRPr="00CC50F9" w:rsidRDefault="000B5C96" w:rsidP="003F606A">
      <w:pPr>
        <w:pStyle w:val="Caption"/>
        <w:rPr>
          <w:vertAlign w:val="superscript"/>
        </w:rPr>
      </w:pPr>
      <w:r w:rsidRPr="00CC50F9">
        <w:t>Table A1: Confronting our Domestic Violence Crisis—Financial implications (outturn prices)</w:t>
      </w:r>
      <w:r w:rsidRPr="00CC50F9">
        <w:rPr>
          <w:vertAlign w:val="superscript"/>
        </w:rPr>
        <w:t>(a)(b)</w:t>
      </w:r>
    </w:p>
    <w:tbl>
      <w:tblPr>
        <w:tblStyle w:val="TableGrid48"/>
        <w:tblW w:w="4995" w:type="pct"/>
        <w:tblInd w:w="0"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CC50F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rPr>
                <w:rFonts w:asciiTheme="minorHAnsi" w:eastAsia="Calibri" w:hAnsiTheme="minorHAnsi"/>
                <w:b/>
                <w:lang w:eastAsia="en-AU"/>
              </w:rPr>
            </w:pPr>
            <w:r w:rsidRPr="00CC50F9">
              <w:rPr>
                <w:rFonts w:asciiTheme="minorHAnsi" w:eastAsia="Calibri" w:hAnsiTheme="minorHAnsi"/>
                <w:lang w:eastAsia="en-AU"/>
              </w:rPr>
              <w:t>($m)</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2016–17</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2017–18</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2018–19</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2019–20</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ertAlign w:val="superscript"/>
                <w:lang w:eastAsia="en-AU"/>
              </w:rPr>
            </w:pPr>
            <w:r w:rsidRPr="00CC50F9">
              <w:rPr>
                <w:rFonts w:asciiTheme="minorHAnsi" w:hAnsiTheme="minorHAnsi"/>
                <w:b/>
                <w:lang w:eastAsia="en-AU"/>
              </w:rPr>
              <w:t>Total to 2019–20</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Impact on fiscal and underlying cash balances</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Administered</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CC50F9">
              <w:rPr>
                <w:rFonts w:asciiTheme="minorHAnsi" w:eastAsia="Calibri" w:hAnsiTheme="minorHAnsi"/>
                <w:i/>
                <w:iCs/>
                <w:color w:val="000000"/>
                <w:lang w:eastAsia="en-AU"/>
              </w:rPr>
              <w:t xml:space="preserve">-535.5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CC50F9">
              <w:rPr>
                <w:rFonts w:asciiTheme="minorHAnsi" w:eastAsia="Calibri" w:hAnsiTheme="minorHAnsi"/>
                <w:i/>
                <w:iCs/>
                <w:color w:val="000000"/>
                <w:lang w:eastAsia="en-AU"/>
              </w:rPr>
              <w:t xml:space="preserve">-547.8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CC50F9">
              <w:rPr>
                <w:rFonts w:asciiTheme="minorHAnsi" w:eastAsia="Calibri" w:hAnsiTheme="minorHAnsi"/>
                <w:i/>
                <w:iCs/>
                <w:color w:val="000000"/>
                <w:lang w:eastAsia="en-AU"/>
              </w:rPr>
              <w:t xml:space="preserve">-550.0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CC50F9">
              <w:rPr>
                <w:rFonts w:asciiTheme="minorHAnsi" w:eastAsia="Calibri" w:hAnsiTheme="minorHAnsi"/>
                <w:i/>
                <w:iCs/>
                <w:color w:val="000000"/>
                <w:lang w:eastAsia="en-AU"/>
              </w:rPr>
              <w:t xml:space="preserve">-563.7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C50F9">
              <w:rPr>
                <w:rFonts w:asciiTheme="minorHAnsi" w:eastAsia="Calibri" w:hAnsiTheme="minorHAnsi"/>
                <w:b/>
                <w:i/>
                <w:iCs/>
                <w:color w:val="000000"/>
                <w:lang w:eastAsia="en-AU"/>
              </w:rPr>
              <w:t xml:space="preserve">-2,197.0 </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Departmental</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CC50F9">
              <w:rPr>
                <w:rFonts w:asciiTheme="minorHAnsi" w:eastAsia="Calibri" w:hAnsiTheme="minorHAnsi"/>
                <w:i/>
                <w:iCs/>
                <w:color w:val="000000"/>
                <w:lang w:eastAsia="en-AU"/>
              </w:rPr>
              <w:t xml:space="preserve">-1.9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CC50F9">
              <w:rPr>
                <w:rFonts w:asciiTheme="minorHAnsi" w:eastAsia="Calibri" w:hAnsiTheme="minorHAnsi"/>
                <w:i/>
                <w:iCs/>
                <w:color w:val="000000"/>
                <w:lang w:eastAsia="en-AU"/>
              </w:rPr>
              <w:t xml:space="preserve">-1.9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CC50F9">
              <w:rPr>
                <w:rFonts w:asciiTheme="minorHAnsi" w:eastAsia="Calibri" w:hAnsiTheme="minorHAnsi"/>
                <w:i/>
                <w:iCs/>
                <w:color w:val="000000"/>
                <w:lang w:eastAsia="en-AU"/>
              </w:rPr>
              <w:t xml:space="preserve">-1.8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CC50F9">
              <w:rPr>
                <w:rFonts w:asciiTheme="minorHAnsi" w:eastAsia="Calibri" w:hAnsiTheme="minorHAnsi"/>
                <w:i/>
                <w:iCs/>
                <w:color w:val="000000"/>
                <w:lang w:eastAsia="en-AU"/>
              </w:rPr>
              <w:t xml:space="preserve">-1.8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lang w:eastAsia="en-AU"/>
              </w:rPr>
            </w:pPr>
            <w:r w:rsidRPr="00CC50F9">
              <w:rPr>
                <w:rFonts w:asciiTheme="minorHAnsi" w:eastAsia="Calibri" w:hAnsiTheme="minorHAnsi"/>
                <w:b/>
                <w:i/>
                <w:iCs/>
                <w:color w:val="000000"/>
                <w:lang w:eastAsia="en-AU"/>
              </w:rPr>
              <w:t xml:space="preserve">-7.3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C50F9">
              <w:rPr>
                <w:rFonts w:asciiTheme="minorHAnsi" w:eastAsia="Calibri" w:hAnsiTheme="minorHAnsi"/>
                <w:b/>
                <w:bCs/>
                <w:color w:val="000000"/>
                <w:lang w:eastAsia="en-AU"/>
              </w:rPr>
              <w:t xml:space="preserve">-537.4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C50F9">
              <w:rPr>
                <w:rFonts w:asciiTheme="minorHAnsi" w:eastAsia="Calibri" w:hAnsiTheme="minorHAnsi"/>
                <w:b/>
                <w:bCs/>
                <w:color w:val="000000"/>
                <w:lang w:eastAsia="en-AU"/>
              </w:rPr>
              <w:t xml:space="preserve">-549.7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C50F9">
              <w:rPr>
                <w:rFonts w:asciiTheme="minorHAnsi" w:eastAsia="Calibri" w:hAnsiTheme="minorHAnsi"/>
                <w:b/>
                <w:bCs/>
                <w:color w:val="000000"/>
                <w:lang w:eastAsia="en-AU"/>
              </w:rPr>
              <w:t xml:space="preserve">-551.8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C50F9">
              <w:rPr>
                <w:rFonts w:asciiTheme="minorHAnsi" w:eastAsia="Calibri" w:hAnsiTheme="minorHAnsi"/>
                <w:b/>
                <w:bCs/>
                <w:color w:val="000000"/>
                <w:lang w:eastAsia="en-AU"/>
              </w:rPr>
              <w:t xml:space="preserve">-565.5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C50F9">
              <w:rPr>
                <w:rFonts w:asciiTheme="minorHAnsi" w:eastAsia="Calibri" w:hAnsiTheme="minorHAnsi"/>
                <w:b/>
                <w:bCs/>
                <w:color w:val="000000"/>
                <w:lang w:eastAsia="en-AU"/>
              </w:rPr>
              <w:t xml:space="preserve">-2,204.3 </w:t>
            </w:r>
          </w:p>
        </w:tc>
      </w:tr>
    </w:tbl>
    <w:p w:rsidR="000B5C96" w:rsidRDefault="000B5C96" w:rsidP="00E54AEC">
      <w:pPr>
        <w:pStyle w:val="Footnotes"/>
        <w:numPr>
          <w:ilvl w:val="0"/>
          <w:numId w:val="281"/>
        </w:numPr>
        <w:ind w:left="284" w:hanging="284"/>
      </w:pPr>
      <w:r w:rsidRPr="00CC50F9">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CC50F9" w:rsidRDefault="000B5C96" w:rsidP="000B5C96">
      <w:pPr>
        <w:pStyle w:val="Footnotes"/>
        <w:numPr>
          <w:ilvl w:val="0"/>
          <w:numId w:val="7"/>
        </w:numPr>
        <w:ind w:left="284" w:hanging="284"/>
      </w:pPr>
      <w:r w:rsidRPr="00CC50F9">
        <w:t>Figures may not sum to totals due to rounding.</w:t>
      </w:r>
    </w:p>
    <w:p w:rsidR="000B5C96" w:rsidRPr="00CC50F9" w:rsidRDefault="000B5C96" w:rsidP="003F606A">
      <w:pPr>
        <w:pStyle w:val="Caption"/>
        <w:rPr>
          <w:vertAlign w:val="superscript"/>
        </w:rPr>
      </w:pPr>
      <w:r w:rsidRPr="00CC50F9">
        <w:t>Table A2: Component 1: Fund a national peak body—Financial implications (outturn prices)</w:t>
      </w:r>
      <w:r w:rsidRPr="00CC50F9">
        <w:rPr>
          <w:vertAlign w:val="superscript"/>
        </w:rPr>
        <w:t>(a)(b)</w:t>
      </w:r>
    </w:p>
    <w:tbl>
      <w:tblPr>
        <w:tblStyle w:val="TableGrid48"/>
        <w:tblW w:w="4995" w:type="pct"/>
        <w:tblInd w:w="0"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0108ED"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hideMark/>
          </w:tcPr>
          <w:p w:rsidR="000B5C96" w:rsidRPr="000108ED" w:rsidRDefault="000B5C96" w:rsidP="003F606A">
            <w:pPr>
              <w:keepNext/>
              <w:keepLines/>
              <w:spacing w:before="70" w:after="70" w:line="240" w:lineRule="auto"/>
              <w:rPr>
                <w:rFonts w:asciiTheme="minorHAnsi" w:eastAsia="Calibri" w:hAnsiTheme="minorHAnsi"/>
                <w:b/>
                <w:lang w:eastAsia="en-AU"/>
              </w:rPr>
            </w:pPr>
            <w:r w:rsidRPr="000108ED">
              <w:rPr>
                <w:rFonts w:asciiTheme="minorHAnsi" w:eastAsia="Calibri" w:hAnsiTheme="minorHAnsi"/>
                <w:lang w:eastAsia="en-AU"/>
              </w:rPr>
              <w:t>($m)</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0108ED"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0108ED">
              <w:rPr>
                <w:rFonts w:asciiTheme="minorHAnsi" w:hAnsiTheme="minorHAnsi"/>
                <w:lang w:eastAsia="en-AU"/>
              </w:rPr>
              <w:t>2016–17</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0108ED"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0108ED">
              <w:rPr>
                <w:rFonts w:asciiTheme="minorHAnsi" w:hAnsiTheme="minorHAnsi"/>
                <w:lang w:eastAsia="en-AU"/>
              </w:rPr>
              <w:t>2017–18</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0108ED"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0108ED">
              <w:rPr>
                <w:rFonts w:asciiTheme="minorHAnsi" w:hAnsiTheme="minorHAnsi"/>
                <w:lang w:eastAsia="en-AU"/>
              </w:rPr>
              <w:t>2018–19</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0108ED"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0108ED">
              <w:rPr>
                <w:rFonts w:asciiTheme="minorHAnsi" w:hAnsiTheme="minorHAnsi"/>
                <w:lang w:eastAsia="en-AU"/>
              </w:rPr>
              <w:t>2019–20</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0108ED"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ertAlign w:val="superscript"/>
                <w:lang w:eastAsia="en-AU"/>
              </w:rPr>
            </w:pPr>
            <w:r w:rsidRPr="000108ED">
              <w:rPr>
                <w:rFonts w:asciiTheme="minorHAnsi" w:hAnsiTheme="minorHAnsi"/>
                <w:b/>
                <w:lang w:eastAsia="en-AU"/>
              </w:rPr>
              <w:t>Total to 2019–20</w:t>
            </w:r>
          </w:p>
        </w:tc>
      </w:tr>
      <w:tr w:rsidR="000B5C96" w:rsidRPr="000108ED"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0108ED" w:rsidRDefault="000B5C96" w:rsidP="003F606A">
            <w:pPr>
              <w:keepNext/>
              <w:keepLines/>
              <w:rPr>
                <w:rFonts w:asciiTheme="minorHAnsi" w:hAnsiTheme="minorHAnsi"/>
                <w:b/>
                <w:lang w:eastAsia="en-AU"/>
              </w:rPr>
            </w:pPr>
            <w:r w:rsidRPr="000108ED">
              <w:rPr>
                <w:rFonts w:asciiTheme="minorHAnsi" w:hAnsiTheme="minorHAnsi"/>
                <w:b/>
                <w:lang w:eastAsia="en-AU"/>
              </w:rPr>
              <w:t>Impact on fiscal and underlying cash balances</w:t>
            </w:r>
          </w:p>
        </w:tc>
      </w:tr>
      <w:tr w:rsidR="000B5C96" w:rsidRPr="000108ED"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0108ED" w:rsidRDefault="000B5C96" w:rsidP="003F606A">
            <w:pPr>
              <w:keepNext/>
              <w:keepLines/>
              <w:rPr>
                <w:rFonts w:asciiTheme="minorHAnsi" w:hAnsiTheme="minorHAnsi"/>
                <w:lang w:eastAsia="en-AU"/>
              </w:rPr>
            </w:pPr>
            <w:r w:rsidRPr="000108ED">
              <w:rPr>
                <w:rFonts w:asciiTheme="minorHAnsi" w:hAnsiTheme="minorHAnsi"/>
                <w:lang w:eastAsia="en-AU"/>
              </w:rPr>
              <w:t>Administered</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0108ED"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lang w:eastAsia="en-AU"/>
              </w:rPr>
            </w:pPr>
            <w:r w:rsidRPr="000108ED">
              <w:rPr>
                <w:rFonts w:asciiTheme="minorHAnsi" w:eastAsia="Calibri" w:hAnsiTheme="minorHAnsi"/>
                <w:i/>
                <w:iCs/>
                <w:color w:val="000000"/>
                <w:lang w:eastAsia="en-AU"/>
              </w:rPr>
              <w:t xml:space="preserve">-2.0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0108ED"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lang w:eastAsia="en-AU"/>
              </w:rPr>
            </w:pPr>
            <w:r w:rsidRPr="000108ED">
              <w:rPr>
                <w:rFonts w:asciiTheme="minorHAnsi" w:eastAsia="Calibri" w:hAnsiTheme="minorHAnsi"/>
                <w:i/>
                <w:iCs/>
                <w:color w:val="000000"/>
                <w:lang w:eastAsia="en-AU"/>
              </w:rPr>
              <w:t xml:space="preserve">-2.0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0108ED"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lang w:eastAsia="en-AU"/>
              </w:rPr>
            </w:pPr>
            <w:r w:rsidRPr="000108ED">
              <w:rPr>
                <w:rFonts w:asciiTheme="minorHAnsi" w:eastAsia="Calibri" w:hAnsiTheme="minorHAnsi"/>
                <w:i/>
                <w:iCs/>
                <w:color w:val="000000"/>
                <w:lang w:eastAsia="en-AU"/>
              </w:rPr>
              <w:t xml:space="preserve">-2.1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0108ED"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lang w:eastAsia="en-AU"/>
              </w:rPr>
            </w:pPr>
            <w:r w:rsidRPr="000108ED">
              <w:rPr>
                <w:rFonts w:asciiTheme="minorHAnsi" w:eastAsia="Calibri" w:hAnsiTheme="minorHAnsi"/>
                <w:i/>
                <w:iCs/>
                <w:color w:val="000000"/>
                <w:lang w:eastAsia="en-AU"/>
              </w:rPr>
              <w:t xml:space="preserve">-2.1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0108ED"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i/>
                <w:lang w:eastAsia="en-AU"/>
              </w:rPr>
            </w:pPr>
            <w:r w:rsidRPr="000108ED">
              <w:rPr>
                <w:rFonts w:asciiTheme="minorHAnsi" w:eastAsia="Calibri" w:hAnsiTheme="minorHAnsi"/>
                <w:b/>
                <w:i/>
                <w:iCs/>
                <w:color w:val="000000"/>
                <w:lang w:eastAsia="en-AU"/>
              </w:rPr>
              <w:t xml:space="preserve">-8.2 </w:t>
            </w:r>
          </w:p>
        </w:tc>
      </w:tr>
      <w:tr w:rsidR="000B5C96" w:rsidRPr="000108ED"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0108ED" w:rsidRDefault="000B5C96" w:rsidP="003F606A">
            <w:pPr>
              <w:keepNext/>
              <w:keepLines/>
              <w:rPr>
                <w:rFonts w:asciiTheme="minorHAnsi" w:hAnsiTheme="minorHAnsi"/>
                <w:lang w:eastAsia="en-AU"/>
              </w:rPr>
            </w:pPr>
            <w:r w:rsidRPr="000108ED">
              <w:rPr>
                <w:rFonts w:asciiTheme="minorHAnsi" w:hAnsiTheme="minorHAnsi"/>
                <w:lang w:eastAsia="en-AU"/>
              </w:rPr>
              <w:t>Departmental</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0108ED"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0108ED">
              <w:rPr>
                <w:rFonts w:asciiTheme="minorHAnsi" w:eastAsia="Calibri" w:hAnsiTheme="minorHAnsi"/>
                <w:lang w:eastAsia="en-AU"/>
              </w:rPr>
              <w:t xml:space="preserve"> -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0108ED"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0108ED">
              <w:rPr>
                <w:rFonts w:asciiTheme="minorHAnsi" w:eastAsia="Calibri" w:hAnsiTheme="minorHAnsi"/>
                <w:lang w:eastAsia="en-AU"/>
              </w:rPr>
              <w:t xml:space="preserve"> -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0108ED"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0108ED">
              <w:rPr>
                <w:rFonts w:asciiTheme="minorHAnsi" w:eastAsia="Calibri" w:hAnsiTheme="minorHAnsi"/>
                <w:lang w:eastAsia="en-AU"/>
              </w:rPr>
              <w:t xml:space="preserve"> -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0108ED"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0108ED">
              <w:rPr>
                <w:rFonts w:asciiTheme="minorHAnsi" w:eastAsia="Calibri" w:hAnsiTheme="minorHAnsi"/>
                <w:lang w:eastAsia="en-AU"/>
              </w:rPr>
              <w:t xml:space="preserve"> -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0108ED"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lang w:eastAsia="en-AU"/>
              </w:rPr>
            </w:pPr>
            <w:r w:rsidRPr="000108ED">
              <w:rPr>
                <w:rFonts w:asciiTheme="minorHAnsi" w:eastAsia="Calibri" w:hAnsiTheme="minorHAnsi"/>
                <w:b/>
                <w:lang w:eastAsia="en-AU"/>
              </w:rPr>
              <w:t xml:space="preserve"> - </w:t>
            </w:r>
          </w:p>
        </w:tc>
      </w:tr>
      <w:tr w:rsidR="000B5C96" w:rsidRPr="000108ED"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0108ED" w:rsidRDefault="000B5C96" w:rsidP="003F606A">
            <w:pPr>
              <w:keepNext/>
              <w:keepLines/>
              <w:rPr>
                <w:rFonts w:asciiTheme="minorHAnsi" w:hAnsiTheme="minorHAnsi"/>
                <w:b/>
                <w:lang w:eastAsia="en-AU"/>
              </w:rPr>
            </w:pPr>
            <w:r w:rsidRPr="000108ED">
              <w:rPr>
                <w:rFonts w:asciiTheme="minorHAnsi" w:hAnsiTheme="minorHAnsi"/>
                <w:b/>
                <w:lang w:eastAsia="en-AU"/>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0108ED"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0108ED">
              <w:rPr>
                <w:rFonts w:asciiTheme="minorHAnsi" w:eastAsia="Calibri" w:hAnsiTheme="minorHAnsi"/>
                <w:b/>
                <w:iCs/>
                <w:color w:val="000000"/>
                <w:lang w:eastAsia="en-AU"/>
              </w:rPr>
              <w:t xml:space="preserve">-2.0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0108ED"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0108ED">
              <w:rPr>
                <w:rFonts w:asciiTheme="minorHAnsi" w:eastAsia="Calibri" w:hAnsiTheme="minorHAnsi"/>
                <w:b/>
                <w:iCs/>
                <w:color w:val="000000"/>
                <w:lang w:eastAsia="en-AU"/>
              </w:rPr>
              <w:t xml:space="preserve">-2.0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0108ED"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0108ED">
              <w:rPr>
                <w:rFonts w:asciiTheme="minorHAnsi" w:eastAsia="Calibri" w:hAnsiTheme="minorHAnsi"/>
                <w:b/>
                <w:iCs/>
                <w:color w:val="000000"/>
                <w:lang w:eastAsia="en-AU"/>
              </w:rPr>
              <w:t xml:space="preserve">-2.1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0108ED"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0108ED">
              <w:rPr>
                <w:rFonts w:asciiTheme="minorHAnsi" w:eastAsia="Calibri" w:hAnsiTheme="minorHAnsi"/>
                <w:b/>
                <w:iCs/>
                <w:color w:val="000000"/>
                <w:lang w:eastAsia="en-AU"/>
              </w:rPr>
              <w:t xml:space="preserve">-2.1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0108ED"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0108ED">
              <w:rPr>
                <w:rFonts w:asciiTheme="minorHAnsi" w:eastAsia="Calibri" w:hAnsiTheme="minorHAnsi"/>
                <w:b/>
                <w:iCs/>
                <w:color w:val="000000"/>
                <w:lang w:eastAsia="en-AU"/>
              </w:rPr>
              <w:t xml:space="preserve">-8.2 </w:t>
            </w:r>
          </w:p>
        </w:tc>
      </w:tr>
    </w:tbl>
    <w:p w:rsidR="000B5C96" w:rsidRDefault="000B5C96" w:rsidP="00E54AEC">
      <w:pPr>
        <w:pStyle w:val="Footnotes"/>
        <w:numPr>
          <w:ilvl w:val="0"/>
          <w:numId w:val="282"/>
        </w:numPr>
        <w:ind w:left="284" w:hanging="284"/>
      </w:pPr>
      <w:r w:rsidRPr="00CC50F9">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CC50F9" w:rsidRDefault="000B5C96" w:rsidP="000B5C96">
      <w:pPr>
        <w:pStyle w:val="Footnotes"/>
        <w:numPr>
          <w:ilvl w:val="0"/>
          <w:numId w:val="7"/>
        </w:numPr>
        <w:ind w:left="284" w:hanging="284"/>
      </w:pPr>
      <w:r w:rsidRPr="00CC50F9">
        <w:t>Figures may not sum to totals due to rounding.</w:t>
      </w:r>
    </w:p>
    <w:p w:rsidR="000B5C96" w:rsidRPr="00CC50F9" w:rsidRDefault="000B5C96" w:rsidP="000B5C96">
      <w:pPr>
        <w:pStyle w:val="Footnotes"/>
        <w:numPr>
          <w:ilvl w:val="0"/>
          <w:numId w:val="115"/>
        </w:numPr>
        <w:ind w:left="284" w:hanging="284"/>
      </w:pPr>
      <w:r w:rsidRPr="00CC50F9">
        <w:tab/>
        <w:t>Indicates nil.</w:t>
      </w:r>
    </w:p>
    <w:p w:rsidR="000B5C96" w:rsidRPr="00CC50F9" w:rsidRDefault="000B5C96" w:rsidP="003F606A">
      <w:pPr>
        <w:pStyle w:val="Caption"/>
        <w:rPr>
          <w:vertAlign w:val="superscript"/>
        </w:rPr>
      </w:pPr>
      <w:r w:rsidRPr="00CC50F9">
        <w:t>Table A3: Component 2: Provide funding for specialist domestic violence services—Financial implications (outturn prices)</w:t>
      </w:r>
      <w:r w:rsidRPr="00CC50F9">
        <w:rPr>
          <w:vertAlign w:val="superscript"/>
        </w:rPr>
        <w:t>(a)(b)</w:t>
      </w:r>
    </w:p>
    <w:tbl>
      <w:tblPr>
        <w:tblStyle w:val="TableGrid48"/>
        <w:tblW w:w="4995" w:type="pct"/>
        <w:tblInd w:w="0"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10"/>
        <w:gridCol w:w="1101"/>
        <w:gridCol w:w="1101"/>
        <w:gridCol w:w="1103"/>
        <w:gridCol w:w="1103"/>
        <w:gridCol w:w="1297"/>
      </w:tblGrid>
      <w:tr w:rsidR="000B5C96" w:rsidRPr="00CC50F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70"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spacing w:before="70" w:after="70" w:line="240" w:lineRule="auto"/>
              <w:rPr>
                <w:rFonts w:asciiTheme="minorHAnsi" w:eastAsia="Calibri" w:hAnsiTheme="minorHAnsi"/>
                <w:b/>
                <w:lang w:eastAsia="en-AU"/>
              </w:rPr>
            </w:pPr>
            <w:r w:rsidRPr="00CC50F9">
              <w:rPr>
                <w:rFonts w:asciiTheme="minorHAnsi" w:eastAsia="Calibri" w:hAnsiTheme="minorHAnsi"/>
                <w:lang w:eastAsia="en-AU"/>
              </w:rPr>
              <w:t>($m)</w:t>
            </w:r>
          </w:p>
        </w:tc>
        <w:tc>
          <w:tcPr>
            <w:tcW w:w="66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2016–17</w:t>
            </w:r>
          </w:p>
        </w:tc>
        <w:tc>
          <w:tcPr>
            <w:tcW w:w="66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2017–18</w:t>
            </w:r>
          </w:p>
        </w:tc>
        <w:tc>
          <w:tcPr>
            <w:tcW w:w="663"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2018–19</w:t>
            </w:r>
          </w:p>
        </w:tc>
        <w:tc>
          <w:tcPr>
            <w:tcW w:w="663"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2019–20</w:t>
            </w:r>
          </w:p>
        </w:tc>
        <w:tc>
          <w:tcPr>
            <w:tcW w:w="780"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ertAlign w:val="superscript"/>
                <w:lang w:eastAsia="en-AU"/>
              </w:rPr>
            </w:pPr>
            <w:r w:rsidRPr="00CC50F9">
              <w:rPr>
                <w:rFonts w:asciiTheme="minorHAnsi" w:hAnsiTheme="minorHAnsi"/>
                <w:b/>
                <w:lang w:eastAsia="en-AU"/>
              </w:rPr>
              <w:t>Total to 2019–20</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C50F9" w:rsidRDefault="000B5C96" w:rsidP="003F606A">
            <w:pPr>
              <w:keepNext/>
              <w:rPr>
                <w:rFonts w:asciiTheme="minorHAnsi" w:hAnsiTheme="minorHAnsi"/>
                <w:b/>
                <w:lang w:eastAsia="en-AU"/>
              </w:rPr>
            </w:pPr>
            <w:r w:rsidRPr="00CC50F9">
              <w:rPr>
                <w:rFonts w:asciiTheme="minorHAnsi" w:hAnsiTheme="minorHAnsi"/>
                <w:b/>
                <w:lang w:eastAsia="en-AU"/>
              </w:rPr>
              <w:t>Impact on fiscal and underlying cash balances</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7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rPr>
                <w:rFonts w:asciiTheme="minorHAnsi" w:hAnsiTheme="minorHAnsi"/>
                <w:lang w:eastAsia="en-AU"/>
              </w:rPr>
            </w:pPr>
            <w:r w:rsidRPr="00CC50F9">
              <w:rPr>
                <w:rFonts w:asciiTheme="minorHAnsi" w:hAnsiTheme="minorHAnsi"/>
                <w:lang w:eastAsia="en-AU"/>
              </w:rPr>
              <w:t>Administered</w:t>
            </w:r>
          </w:p>
        </w:tc>
        <w:tc>
          <w:tcPr>
            <w:tcW w:w="66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keepNext/>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Cs/>
                <w:color w:val="000000"/>
                <w:lang w:eastAsia="en-AU"/>
              </w:rPr>
            </w:pPr>
            <w:r w:rsidRPr="00CC50F9">
              <w:rPr>
                <w:rFonts w:asciiTheme="minorHAnsi" w:eastAsia="Calibri" w:hAnsiTheme="minorHAnsi"/>
                <w:i/>
                <w:iCs/>
                <w:color w:val="000000"/>
                <w:lang w:eastAsia="en-AU"/>
              </w:rPr>
              <w:t xml:space="preserve">-500.0 </w:t>
            </w:r>
          </w:p>
        </w:tc>
        <w:tc>
          <w:tcPr>
            <w:tcW w:w="66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keepNext/>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lang w:eastAsia="en-AU"/>
              </w:rPr>
            </w:pPr>
            <w:r w:rsidRPr="00CC50F9">
              <w:rPr>
                <w:rFonts w:asciiTheme="minorHAnsi" w:eastAsia="Calibri" w:hAnsiTheme="minorHAnsi"/>
                <w:i/>
                <w:iCs/>
                <w:color w:val="000000"/>
                <w:lang w:eastAsia="en-AU"/>
              </w:rPr>
              <w:t xml:space="preserve">-511.5 </w:t>
            </w:r>
          </w:p>
        </w:tc>
        <w:tc>
          <w:tcPr>
            <w:tcW w:w="663"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keepNext/>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 w:val="24"/>
                <w:szCs w:val="24"/>
                <w:lang w:eastAsia="en-AU"/>
              </w:rPr>
            </w:pPr>
            <w:r w:rsidRPr="00CC50F9">
              <w:rPr>
                <w:rFonts w:asciiTheme="minorHAnsi" w:eastAsia="Calibri" w:hAnsiTheme="minorHAnsi"/>
                <w:i/>
                <w:iCs/>
                <w:color w:val="000000"/>
                <w:lang w:eastAsia="en-AU"/>
              </w:rPr>
              <w:t xml:space="preserve">-523.3 </w:t>
            </w:r>
          </w:p>
        </w:tc>
        <w:tc>
          <w:tcPr>
            <w:tcW w:w="663"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keepNext/>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 w:val="24"/>
                <w:szCs w:val="24"/>
                <w:lang w:eastAsia="en-AU"/>
              </w:rPr>
            </w:pPr>
            <w:r w:rsidRPr="00CC50F9">
              <w:rPr>
                <w:rFonts w:asciiTheme="minorHAnsi" w:eastAsia="Calibri" w:hAnsiTheme="minorHAnsi"/>
                <w:i/>
                <w:iCs/>
                <w:color w:val="000000"/>
                <w:lang w:eastAsia="en-AU"/>
              </w:rPr>
              <w:t xml:space="preserve">-536.3 </w:t>
            </w:r>
          </w:p>
        </w:tc>
        <w:tc>
          <w:tcPr>
            <w:tcW w:w="780"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keepNext/>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i/>
                <w:iCs/>
                <w:color w:val="000000"/>
                <w:sz w:val="24"/>
                <w:szCs w:val="24"/>
                <w:lang w:eastAsia="en-AU"/>
              </w:rPr>
            </w:pPr>
            <w:r w:rsidRPr="00CC50F9">
              <w:rPr>
                <w:rFonts w:asciiTheme="minorHAnsi" w:eastAsia="Calibri" w:hAnsiTheme="minorHAnsi"/>
                <w:b/>
                <w:bCs/>
                <w:i/>
                <w:color w:val="000000"/>
                <w:lang w:eastAsia="en-AU"/>
              </w:rPr>
              <w:t>-2,071.1</w:t>
            </w:r>
            <w:r w:rsidRPr="00CC50F9">
              <w:rPr>
                <w:rFonts w:asciiTheme="minorHAnsi" w:eastAsia="Calibri" w:hAnsiTheme="minorHAnsi"/>
                <w:b/>
                <w:i/>
                <w:iCs/>
                <w:color w:val="000000"/>
                <w:lang w:eastAsia="en-AU"/>
              </w:rPr>
              <w:t xml:space="preserve"> </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7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rPr>
                <w:rFonts w:asciiTheme="minorHAnsi" w:hAnsiTheme="minorHAnsi"/>
                <w:lang w:eastAsia="en-AU"/>
              </w:rPr>
            </w:pPr>
            <w:r w:rsidRPr="00CC50F9">
              <w:rPr>
                <w:rFonts w:asciiTheme="minorHAnsi" w:hAnsiTheme="minorHAnsi"/>
                <w:lang w:eastAsia="en-AU"/>
              </w:rPr>
              <w:t>Departmental</w:t>
            </w:r>
          </w:p>
        </w:tc>
        <w:tc>
          <w:tcPr>
            <w:tcW w:w="66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keepNext/>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Cs/>
                <w:color w:val="000000"/>
                <w:lang w:eastAsia="en-AU"/>
              </w:rPr>
            </w:pPr>
            <w:r w:rsidRPr="00CC50F9">
              <w:rPr>
                <w:rFonts w:asciiTheme="minorHAnsi" w:eastAsia="Calibri" w:hAnsiTheme="minorHAnsi"/>
                <w:i/>
                <w:iCs/>
                <w:color w:val="000000"/>
                <w:lang w:eastAsia="en-AU"/>
              </w:rPr>
              <w:t xml:space="preserve">-0.6 </w:t>
            </w:r>
          </w:p>
        </w:tc>
        <w:tc>
          <w:tcPr>
            <w:tcW w:w="66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keepNext/>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lang w:eastAsia="en-AU"/>
              </w:rPr>
            </w:pPr>
            <w:r w:rsidRPr="00CC50F9">
              <w:rPr>
                <w:rFonts w:asciiTheme="minorHAnsi" w:eastAsia="Calibri" w:hAnsiTheme="minorHAnsi"/>
                <w:i/>
                <w:iCs/>
                <w:color w:val="000000"/>
                <w:lang w:eastAsia="en-AU"/>
              </w:rPr>
              <w:t xml:space="preserve">-0.6 </w:t>
            </w:r>
          </w:p>
        </w:tc>
        <w:tc>
          <w:tcPr>
            <w:tcW w:w="663"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keepNext/>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 w:val="24"/>
                <w:szCs w:val="24"/>
                <w:lang w:eastAsia="en-AU"/>
              </w:rPr>
            </w:pPr>
            <w:r w:rsidRPr="00CC50F9">
              <w:rPr>
                <w:rFonts w:asciiTheme="minorHAnsi" w:eastAsia="Calibri" w:hAnsiTheme="minorHAnsi"/>
                <w:i/>
                <w:iCs/>
                <w:color w:val="000000"/>
                <w:lang w:eastAsia="en-AU"/>
              </w:rPr>
              <w:t xml:space="preserve">-0.6 </w:t>
            </w:r>
          </w:p>
        </w:tc>
        <w:tc>
          <w:tcPr>
            <w:tcW w:w="663"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keepNext/>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 w:val="24"/>
                <w:szCs w:val="24"/>
                <w:lang w:eastAsia="en-AU"/>
              </w:rPr>
            </w:pPr>
            <w:r w:rsidRPr="00CC50F9">
              <w:rPr>
                <w:rFonts w:asciiTheme="minorHAnsi" w:eastAsia="Calibri" w:hAnsiTheme="minorHAnsi"/>
                <w:i/>
                <w:iCs/>
                <w:color w:val="000000"/>
                <w:lang w:eastAsia="en-AU"/>
              </w:rPr>
              <w:t xml:space="preserve">-0.6 </w:t>
            </w:r>
          </w:p>
        </w:tc>
        <w:tc>
          <w:tcPr>
            <w:tcW w:w="780"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keepNext/>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
                <w:iCs/>
                <w:color w:val="000000"/>
                <w:sz w:val="24"/>
                <w:szCs w:val="24"/>
                <w:lang w:eastAsia="en-AU"/>
              </w:rPr>
            </w:pPr>
            <w:r w:rsidRPr="00CC50F9">
              <w:rPr>
                <w:rFonts w:asciiTheme="minorHAnsi" w:eastAsia="Calibri" w:hAnsiTheme="minorHAnsi"/>
                <w:b/>
                <w:i/>
                <w:iCs/>
                <w:color w:val="000000"/>
                <w:lang w:eastAsia="en-AU"/>
              </w:rPr>
              <w:t xml:space="preserve">-2.4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7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C50F9" w:rsidRDefault="000B5C96" w:rsidP="003F606A">
            <w:pPr>
              <w:keepNext/>
              <w:rPr>
                <w:rFonts w:asciiTheme="minorHAnsi" w:hAnsiTheme="minorHAnsi"/>
                <w:b/>
                <w:lang w:eastAsia="en-AU"/>
              </w:rPr>
            </w:pPr>
            <w:r w:rsidRPr="00CC50F9">
              <w:rPr>
                <w:rFonts w:asciiTheme="minorHAnsi" w:hAnsiTheme="minorHAnsi"/>
                <w:b/>
                <w:lang w:eastAsia="en-AU"/>
              </w:rPr>
              <w:t>Total</w:t>
            </w:r>
          </w:p>
        </w:tc>
        <w:tc>
          <w:tcPr>
            <w:tcW w:w="66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bCs/>
                <w:i/>
                <w:color w:val="000000"/>
                <w:lang w:eastAsia="en-AU"/>
              </w:rPr>
            </w:pPr>
            <w:r w:rsidRPr="00CC50F9">
              <w:rPr>
                <w:rFonts w:asciiTheme="minorHAnsi" w:eastAsia="Calibri" w:hAnsiTheme="minorHAnsi"/>
                <w:b/>
                <w:bCs/>
                <w:color w:val="000000"/>
                <w:lang w:eastAsia="en-AU"/>
              </w:rPr>
              <w:t xml:space="preserve">-500.6 </w:t>
            </w:r>
          </w:p>
        </w:tc>
        <w:tc>
          <w:tcPr>
            <w:tcW w:w="66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bCs/>
                <w:color w:val="000000"/>
                <w:lang w:eastAsia="en-AU"/>
              </w:rPr>
            </w:pPr>
            <w:r w:rsidRPr="00CC50F9">
              <w:rPr>
                <w:rFonts w:asciiTheme="minorHAnsi" w:eastAsia="Calibri" w:hAnsiTheme="minorHAnsi"/>
                <w:b/>
                <w:bCs/>
                <w:color w:val="000000"/>
                <w:lang w:eastAsia="en-AU"/>
              </w:rPr>
              <w:t xml:space="preserve">-512.1 </w:t>
            </w:r>
          </w:p>
        </w:tc>
        <w:tc>
          <w:tcPr>
            <w:tcW w:w="663"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bCs/>
                <w:color w:val="000000"/>
                <w:sz w:val="24"/>
                <w:szCs w:val="24"/>
                <w:lang w:eastAsia="en-AU"/>
              </w:rPr>
            </w:pPr>
            <w:r w:rsidRPr="00CC50F9">
              <w:rPr>
                <w:rFonts w:asciiTheme="minorHAnsi" w:eastAsia="Calibri" w:hAnsiTheme="minorHAnsi"/>
                <w:b/>
                <w:bCs/>
                <w:color w:val="000000"/>
                <w:lang w:eastAsia="en-AU"/>
              </w:rPr>
              <w:t xml:space="preserve">-523.9 </w:t>
            </w:r>
          </w:p>
        </w:tc>
        <w:tc>
          <w:tcPr>
            <w:tcW w:w="663"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bCs/>
                <w:color w:val="000000"/>
                <w:sz w:val="24"/>
                <w:szCs w:val="24"/>
                <w:lang w:eastAsia="en-AU"/>
              </w:rPr>
            </w:pPr>
            <w:r w:rsidRPr="00CC50F9">
              <w:rPr>
                <w:rFonts w:asciiTheme="minorHAnsi" w:eastAsia="Calibri" w:hAnsiTheme="minorHAnsi"/>
                <w:b/>
                <w:bCs/>
                <w:color w:val="000000"/>
                <w:lang w:eastAsia="en-AU"/>
              </w:rPr>
              <w:t xml:space="preserve">-536.9 </w:t>
            </w:r>
          </w:p>
        </w:tc>
        <w:tc>
          <w:tcPr>
            <w:tcW w:w="780"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bCs/>
                <w:color w:val="000000"/>
                <w:sz w:val="24"/>
                <w:szCs w:val="24"/>
                <w:lang w:eastAsia="en-AU"/>
              </w:rPr>
            </w:pPr>
            <w:r w:rsidRPr="00CC50F9">
              <w:rPr>
                <w:rFonts w:asciiTheme="minorHAnsi" w:eastAsia="Calibri" w:hAnsiTheme="minorHAnsi"/>
                <w:b/>
                <w:bCs/>
                <w:color w:val="000000"/>
                <w:lang w:eastAsia="en-AU"/>
              </w:rPr>
              <w:t xml:space="preserve">-2,073.5 </w:t>
            </w:r>
          </w:p>
        </w:tc>
      </w:tr>
    </w:tbl>
    <w:p w:rsidR="000B5C96" w:rsidRDefault="000B5C96" w:rsidP="00E54AEC">
      <w:pPr>
        <w:pStyle w:val="Footnotes"/>
        <w:numPr>
          <w:ilvl w:val="0"/>
          <w:numId w:val="283"/>
        </w:numPr>
        <w:ind w:left="284" w:hanging="284"/>
      </w:pPr>
      <w:r w:rsidRPr="00CC50F9">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CC50F9" w:rsidRDefault="000B5C96" w:rsidP="000B5C96">
      <w:pPr>
        <w:pStyle w:val="Footnotes"/>
        <w:numPr>
          <w:ilvl w:val="0"/>
          <w:numId w:val="7"/>
        </w:numPr>
        <w:ind w:left="284" w:hanging="284"/>
      </w:pPr>
      <w:r w:rsidRPr="00CC50F9">
        <w:t>Figures may not sum to totals due to rounding.</w:t>
      </w:r>
    </w:p>
    <w:p w:rsidR="000B5C96" w:rsidRPr="00CC50F9" w:rsidRDefault="000B5C96" w:rsidP="003F606A">
      <w:pPr>
        <w:keepNext/>
        <w:spacing w:before="340" w:after="114"/>
        <w:rPr>
          <w:rFonts w:ascii="Calibri" w:eastAsia="Calibri" w:hAnsi="Calibri" w:cs="Times New Roman"/>
          <w:b/>
          <w:bCs/>
          <w:color w:val="1F497D"/>
          <w:spacing w:val="-4"/>
          <w:vertAlign w:val="superscript"/>
        </w:rPr>
      </w:pPr>
      <w:r w:rsidRPr="00CC50F9">
        <w:rPr>
          <w:rFonts w:ascii="Calibri" w:eastAsia="Calibri" w:hAnsi="Calibri" w:cs="Times New Roman"/>
          <w:b/>
          <w:bCs/>
          <w:color w:val="1F497D"/>
          <w:spacing w:val="-4"/>
        </w:rPr>
        <w:t>Table A4: Component 3: Establish specialist domestic violence courts—Financial implications (outturn prices)</w:t>
      </w:r>
      <w:r w:rsidRPr="00CC50F9">
        <w:rPr>
          <w:rFonts w:ascii="Calibri" w:eastAsia="Calibri" w:hAnsi="Calibri" w:cs="Times New Roman"/>
          <w:b/>
          <w:bCs/>
          <w:color w:val="1F497D"/>
          <w:spacing w:val="-4"/>
          <w:vertAlign w:val="superscript"/>
        </w:rPr>
        <w:t>(a)(b)</w:t>
      </w:r>
    </w:p>
    <w:tbl>
      <w:tblPr>
        <w:tblStyle w:val="TableGrid48"/>
        <w:tblW w:w="4995" w:type="pct"/>
        <w:tblInd w:w="0"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CC50F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rPr>
                <w:rFonts w:asciiTheme="minorHAnsi" w:eastAsia="Calibri" w:hAnsiTheme="minorHAnsi"/>
                <w:b/>
                <w:lang w:eastAsia="en-AU"/>
              </w:rPr>
            </w:pPr>
            <w:r w:rsidRPr="00CC50F9">
              <w:rPr>
                <w:rFonts w:asciiTheme="minorHAnsi" w:eastAsia="Calibri" w:hAnsiTheme="minorHAnsi"/>
                <w:lang w:eastAsia="en-AU"/>
              </w:rPr>
              <w:t>($m)</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2016–17</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2017–18</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2018–19</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2019–20</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ertAlign w:val="superscript"/>
                <w:lang w:eastAsia="en-AU"/>
              </w:rPr>
            </w:pPr>
            <w:r w:rsidRPr="00CC50F9">
              <w:rPr>
                <w:rFonts w:asciiTheme="minorHAnsi" w:hAnsiTheme="minorHAnsi"/>
                <w:b/>
                <w:lang w:eastAsia="en-AU"/>
              </w:rPr>
              <w:t>Total to 2019–20</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Impact on fiscal and underlying cash balances</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Administered</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noProof/>
                <w:lang w:eastAsia="en-AU"/>
              </w:rPr>
            </w:pPr>
            <w:r w:rsidRPr="00CC50F9">
              <w:rPr>
                <w:rFonts w:asciiTheme="minorHAnsi" w:eastAsia="Calibri" w:hAnsiTheme="minorHAnsi"/>
                <w:i/>
                <w:noProof/>
                <w:lang w:eastAsia="en-AU"/>
              </w:rPr>
              <w:t>-10.0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noProof/>
                <w:lang w:eastAsia="en-AU"/>
              </w:rPr>
            </w:pPr>
            <w:r w:rsidRPr="00CC50F9">
              <w:rPr>
                <w:rFonts w:asciiTheme="minorHAnsi" w:eastAsia="Calibri" w:hAnsiTheme="minorHAnsi"/>
                <w:i/>
                <w:noProof/>
                <w:lang w:eastAsia="en-AU"/>
              </w:rPr>
              <w:t>-10.2</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lang w:eastAsia="en-AU"/>
              </w:rPr>
            </w:pPr>
            <w:r w:rsidRPr="00CC50F9">
              <w:rPr>
                <w:rFonts w:asciiTheme="minorHAnsi" w:eastAsia="Calibri" w:hAnsiTheme="minorHAnsi"/>
                <w:noProof/>
                <w:lang w:eastAsia="en-AU"/>
              </w:rPr>
              <w:t xml:space="preserve">-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lang w:eastAsia="en-AU"/>
              </w:rPr>
            </w:pPr>
            <w:r w:rsidRPr="00CC50F9">
              <w:rPr>
                <w:rFonts w:asciiTheme="minorHAnsi" w:eastAsia="Calibri" w:hAnsiTheme="minorHAnsi"/>
                <w:noProof/>
                <w:lang w:eastAsia="en-AU"/>
              </w:rPr>
              <w:t xml:space="preserve">-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i/>
                <w:noProof/>
                <w:lang w:eastAsia="en-AU"/>
              </w:rPr>
            </w:pPr>
            <w:r w:rsidRPr="00CC50F9">
              <w:rPr>
                <w:rFonts w:asciiTheme="minorHAnsi" w:eastAsia="Calibri" w:hAnsiTheme="minorHAnsi"/>
                <w:b/>
                <w:i/>
                <w:noProof/>
                <w:lang w:eastAsia="en-AU"/>
              </w:rPr>
              <w:t xml:space="preserve">-20.2 </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Departmental</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noProof/>
                <w:lang w:eastAsia="en-AU"/>
              </w:rPr>
            </w:pPr>
            <w:r w:rsidRPr="00CC50F9">
              <w:rPr>
                <w:rFonts w:asciiTheme="minorHAnsi" w:eastAsia="Calibri" w:hAnsiTheme="minorHAnsi"/>
                <w:i/>
                <w:noProof/>
                <w:lang w:eastAsia="en-AU"/>
              </w:rPr>
              <w:t>-0.1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noProof/>
                <w:lang w:eastAsia="en-AU"/>
              </w:rPr>
            </w:pPr>
            <w:r w:rsidRPr="00CC50F9">
              <w:rPr>
                <w:rFonts w:asciiTheme="minorHAnsi" w:eastAsia="Calibri" w:hAnsiTheme="minorHAnsi"/>
                <w:i/>
                <w:noProof/>
                <w:lang w:eastAsia="en-AU"/>
              </w:rPr>
              <w:t>-0.1</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lang w:eastAsia="en-AU"/>
              </w:rPr>
            </w:pPr>
            <w:r w:rsidRPr="00CC50F9">
              <w:rPr>
                <w:rFonts w:asciiTheme="minorHAnsi" w:eastAsia="Calibri" w:hAnsiTheme="minorHAnsi"/>
                <w:noProof/>
                <w:lang w:eastAsia="en-AU"/>
              </w:rPr>
              <w:t xml:space="preserve">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lang w:eastAsia="en-AU"/>
              </w:rPr>
            </w:pPr>
            <w:r w:rsidRPr="00CC50F9">
              <w:rPr>
                <w:rFonts w:asciiTheme="minorHAnsi" w:eastAsia="Calibri" w:hAnsiTheme="minorHAnsi"/>
                <w:noProof/>
                <w:lang w:eastAsia="en-AU"/>
              </w:rPr>
              <w:t xml:space="preserve"> -</w:t>
            </w:r>
          </w:p>
        </w:tc>
        <w:tc>
          <w:tcPr>
            <w:tcW w:w="682" w:type="pct"/>
            <w:tcBorders>
              <w:top w:val="single" w:sz="4" w:space="0" w:color="788184"/>
              <w:left w:val="single" w:sz="4" w:space="0" w:color="788184"/>
              <w:bottom w:val="single" w:sz="4" w:space="0" w:color="788184"/>
              <w:right w:val="single" w:sz="4" w:space="0" w:color="788184"/>
            </w:tcBorders>
            <w:vAlign w:val="bottom"/>
            <w:hideMark/>
          </w:tcPr>
          <w:p w:rsidR="000B5C96" w:rsidRPr="00CC50F9"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
                <w:noProof/>
                <w:lang w:eastAsia="en-AU"/>
              </w:rPr>
            </w:pPr>
            <w:r w:rsidRPr="00CC50F9">
              <w:rPr>
                <w:rFonts w:asciiTheme="minorHAnsi" w:eastAsia="Calibri" w:hAnsiTheme="minorHAnsi"/>
                <w:b/>
                <w:i/>
                <w:noProof/>
                <w:lang w:eastAsia="en-AU"/>
              </w:rPr>
              <w:t xml:space="preserve"> -0.2</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lang w:eastAsia="en-AU"/>
              </w:rPr>
            </w:pPr>
            <w:r w:rsidRPr="00CC50F9">
              <w:rPr>
                <w:rFonts w:asciiTheme="minorHAnsi" w:eastAsia="Calibri" w:hAnsiTheme="minorHAnsi"/>
                <w:b/>
                <w:noProof/>
                <w:lang w:eastAsia="en-AU"/>
              </w:rPr>
              <w:t>-10.1</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lang w:eastAsia="en-AU"/>
              </w:rPr>
            </w:pPr>
            <w:r w:rsidRPr="00CC50F9">
              <w:rPr>
                <w:rFonts w:asciiTheme="minorHAnsi" w:eastAsia="Calibri" w:hAnsiTheme="minorHAnsi"/>
                <w:b/>
                <w:noProof/>
                <w:lang w:eastAsia="en-AU"/>
              </w:rPr>
              <w:t>-10.3</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lang w:eastAsia="en-AU"/>
              </w:rPr>
            </w:pPr>
            <w:r w:rsidRPr="00CC50F9">
              <w:rPr>
                <w:rFonts w:asciiTheme="minorHAnsi" w:eastAsia="Calibri" w:hAnsiTheme="minorHAnsi"/>
                <w:b/>
                <w:noProof/>
                <w:lang w:eastAsia="en-AU"/>
              </w:rPr>
              <w:t xml:space="preserve">-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lang w:eastAsia="en-AU"/>
              </w:rPr>
            </w:pPr>
            <w:r w:rsidRPr="00CC50F9">
              <w:rPr>
                <w:rFonts w:asciiTheme="minorHAnsi" w:eastAsia="Calibri" w:hAnsiTheme="minorHAnsi"/>
                <w:b/>
                <w:noProof/>
                <w:lang w:eastAsia="en-AU"/>
              </w:rPr>
              <w:t xml:space="preserve">-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lang w:eastAsia="en-AU"/>
              </w:rPr>
            </w:pPr>
            <w:r w:rsidRPr="00CC50F9">
              <w:rPr>
                <w:rFonts w:asciiTheme="minorHAnsi" w:eastAsia="Calibri" w:hAnsiTheme="minorHAnsi"/>
                <w:b/>
                <w:noProof/>
                <w:lang w:eastAsia="en-AU"/>
              </w:rPr>
              <w:t xml:space="preserve">-20.4 </w:t>
            </w:r>
          </w:p>
        </w:tc>
      </w:tr>
    </w:tbl>
    <w:p w:rsidR="000B5C96" w:rsidRDefault="000B5C96" w:rsidP="00E54AEC">
      <w:pPr>
        <w:pStyle w:val="Footnotes"/>
        <w:numPr>
          <w:ilvl w:val="0"/>
          <w:numId w:val="284"/>
        </w:numPr>
        <w:ind w:left="284" w:hanging="284"/>
      </w:pPr>
      <w:r w:rsidRPr="00CC50F9">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CC50F9" w:rsidRDefault="000B5C96" w:rsidP="000B5C96">
      <w:pPr>
        <w:pStyle w:val="Footnotes"/>
        <w:numPr>
          <w:ilvl w:val="0"/>
          <w:numId w:val="7"/>
        </w:numPr>
        <w:ind w:left="284" w:hanging="284"/>
      </w:pPr>
      <w:r w:rsidRPr="00CC50F9">
        <w:t>Figures may not sum to totals due to rounding.</w:t>
      </w:r>
    </w:p>
    <w:p w:rsidR="000B5C96" w:rsidRPr="00CC50F9" w:rsidRDefault="000B5C96" w:rsidP="000B5C96">
      <w:pPr>
        <w:pStyle w:val="Footnotes"/>
        <w:numPr>
          <w:ilvl w:val="0"/>
          <w:numId w:val="115"/>
        </w:numPr>
        <w:ind w:left="284" w:hanging="284"/>
      </w:pPr>
      <w:r w:rsidRPr="00CC50F9">
        <w:tab/>
        <w:t>Indicates nil.</w:t>
      </w:r>
    </w:p>
    <w:p w:rsidR="000B5C96" w:rsidRPr="00CC50F9" w:rsidRDefault="000B5C96" w:rsidP="003F606A">
      <w:pPr>
        <w:pStyle w:val="Caption"/>
        <w:rPr>
          <w:vertAlign w:val="superscript"/>
        </w:rPr>
      </w:pPr>
      <w:r w:rsidRPr="00CC50F9">
        <w:t>Table A5: Component 4: Making our family law system safe—Financial implications (outturn prices)</w:t>
      </w:r>
      <w:r w:rsidRPr="00CC50F9">
        <w:rPr>
          <w:vertAlign w:val="superscript"/>
        </w:rPr>
        <w:t>(a)(b)</w:t>
      </w:r>
    </w:p>
    <w:tbl>
      <w:tblPr>
        <w:tblStyle w:val="TableGrid48"/>
        <w:tblW w:w="4995" w:type="pct"/>
        <w:tblInd w:w="0"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CC50F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rPr>
                <w:rFonts w:asciiTheme="minorHAnsi" w:eastAsia="Calibri" w:hAnsiTheme="minorHAnsi"/>
                <w:b/>
                <w:lang w:eastAsia="en-AU"/>
              </w:rPr>
            </w:pPr>
            <w:r w:rsidRPr="00CC50F9">
              <w:rPr>
                <w:rFonts w:asciiTheme="minorHAnsi" w:eastAsia="Calibri" w:hAnsiTheme="minorHAnsi"/>
                <w:lang w:eastAsia="en-AU"/>
              </w:rPr>
              <w:t>($m)</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2016–17</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2017–18</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2018–19</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2019–20</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ertAlign w:val="superscript"/>
                <w:lang w:eastAsia="en-AU"/>
              </w:rPr>
            </w:pPr>
            <w:r w:rsidRPr="00CC50F9">
              <w:rPr>
                <w:rFonts w:asciiTheme="minorHAnsi" w:hAnsiTheme="minorHAnsi"/>
                <w:b/>
                <w:lang w:eastAsia="en-AU"/>
              </w:rPr>
              <w:t>Total to 2019–20</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Impact on fiscal and underlying cash balances</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Administered</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Create special processes in family courts for domestic violence cases</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 xml:space="preserve">-5.0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 xml:space="preserve">-5.1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 xml:space="preserve">-5.2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 xml:space="preserve">-5.4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
                <w:noProof/>
                <w:szCs w:val="20"/>
                <w:lang w:eastAsia="en-AU"/>
              </w:rPr>
            </w:pPr>
            <w:r w:rsidRPr="00CC50F9">
              <w:rPr>
                <w:rFonts w:asciiTheme="minorHAnsi" w:eastAsia="Calibri" w:hAnsiTheme="minorHAnsi"/>
                <w:b/>
                <w:i/>
                <w:noProof/>
                <w:szCs w:val="20"/>
                <w:lang w:eastAsia="en-AU"/>
              </w:rPr>
              <w:t xml:space="preserve">-20.7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Provide legally assisted and supported family dispute resolution</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 xml:space="preserve">-10.0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 xml:space="preserve">-10.2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 xml:space="preserve">-10.5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 xml:space="preserve">-10.7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i/>
                <w:noProof/>
                <w:szCs w:val="20"/>
                <w:lang w:eastAsia="en-AU"/>
              </w:rPr>
            </w:pPr>
            <w:r w:rsidRPr="00CC50F9">
              <w:rPr>
                <w:rFonts w:asciiTheme="minorHAnsi" w:eastAsia="Calibri" w:hAnsiTheme="minorHAnsi"/>
                <w:b/>
                <w:i/>
                <w:noProof/>
                <w:szCs w:val="20"/>
                <w:lang w:eastAsia="en-AU"/>
              </w:rPr>
              <w:t xml:space="preserve">-41.4 </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Total - administered</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-15.0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-15.3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-15.7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-16.1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-62.1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C50F9" w:rsidRDefault="000B5C96" w:rsidP="003F606A">
            <w:pPr>
              <w:keepNext/>
              <w:keepLines/>
              <w:rPr>
                <w:rFonts w:asciiTheme="minorHAnsi" w:eastAsia="Calibri" w:hAnsiTheme="minorHAnsi"/>
                <w:b/>
                <w:noProof/>
                <w:lang w:eastAsia="en-AU"/>
              </w:rPr>
            </w:pPr>
            <w:r w:rsidRPr="00CC50F9">
              <w:rPr>
                <w:rFonts w:asciiTheme="minorHAnsi" w:eastAsia="Calibri" w:hAnsiTheme="minorHAnsi"/>
                <w:b/>
                <w:noProof/>
                <w:lang w:eastAsia="en-AU"/>
              </w:rPr>
              <w:t>Departmental</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Create special processes in family courts for domestic violence cases</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-0.1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-0.1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-0.1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-0.1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
                <w:noProof/>
                <w:szCs w:val="20"/>
                <w:lang w:eastAsia="en-AU"/>
              </w:rPr>
            </w:pPr>
            <w:r w:rsidRPr="00CC50F9">
              <w:rPr>
                <w:rFonts w:asciiTheme="minorHAnsi" w:eastAsia="Calibri" w:hAnsiTheme="minorHAnsi"/>
                <w:b/>
                <w:i/>
                <w:noProof/>
                <w:szCs w:val="20"/>
                <w:lang w:eastAsia="en-AU"/>
              </w:rPr>
              <w:t xml:space="preserve">-0.4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Provide legally assisted and supported family dispute resolution</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-0.1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-0.1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-0.1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noProof/>
                <w:szCs w:val="20"/>
                <w:lang w:eastAsia="en-AU"/>
              </w:rPr>
            </w:pPr>
            <w:r w:rsidRPr="00CC50F9">
              <w:rPr>
                <w:rFonts w:asciiTheme="minorHAnsi" w:eastAsia="Calibri" w:hAnsiTheme="minorHAnsi"/>
                <w:i/>
                <w:noProof/>
                <w:szCs w:val="20"/>
                <w:lang w:eastAsia="en-AU"/>
              </w:rPr>
              <w:t>-0.1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i/>
                <w:noProof/>
                <w:szCs w:val="20"/>
                <w:lang w:eastAsia="en-AU"/>
              </w:rPr>
            </w:pPr>
            <w:r w:rsidRPr="00CC50F9">
              <w:rPr>
                <w:rFonts w:asciiTheme="minorHAnsi" w:eastAsia="Calibri" w:hAnsiTheme="minorHAnsi"/>
                <w:b/>
                <w:i/>
                <w:noProof/>
                <w:szCs w:val="20"/>
                <w:lang w:eastAsia="en-AU"/>
              </w:rPr>
              <w:t>-0.4</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Total - departmental</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-0.2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-0.2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-0.2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-0.2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-0.9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-15.2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-15.5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-15.9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-16.3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-62.9 </w:t>
            </w:r>
          </w:p>
        </w:tc>
      </w:tr>
    </w:tbl>
    <w:p w:rsidR="000B5C96" w:rsidRDefault="000B5C96" w:rsidP="00E54AEC">
      <w:pPr>
        <w:pStyle w:val="Footnotes"/>
        <w:numPr>
          <w:ilvl w:val="0"/>
          <w:numId w:val="285"/>
        </w:numPr>
        <w:ind w:left="284" w:hanging="284"/>
      </w:pPr>
      <w:r w:rsidRPr="00CC50F9">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CC50F9" w:rsidRDefault="000B5C96" w:rsidP="000B5C96">
      <w:pPr>
        <w:pStyle w:val="Footnotes"/>
        <w:numPr>
          <w:ilvl w:val="0"/>
          <w:numId w:val="7"/>
        </w:numPr>
        <w:ind w:left="284" w:hanging="284"/>
      </w:pPr>
      <w:r w:rsidRPr="00CC50F9">
        <w:t>Figures may not sum to totals due to rounding.</w:t>
      </w:r>
    </w:p>
    <w:p w:rsidR="000B5C96" w:rsidRDefault="000B5C96" w:rsidP="000B5C96">
      <w:pPr>
        <w:pStyle w:val="Footnotes"/>
        <w:numPr>
          <w:ilvl w:val="0"/>
          <w:numId w:val="115"/>
        </w:numPr>
        <w:ind w:left="284" w:hanging="284"/>
      </w:pPr>
      <w:r w:rsidRPr="00CC50F9">
        <w:tab/>
        <w:t>Indicates nil.</w:t>
      </w:r>
    </w:p>
    <w:p w:rsidR="000B5C96" w:rsidRPr="00CC50F9" w:rsidRDefault="000B5C96" w:rsidP="003F606A">
      <w:pPr>
        <w:pStyle w:val="Caption"/>
        <w:rPr>
          <w:vertAlign w:val="superscript"/>
        </w:rPr>
      </w:pPr>
      <w:r w:rsidRPr="00CC50F9">
        <w:t>Table A6: Component 5: Primary prevention and gender equality—Financial implications (outturn prices)</w:t>
      </w:r>
      <w:r w:rsidRPr="00CC50F9">
        <w:rPr>
          <w:vertAlign w:val="superscript"/>
        </w:rPr>
        <w:t>(a)(b)</w:t>
      </w:r>
    </w:p>
    <w:tbl>
      <w:tblPr>
        <w:tblStyle w:val="TableGrid48"/>
        <w:tblW w:w="4995" w:type="pct"/>
        <w:tblInd w:w="0"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CC50F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rPr>
                <w:rFonts w:asciiTheme="minorHAnsi" w:eastAsia="Calibri" w:hAnsiTheme="minorHAnsi"/>
                <w:b/>
                <w:lang w:eastAsia="en-AU"/>
              </w:rPr>
            </w:pPr>
            <w:r w:rsidRPr="00CC50F9">
              <w:rPr>
                <w:rFonts w:asciiTheme="minorHAnsi" w:eastAsia="Calibri" w:hAnsiTheme="minorHAnsi"/>
                <w:lang w:eastAsia="en-AU"/>
              </w:rPr>
              <w:t>($m)</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2016–17</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2017–18</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2018–19</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C50F9">
              <w:rPr>
                <w:rFonts w:asciiTheme="minorHAnsi" w:hAnsiTheme="minorHAnsi"/>
                <w:lang w:eastAsia="en-AU"/>
              </w:rPr>
              <w:t>2019–20</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C50F9"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ertAlign w:val="superscript"/>
                <w:lang w:eastAsia="en-AU"/>
              </w:rPr>
            </w:pPr>
            <w:r w:rsidRPr="00CC50F9">
              <w:rPr>
                <w:rFonts w:asciiTheme="minorHAnsi" w:hAnsiTheme="minorHAnsi"/>
                <w:b/>
                <w:lang w:eastAsia="en-AU"/>
              </w:rPr>
              <w:t>Total to 2019–20</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Impact on fiscal and underlying cash balances</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Administered</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 xml:space="preserve">Expand funding for </w:t>
            </w:r>
            <w:r w:rsidRPr="00CC50F9">
              <w:rPr>
                <w:rFonts w:asciiTheme="minorHAnsi" w:hAnsiTheme="minorHAnsi"/>
                <w:i/>
                <w:lang w:eastAsia="en-AU"/>
              </w:rPr>
              <w:t>Our Watch</w:t>
            </w:r>
            <w:r w:rsidRPr="00CC50F9">
              <w:rPr>
                <w:rFonts w:asciiTheme="minorHAnsi" w:hAnsiTheme="minorHAnsi"/>
                <w:lang w:eastAsia="en-AU"/>
              </w:rPr>
              <w:t xml:space="preserve"> until 2022</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-1.0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-1.0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-1.0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-1.1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
                <w:iCs/>
                <w:color w:val="000000"/>
                <w:szCs w:val="20"/>
                <w:lang w:eastAsia="en-AU"/>
              </w:rPr>
            </w:pPr>
            <w:r w:rsidRPr="00CC50F9">
              <w:rPr>
                <w:rFonts w:asciiTheme="minorHAnsi" w:eastAsia="Calibri" w:hAnsiTheme="minorHAnsi"/>
                <w:b/>
                <w:i/>
                <w:iCs/>
                <w:color w:val="000000"/>
                <w:szCs w:val="20"/>
                <w:lang w:eastAsia="en-AU"/>
              </w:rPr>
              <w:t xml:space="preserve">-4.1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 xml:space="preserve">Additional funding for </w:t>
            </w:r>
            <w:r w:rsidRPr="00CC50F9">
              <w:rPr>
                <w:rFonts w:asciiTheme="minorHAnsi" w:hAnsiTheme="minorHAnsi"/>
                <w:i/>
                <w:lang w:eastAsia="en-AU"/>
              </w:rPr>
              <w:t>The Line</w:t>
            </w:r>
            <w:r w:rsidRPr="00CC50F9">
              <w:rPr>
                <w:rFonts w:asciiTheme="minorHAnsi" w:hAnsiTheme="minorHAnsi"/>
                <w:lang w:eastAsia="en-AU"/>
              </w:rPr>
              <w:t xml:space="preserve"> social marketing campaign</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-2.0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-2.0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-2.1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-2.1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i/>
                <w:iCs/>
                <w:color w:val="000000"/>
                <w:szCs w:val="20"/>
                <w:lang w:eastAsia="en-AU"/>
              </w:rPr>
            </w:pPr>
            <w:r w:rsidRPr="00CC50F9">
              <w:rPr>
                <w:rFonts w:asciiTheme="minorHAnsi" w:eastAsia="Calibri" w:hAnsiTheme="minorHAnsi"/>
                <w:b/>
                <w:i/>
                <w:iCs/>
                <w:color w:val="000000"/>
                <w:szCs w:val="20"/>
                <w:lang w:eastAsia="en-AU"/>
              </w:rPr>
              <w:t xml:space="preserve">-8.3 </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National rollout of respectful relationships</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-2.5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-2.6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-2.6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-2.7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
                <w:iCs/>
                <w:color w:val="000000"/>
                <w:szCs w:val="20"/>
                <w:lang w:eastAsia="en-AU"/>
              </w:rPr>
            </w:pPr>
            <w:r w:rsidRPr="00CC50F9">
              <w:rPr>
                <w:rFonts w:asciiTheme="minorHAnsi" w:eastAsia="Calibri" w:hAnsiTheme="minorHAnsi"/>
                <w:b/>
                <w:i/>
                <w:iCs/>
                <w:color w:val="000000"/>
                <w:szCs w:val="20"/>
                <w:lang w:eastAsia="en-AU"/>
              </w:rPr>
              <w:t xml:space="preserve">-10.4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Building an expert primary prevention workforce</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-3.0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-3.1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-3.1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-3.2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i/>
                <w:iCs/>
                <w:color w:val="000000"/>
                <w:szCs w:val="20"/>
                <w:lang w:eastAsia="en-AU"/>
              </w:rPr>
            </w:pPr>
            <w:r w:rsidRPr="00CC50F9">
              <w:rPr>
                <w:rFonts w:asciiTheme="minorHAnsi" w:eastAsia="Calibri" w:hAnsiTheme="minorHAnsi"/>
                <w:b/>
                <w:i/>
                <w:iCs/>
                <w:color w:val="000000"/>
                <w:szCs w:val="20"/>
                <w:lang w:eastAsia="en-AU"/>
              </w:rPr>
              <w:t xml:space="preserve">-12.4 </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Total - administered</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Cs/>
                <w:color w:val="000000"/>
                <w:szCs w:val="20"/>
                <w:lang w:eastAsia="en-AU"/>
              </w:rPr>
            </w:pPr>
            <w:r w:rsidRPr="00CC50F9">
              <w:rPr>
                <w:rFonts w:asciiTheme="minorHAnsi" w:eastAsia="Calibri" w:hAnsiTheme="minorHAnsi"/>
                <w:b/>
                <w:iCs/>
                <w:color w:val="000000"/>
                <w:szCs w:val="20"/>
                <w:lang w:eastAsia="en-AU"/>
              </w:rPr>
              <w:t xml:space="preserve">-8.5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Cs/>
                <w:color w:val="000000"/>
                <w:szCs w:val="20"/>
                <w:lang w:eastAsia="en-AU"/>
              </w:rPr>
            </w:pPr>
            <w:r w:rsidRPr="00CC50F9">
              <w:rPr>
                <w:rFonts w:asciiTheme="minorHAnsi" w:eastAsia="Calibri" w:hAnsiTheme="minorHAnsi"/>
                <w:b/>
                <w:iCs/>
                <w:color w:val="000000"/>
                <w:szCs w:val="20"/>
                <w:lang w:eastAsia="en-AU"/>
              </w:rPr>
              <w:t xml:space="preserve">-8.7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Cs/>
                <w:color w:val="000000"/>
                <w:szCs w:val="20"/>
                <w:lang w:eastAsia="en-AU"/>
              </w:rPr>
            </w:pPr>
            <w:r w:rsidRPr="00CC50F9">
              <w:rPr>
                <w:rFonts w:asciiTheme="minorHAnsi" w:eastAsia="Calibri" w:hAnsiTheme="minorHAnsi"/>
                <w:b/>
                <w:iCs/>
                <w:color w:val="000000"/>
                <w:szCs w:val="20"/>
                <w:lang w:eastAsia="en-AU"/>
              </w:rPr>
              <w:t xml:space="preserve">-8.9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Cs/>
                <w:color w:val="000000"/>
                <w:szCs w:val="20"/>
                <w:lang w:eastAsia="en-AU"/>
              </w:rPr>
            </w:pPr>
            <w:r w:rsidRPr="00CC50F9">
              <w:rPr>
                <w:rFonts w:asciiTheme="minorHAnsi" w:eastAsia="Calibri" w:hAnsiTheme="minorHAnsi"/>
                <w:b/>
                <w:iCs/>
                <w:color w:val="000000"/>
                <w:szCs w:val="20"/>
                <w:lang w:eastAsia="en-AU"/>
              </w:rPr>
              <w:t xml:space="preserve">-9.1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Cs/>
                <w:color w:val="000000"/>
                <w:szCs w:val="20"/>
                <w:lang w:eastAsia="en-AU"/>
              </w:rPr>
            </w:pPr>
            <w:r w:rsidRPr="00CC50F9">
              <w:rPr>
                <w:rFonts w:asciiTheme="minorHAnsi" w:eastAsia="Calibri" w:hAnsiTheme="minorHAnsi"/>
                <w:b/>
                <w:iCs/>
                <w:color w:val="000000"/>
                <w:szCs w:val="20"/>
                <w:lang w:eastAsia="en-AU"/>
              </w:rPr>
              <w:t xml:space="preserve">-35.2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C50F9" w:rsidRDefault="000B5C96" w:rsidP="003F606A">
            <w:pPr>
              <w:keepNext/>
              <w:keepLines/>
              <w:rPr>
                <w:rFonts w:asciiTheme="minorHAnsi" w:eastAsia="Calibri" w:hAnsiTheme="minorHAnsi"/>
                <w:b/>
                <w:lang w:eastAsia="en-AU"/>
              </w:rPr>
            </w:pPr>
            <w:r w:rsidRPr="00CC50F9">
              <w:rPr>
                <w:rFonts w:asciiTheme="minorHAnsi" w:eastAsia="Calibri" w:hAnsiTheme="minorHAnsi"/>
                <w:b/>
                <w:lang w:eastAsia="en-AU"/>
              </w:rPr>
              <w:t>Departmental</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 xml:space="preserve">Expand funding for </w:t>
            </w:r>
            <w:r w:rsidRPr="00CC50F9">
              <w:rPr>
                <w:rFonts w:asciiTheme="minorHAnsi" w:hAnsiTheme="minorHAnsi"/>
                <w:i/>
                <w:lang w:eastAsia="en-AU"/>
              </w:rPr>
              <w:t>Our Watch</w:t>
            </w:r>
            <w:r w:rsidRPr="00CC50F9">
              <w:rPr>
                <w:rFonts w:asciiTheme="minorHAnsi" w:hAnsiTheme="minorHAnsi"/>
                <w:lang w:eastAsia="en-AU"/>
              </w:rPr>
              <w:t xml:space="preserve"> until 2022</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 -0.2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-0.2</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 -0.2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-0.2</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
                <w:iCs/>
                <w:color w:val="000000"/>
                <w:szCs w:val="20"/>
                <w:lang w:eastAsia="en-AU"/>
              </w:rPr>
            </w:pPr>
            <w:r w:rsidRPr="00CC50F9">
              <w:rPr>
                <w:rFonts w:asciiTheme="minorHAnsi" w:eastAsia="Calibri" w:hAnsiTheme="minorHAnsi"/>
                <w:b/>
                <w:i/>
                <w:iCs/>
                <w:color w:val="000000"/>
                <w:szCs w:val="20"/>
                <w:lang w:eastAsia="en-AU"/>
              </w:rPr>
              <w:t xml:space="preserve">-0.9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 xml:space="preserve">Additional funding for </w:t>
            </w:r>
            <w:r w:rsidRPr="00CC50F9">
              <w:rPr>
                <w:rFonts w:asciiTheme="minorHAnsi" w:hAnsiTheme="minorHAnsi"/>
                <w:i/>
                <w:lang w:eastAsia="en-AU"/>
              </w:rPr>
              <w:t>The Line</w:t>
            </w:r>
            <w:r w:rsidRPr="00CC50F9">
              <w:rPr>
                <w:rFonts w:asciiTheme="minorHAnsi" w:hAnsiTheme="minorHAnsi"/>
                <w:lang w:eastAsia="en-AU"/>
              </w:rPr>
              <w:t xml:space="preserve"> social marketing campaign</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 -0.2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-0.2</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 -0.2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-0.2</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i/>
                <w:iCs/>
                <w:color w:val="000000"/>
                <w:szCs w:val="20"/>
                <w:lang w:eastAsia="en-AU"/>
              </w:rPr>
            </w:pPr>
            <w:r w:rsidRPr="00CC50F9">
              <w:rPr>
                <w:rFonts w:asciiTheme="minorHAnsi" w:eastAsia="Calibri" w:hAnsiTheme="minorHAnsi"/>
                <w:b/>
                <w:i/>
                <w:iCs/>
                <w:color w:val="000000"/>
                <w:szCs w:val="20"/>
                <w:lang w:eastAsia="en-AU"/>
              </w:rPr>
              <w:t xml:space="preserve">-0.9  </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National rollout of respectful relationships</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 -0.3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-0.3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 -0.3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-0.3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
                <w:iCs/>
                <w:color w:val="000000"/>
                <w:szCs w:val="20"/>
                <w:lang w:eastAsia="en-AU"/>
              </w:rPr>
            </w:pPr>
            <w:r w:rsidRPr="00CC50F9">
              <w:rPr>
                <w:rFonts w:asciiTheme="minorHAnsi" w:eastAsia="Calibri" w:hAnsiTheme="minorHAnsi"/>
                <w:b/>
                <w:i/>
                <w:iCs/>
                <w:color w:val="000000"/>
                <w:szCs w:val="20"/>
                <w:lang w:eastAsia="en-AU"/>
              </w:rPr>
              <w:t xml:space="preserve">-1.1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rPr>
                <w:rFonts w:asciiTheme="minorHAnsi" w:hAnsiTheme="minorHAnsi"/>
                <w:lang w:eastAsia="en-AU"/>
              </w:rPr>
            </w:pPr>
            <w:r w:rsidRPr="00CC50F9">
              <w:rPr>
                <w:rFonts w:asciiTheme="minorHAnsi" w:hAnsiTheme="minorHAnsi"/>
                <w:lang w:eastAsia="en-AU"/>
              </w:rPr>
              <w:t>Building an expert primary prevention workforce</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 -0.3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-0.3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 -0.3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iCs/>
                <w:color w:val="000000"/>
                <w:szCs w:val="20"/>
                <w:lang w:eastAsia="en-AU"/>
              </w:rPr>
            </w:pPr>
            <w:r w:rsidRPr="00CC50F9">
              <w:rPr>
                <w:rFonts w:asciiTheme="minorHAnsi" w:eastAsia="Calibri" w:hAnsiTheme="minorHAnsi"/>
                <w:i/>
                <w:iCs/>
                <w:color w:val="000000"/>
                <w:szCs w:val="20"/>
                <w:lang w:eastAsia="en-AU"/>
              </w:rPr>
              <w:t xml:space="preserve">-0.3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i/>
                <w:iCs/>
                <w:color w:val="000000"/>
                <w:szCs w:val="20"/>
                <w:lang w:eastAsia="en-AU"/>
              </w:rPr>
            </w:pPr>
            <w:r w:rsidRPr="00CC50F9">
              <w:rPr>
                <w:rFonts w:asciiTheme="minorHAnsi" w:eastAsia="Calibri" w:hAnsiTheme="minorHAnsi"/>
                <w:b/>
                <w:i/>
                <w:iCs/>
                <w:color w:val="000000"/>
                <w:szCs w:val="20"/>
                <w:lang w:eastAsia="en-AU"/>
              </w:rPr>
              <w:t>-1.1</w:t>
            </w:r>
          </w:p>
        </w:tc>
      </w:tr>
      <w:tr w:rsidR="000B5C96" w:rsidRPr="00CC50F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Total - departmental</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vAlign w:val="bottom"/>
            <w:hideMark/>
          </w:tcPr>
          <w:p w:rsidR="000B5C96" w:rsidRPr="00CC50F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-3.9 </w:t>
            </w:r>
          </w:p>
        </w:tc>
      </w:tr>
      <w:tr w:rsidR="000B5C96" w:rsidRPr="00CC50F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C50F9" w:rsidRDefault="000B5C96" w:rsidP="003F606A">
            <w:pPr>
              <w:keepNext/>
              <w:keepLines/>
              <w:rPr>
                <w:rFonts w:asciiTheme="minorHAnsi" w:hAnsiTheme="minorHAnsi"/>
                <w:b/>
                <w:lang w:eastAsia="en-AU"/>
              </w:rPr>
            </w:pPr>
            <w:r w:rsidRPr="00CC50F9">
              <w:rPr>
                <w:rFonts w:asciiTheme="minorHAnsi" w:hAnsiTheme="minorHAnsi"/>
                <w:b/>
                <w:lang w:eastAsia="en-AU"/>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-9.5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-9.7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-9.9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-10.1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hideMark/>
          </w:tcPr>
          <w:p w:rsidR="000B5C96" w:rsidRPr="00CC50F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noProof/>
                <w:szCs w:val="20"/>
                <w:lang w:eastAsia="en-AU"/>
              </w:rPr>
            </w:pPr>
            <w:r w:rsidRPr="00CC50F9">
              <w:rPr>
                <w:rFonts w:asciiTheme="minorHAnsi" w:eastAsia="Calibri" w:hAnsiTheme="minorHAnsi"/>
                <w:b/>
                <w:noProof/>
                <w:szCs w:val="20"/>
                <w:lang w:eastAsia="en-AU"/>
              </w:rPr>
              <w:t xml:space="preserve">-39.1 </w:t>
            </w:r>
          </w:p>
        </w:tc>
      </w:tr>
    </w:tbl>
    <w:p w:rsidR="000B5C96" w:rsidRDefault="000B5C96" w:rsidP="00E54AEC">
      <w:pPr>
        <w:pStyle w:val="Footnotes"/>
        <w:keepNext/>
        <w:keepLines/>
        <w:numPr>
          <w:ilvl w:val="0"/>
          <w:numId w:val="286"/>
        </w:numPr>
        <w:ind w:left="284" w:hanging="284"/>
      </w:pPr>
      <w:r w:rsidRPr="00614CCA">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614CCA" w:rsidRDefault="000B5C96" w:rsidP="000B5C96">
      <w:pPr>
        <w:pStyle w:val="Footnotes"/>
        <w:numPr>
          <w:ilvl w:val="0"/>
          <w:numId w:val="7"/>
        </w:numPr>
        <w:ind w:left="284" w:hanging="284"/>
      </w:pPr>
      <w:r w:rsidRPr="00614CCA">
        <w:t>Figures may not sum to totals due to rounding.</w:t>
      </w:r>
    </w:p>
    <w:p w:rsidR="000B5C96" w:rsidRPr="00CC50F9" w:rsidRDefault="000B5C96" w:rsidP="003F606A">
      <w:pPr>
        <w:spacing w:before="100" w:line="240" w:lineRule="auto"/>
        <w:ind w:left="284" w:hanging="284"/>
        <w:rPr>
          <w:rFonts w:ascii="Calibri" w:eastAsia="Calibri" w:hAnsi="Calibri" w:cs="Times New Roman"/>
          <w:sz w:val="20"/>
          <w:szCs w:val="20"/>
        </w:rPr>
      </w:pPr>
    </w:p>
    <w:p w:rsidR="000B5C96" w:rsidRPr="00A0140C" w:rsidRDefault="000B5C96" w:rsidP="003F606A">
      <w:pPr>
        <w:pStyle w:val="BodyText"/>
        <w:sectPr w:rsidR="000B5C96" w:rsidRPr="00A0140C"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93" w:name="_Toc458001976"/>
      <w:bookmarkStart w:id="194" w:name="_Toc458069461"/>
      <w:r>
        <w:t>GRN070: Access to abortion services</w:t>
      </w:r>
      <w:bookmarkEnd w:id="193"/>
      <w:bookmarkEnd w:id="194"/>
    </w:p>
    <w:p w:rsidR="000B5C96" w:rsidRPr="008A0AE1" w:rsidRDefault="000B5C96" w:rsidP="003F606A">
      <w:pPr>
        <w:pStyle w:val="BodyText"/>
      </w:pPr>
      <w:r>
        <w:rPr>
          <w:noProof/>
          <w:lang w:eastAsia="en-AU"/>
        </w:rPr>
        <w:drawing>
          <wp:inline distT="0" distB="0" distL="0" distR="0" wp14:anchorId="37B41C7C" wp14:editId="13B57FEA">
            <wp:extent cx="2696845" cy="572135"/>
            <wp:effectExtent l="0" t="0" r="8255" b="0"/>
            <wp:docPr id="480" name="Picture 48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940070" w:rsidRDefault="000B5C96" w:rsidP="000B5C96">
      <w:pPr>
        <w:pStyle w:val="Heading6"/>
        <w:numPr>
          <w:ilvl w:val="0"/>
          <w:numId w:val="5"/>
        </w:numPr>
        <w:tabs>
          <w:tab w:val="right" w:pos="1418"/>
          <w:tab w:val="right" w:pos="1701"/>
          <w:tab w:val="right" w:pos="1985"/>
        </w:tabs>
      </w:pPr>
      <w:r w:rsidRPr="00940070">
        <w:t>Policy costing—during the caretaker period for the 2016 general election</w:t>
      </w:r>
    </w:p>
    <w:tbl>
      <w:tblPr>
        <w:tblStyle w:val="Style18"/>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Access to Affordable Abortion</w:t>
            </w:r>
          </w:p>
        </w:tc>
      </w:tr>
      <w:tr w:rsidR="000B5C96" w:rsidRPr="00940070" w:rsidTr="003F606A">
        <w:tc>
          <w:tcPr>
            <w:tcW w:w="3005" w:type="dxa"/>
          </w:tcPr>
          <w:p w:rsidR="000B5C96" w:rsidRPr="00940070" w:rsidRDefault="000B5C96" w:rsidP="003F606A">
            <w:pPr>
              <w:pStyle w:val="PullOutBoxBodyText"/>
            </w:pPr>
            <w:r w:rsidRPr="00940070">
              <w:t>Summary of proposal:</w:t>
            </w:r>
          </w:p>
        </w:tc>
        <w:tc>
          <w:tcPr>
            <w:tcW w:w="5335" w:type="dxa"/>
          </w:tcPr>
          <w:p w:rsidR="000B5C96" w:rsidRPr="00940070" w:rsidRDefault="000B5C96" w:rsidP="003F606A">
            <w:pPr>
              <w:pStyle w:val="PullOutBoxBodyText"/>
            </w:pPr>
            <w:r w:rsidRPr="00940070">
              <w:t>The proposal has three components.</w:t>
            </w:r>
          </w:p>
          <w:p w:rsidR="000B5C96" w:rsidRPr="00116FB9" w:rsidRDefault="000B5C96" w:rsidP="003F606A">
            <w:pPr>
              <w:pStyle w:val="PullOutBoxBodyText"/>
              <w:rPr>
                <w:u w:val="single"/>
              </w:rPr>
            </w:pPr>
            <w:r w:rsidRPr="00116FB9">
              <w:rPr>
                <w:u w:val="single"/>
              </w:rPr>
              <w:t>Component 1: Review Medicare Benefits Schedule (MBS), and Pharmaceutical Benefits Scheme (PBS) rebates</w:t>
            </w:r>
          </w:p>
          <w:p w:rsidR="000B5C96" w:rsidRPr="00940070" w:rsidRDefault="000B5C96" w:rsidP="000B5C96">
            <w:pPr>
              <w:pStyle w:val="PullOutBoxBullet"/>
              <w:numPr>
                <w:ilvl w:val="0"/>
                <w:numId w:val="2"/>
              </w:numPr>
              <w:ind w:left="397"/>
            </w:pPr>
            <w:r w:rsidRPr="00940070">
              <w:t xml:space="preserve">This component </w:t>
            </w:r>
            <w:r>
              <w:t>would provide $500,000 over one </w:t>
            </w:r>
            <w:r w:rsidRPr="00940070">
              <w:t>year for a review by the Department of Health of the level and adequacy of MBS and PBS rebates for sexual health, contraception, pregnancy and termination</w:t>
            </w:r>
            <w:r w:rsidRPr="00940070">
              <w:noBreakHyphen/>
              <w:t>related services.</w:t>
            </w:r>
          </w:p>
          <w:p w:rsidR="000B5C96" w:rsidRPr="00116FB9" w:rsidRDefault="000B5C96" w:rsidP="003F606A">
            <w:pPr>
              <w:pStyle w:val="PullOutBoxBodyText"/>
              <w:rPr>
                <w:u w:val="single"/>
              </w:rPr>
            </w:pPr>
            <w:r w:rsidRPr="00116FB9">
              <w:rPr>
                <w:u w:val="single"/>
              </w:rPr>
              <w:t>Component 2: Nation-wide system of data collection</w:t>
            </w:r>
          </w:p>
          <w:p w:rsidR="000B5C96" w:rsidRPr="00940070" w:rsidRDefault="000B5C96" w:rsidP="000B5C96">
            <w:pPr>
              <w:pStyle w:val="PullOutBoxBullet"/>
              <w:numPr>
                <w:ilvl w:val="0"/>
                <w:numId w:val="2"/>
              </w:numPr>
              <w:ind w:left="397"/>
            </w:pPr>
            <w:r w:rsidRPr="00940070">
              <w:t>This component would provide $5 million to develop a nation-wide system of data collection in relation to abortion services provided in Australia, coordinated by the Department of Health, and ongoing funding of $0.5 million per year.</w:t>
            </w:r>
          </w:p>
          <w:p w:rsidR="000B5C96" w:rsidRPr="00116FB9" w:rsidRDefault="000B5C96" w:rsidP="003F606A">
            <w:pPr>
              <w:pStyle w:val="PullOutBoxBodyText"/>
              <w:rPr>
                <w:u w:val="single"/>
              </w:rPr>
            </w:pPr>
            <w:r w:rsidRPr="00116FB9">
              <w:rPr>
                <w:u w:val="single"/>
              </w:rPr>
              <w:t>Component 3: Taskforce on Sexual and Reproductive Health</w:t>
            </w:r>
          </w:p>
          <w:p w:rsidR="000B5C96" w:rsidRPr="00940070" w:rsidRDefault="000B5C96" w:rsidP="000B5C96">
            <w:pPr>
              <w:pStyle w:val="PullOutBoxBullet"/>
              <w:numPr>
                <w:ilvl w:val="0"/>
                <w:numId w:val="2"/>
              </w:numPr>
              <w:ind w:left="397"/>
            </w:pPr>
            <w:r w:rsidRPr="00940070">
              <w:t>This component would provide $8 million over four</w:t>
            </w:r>
            <w:r>
              <w:t> </w:t>
            </w:r>
            <w:r w:rsidRPr="00940070">
              <w:t>years for a Taskforce on Sexual and Reproductive Health to advocate for access to abortion and other health services for women.</w:t>
            </w:r>
          </w:p>
          <w:p w:rsidR="000B5C96" w:rsidRPr="00940070" w:rsidRDefault="000B5C96" w:rsidP="003F606A">
            <w:pPr>
              <w:pStyle w:val="PullOutBoxBodyText"/>
            </w:pPr>
            <w:r w:rsidRPr="00940070">
              <w:t>The proposal would have effect from 1 September 2016.</w:t>
            </w:r>
          </w:p>
        </w:tc>
      </w:tr>
      <w:tr w:rsidR="000B5C96" w:rsidRPr="00940070" w:rsidTr="003F606A">
        <w:tc>
          <w:tcPr>
            <w:tcW w:w="3005" w:type="dxa"/>
          </w:tcPr>
          <w:p w:rsidR="000B5C96" w:rsidRPr="00940070" w:rsidRDefault="000B5C96" w:rsidP="003F606A">
            <w:pPr>
              <w:pStyle w:val="PullOutBoxBodyText"/>
            </w:pPr>
            <w:r w:rsidRPr="00940070">
              <w:t>Person/party requesting costing:</w:t>
            </w:r>
          </w:p>
        </w:tc>
        <w:tc>
          <w:tcPr>
            <w:tcW w:w="5335" w:type="dxa"/>
          </w:tcPr>
          <w:p w:rsidR="000B5C96" w:rsidRPr="00940070" w:rsidRDefault="000B5C96" w:rsidP="003F606A">
            <w:pPr>
              <w:pStyle w:val="PullOutBoxBodyText"/>
            </w:pPr>
            <w:r w:rsidRPr="00940070">
              <w:t>Senator Richard Di Natale, Australian Greens</w:t>
            </w:r>
          </w:p>
        </w:tc>
      </w:tr>
      <w:tr w:rsidR="000B5C96" w:rsidRPr="00940070" w:rsidTr="003F606A">
        <w:tc>
          <w:tcPr>
            <w:tcW w:w="3005" w:type="dxa"/>
          </w:tcPr>
          <w:p w:rsidR="000B5C96" w:rsidRPr="00940070" w:rsidRDefault="000B5C96" w:rsidP="003F606A">
            <w:pPr>
              <w:pStyle w:val="PullOutBoxBodyText"/>
            </w:pPr>
            <w:r w:rsidRPr="00940070">
              <w:t>Date of public release of policy:</w:t>
            </w:r>
          </w:p>
        </w:tc>
        <w:tc>
          <w:tcPr>
            <w:tcW w:w="5335" w:type="dxa"/>
          </w:tcPr>
          <w:p w:rsidR="000B5C96" w:rsidRPr="00940070" w:rsidRDefault="000B5C96" w:rsidP="003F606A">
            <w:pPr>
              <w:pStyle w:val="PullOutBoxBodyText"/>
              <w:rPr>
                <w:rFonts w:eastAsia="Times New Roman"/>
                <w:lang w:eastAsia="en-AU"/>
              </w:rPr>
            </w:pPr>
            <w:r w:rsidRPr="00940070">
              <w:t>24 May 2016</w:t>
            </w:r>
            <w:r w:rsidRPr="00940070">
              <w:rPr>
                <w:rFonts w:eastAsia="Times New Roman"/>
                <w:lang w:eastAsia="en-AU"/>
              </w:rPr>
              <w:t xml:space="preserve">  </w:t>
            </w:r>
            <w:hyperlink r:id="rId569" w:history="1">
              <w:r w:rsidRPr="00940070">
                <w:rPr>
                  <w:rFonts w:eastAsia="Times New Roman"/>
                  <w:color w:val="0000FF"/>
                  <w:u w:val="single"/>
                  <w:lang w:eastAsia="en-AU"/>
                </w:rPr>
                <w:t>http://greens.org.au/accessible-abortion</w:t>
              </w:r>
            </w:hyperlink>
          </w:p>
        </w:tc>
      </w:tr>
      <w:tr w:rsidR="000B5C96" w:rsidRPr="00940070" w:rsidTr="003F606A">
        <w:tc>
          <w:tcPr>
            <w:tcW w:w="3005" w:type="dxa"/>
          </w:tcPr>
          <w:p w:rsidR="000B5C96" w:rsidRPr="00940070" w:rsidRDefault="000B5C96" w:rsidP="003F606A">
            <w:pPr>
              <w:pStyle w:val="PullOutBoxBodyText"/>
            </w:pPr>
            <w:r w:rsidRPr="00940070">
              <w:t>Date costing request received:</w:t>
            </w:r>
          </w:p>
        </w:tc>
        <w:tc>
          <w:tcPr>
            <w:tcW w:w="5335" w:type="dxa"/>
          </w:tcPr>
          <w:p w:rsidR="000B5C96" w:rsidRPr="00940070" w:rsidRDefault="000B5C96" w:rsidP="003F606A">
            <w:pPr>
              <w:pStyle w:val="PullOutBoxBodyText"/>
            </w:pPr>
            <w:r w:rsidRPr="00940070">
              <w:t>30 June 2016</w:t>
            </w:r>
          </w:p>
        </w:tc>
      </w:tr>
      <w:tr w:rsidR="000B5C96" w:rsidRPr="00940070" w:rsidTr="003F606A">
        <w:tc>
          <w:tcPr>
            <w:tcW w:w="3005" w:type="dxa"/>
          </w:tcPr>
          <w:p w:rsidR="000B5C96" w:rsidRPr="00940070" w:rsidRDefault="000B5C96" w:rsidP="003F606A">
            <w:pPr>
              <w:pStyle w:val="PullOutBoxBodyText"/>
            </w:pPr>
            <w:r w:rsidRPr="00940070">
              <w:t>Date costing completed:</w:t>
            </w:r>
          </w:p>
        </w:tc>
        <w:tc>
          <w:tcPr>
            <w:tcW w:w="5335" w:type="dxa"/>
          </w:tcPr>
          <w:p w:rsidR="000B5C96" w:rsidRPr="00940070" w:rsidRDefault="000B5C96" w:rsidP="003F606A">
            <w:pPr>
              <w:pStyle w:val="PullOutBoxBodyText"/>
            </w:pPr>
            <w:r w:rsidRPr="00940070">
              <w:t>30 June 2016</w:t>
            </w:r>
          </w:p>
        </w:tc>
      </w:tr>
      <w:tr w:rsidR="000B5C96" w:rsidRPr="00940070" w:rsidTr="003F606A">
        <w:tc>
          <w:tcPr>
            <w:tcW w:w="3005" w:type="dxa"/>
          </w:tcPr>
          <w:p w:rsidR="000B5C96" w:rsidRPr="00940070" w:rsidRDefault="000B5C96" w:rsidP="003F606A">
            <w:pPr>
              <w:pStyle w:val="PullOutBoxBodyText"/>
            </w:pPr>
            <w:r w:rsidRPr="00940070">
              <w:t>Expiry date for the costing:</w:t>
            </w:r>
          </w:p>
        </w:tc>
        <w:tc>
          <w:tcPr>
            <w:tcW w:w="5335" w:type="dxa"/>
          </w:tcPr>
          <w:p w:rsidR="000B5C96" w:rsidRPr="00940070" w:rsidRDefault="000B5C96" w:rsidP="003F606A">
            <w:pPr>
              <w:pStyle w:val="PullOutBoxBodyText"/>
            </w:pPr>
            <w:r w:rsidRPr="00940070">
              <w:t>Release of the next economic and fiscal outlook report</w:t>
            </w:r>
          </w:p>
        </w:tc>
      </w:tr>
    </w:tbl>
    <w:p w:rsidR="000B5C96" w:rsidRPr="00940070" w:rsidRDefault="000B5C96" w:rsidP="003F606A">
      <w:pPr>
        <w:pStyle w:val="BodyText"/>
        <w:sectPr w:rsidR="000B5C96" w:rsidRPr="00940070" w:rsidSect="008430E8">
          <w:pgSz w:w="11907" w:h="16839" w:code="9"/>
          <w:pgMar w:top="1361" w:right="1797" w:bottom="1474" w:left="1797" w:header="283" w:footer="454" w:gutter="0"/>
          <w:cols w:space="708"/>
          <w:docGrid w:linePitch="360"/>
        </w:sectPr>
      </w:pPr>
    </w:p>
    <w:p w:rsidR="000B5C96" w:rsidRPr="00940070" w:rsidRDefault="000B5C96" w:rsidP="003F606A">
      <w:pPr>
        <w:pStyle w:val="CostingsH7"/>
      </w:pPr>
      <w:r w:rsidRPr="00940070">
        <w:t>Costing overview</w:t>
      </w:r>
    </w:p>
    <w:p w:rsidR="000B5C96" w:rsidRPr="00940070" w:rsidRDefault="000B5C96" w:rsidP="003F606A">
      <w:pPr>
        <w:pStyle w:val="BodyText"/>
        <w:rPr>
          <w:b/>
          <w:bCs/>
        </w:rPr>
      </w:pPr>
      <w:r w:rsidRPr="00940070">
        <w:t>This proposal would be expected to decrease the fiscal and underlying cash balances by $15.0</w:t>
      </w:r>
      <w:r>
        <w:t> </w:t>
      </w:r>
      <w:r w:rsidRPr="00940070">
        <w:t>million over the 2016-17 Budget forward estimates period.  This is entirely due to an increase in departmental expenses.</w:t>
      </w:r>
    </w:p>
    <w:p w:rsidR="000B5C96" w:rsidRPr="00940070" w:rsidRDefault="000B5C96" w:rsidP="003F606A">
      <w:pPr>
        <w:pStyle w:val="BodyText"/>
        <w:rPr>
          <w:b/>
          <w:bCs/>
        </w:rPr>
      </w:pPr>
      <w:r w:rsidRPr="00940070">
        <w:t xml:space="preserve">Detailed financial implications are provided at </w:t>
      </w:r>
      <w:r w:rsidRPr="00940070">
        <w:rPr>
          <w:u w:val="single"/>
        </w:rPr>
        <w:t>Attachment A</w:t>
      </w:r>
      <w:r w:rsidRPr="00940070">
        <w:t>.</w:t>
      </w:r>
    </w:p>
    <w:p w:rsidR="000B5C96" w:rsidRPr="00940070" w:rsidRDefault="000B5C96" w:rsidP="003F606A">
      <w:pPr>
        <w:pStyle w:val="BodyText"/>
        <w:rPr>
          <w:b/>
          <w:bCs/>
        </w:rPr>
      </w:pPr>
      <w:r w:rsidRPr="00940070">
        <w:t>This proposal would be expected to have an ongoing impact beyond the 2016</w:t>
      </w:r>
      <w:r w:rsidRPr="00940070">
        <w:noBreakHyphen/>
        <w:t>17 Budget forward estimates period at a similar level to 2019-20 estimates.</w:t>
      </w:r>
    </w:p>
    <w:p w:rsidR="000B5C96" w:rsidRPr="00940070" w:rsidRDefault="000B5C96" w:rsidP="003F606A">
      <w:pPr>
        <w:pStyle w:val="BodyText"/>
        <w:rPr>
          <w:b/>
          <w:bCs/>
        </w:rPr>
      </w:pPr>
      <w:r w:rsidRPr="00940070">
        <w:t>This costing is considered to be of high reliability as the estimates are based on capped specified funding amounts.  However, no analysis has been undertaken to determine the adequacy of the prescribed funding amounts to achieve the objectives of the proposal.</w:t>
      </w:r>
    </w:p>
    <w:p w:rsidR="000B5C96" w:rsidRPr="00940070" w:rsidRDefault="000B5C96" w:rsidP="003F606A">
      <w:pPr>
        <w:pStyle w:val="Caption"/>
      </w:pPr>
      <w:r w:rsidRPr="00940070">
        <w:t>Table 1: Financial implications (outturn prices)</w:t>
      </w:r>
      <w:r w:rsidRPr="00940070">
        <w:rPr>
          <w:vertAlign w:val="superscript"/>
        </w:rPr>
        <w:t>(a)(b)</w:t>
      </w:r>
    </w:p>
    <w:tbl>
      <w:tblPr>
        <w:tblStyle w:val="TableGrid49"/>
        <w:tblW w:w="4993" w:type="pct"/>
        <w:tblLook w:val="04A0" w:firstRow="1" w:lastRow="0" w:firstColumn="1" w:lastColumn="0" w:noHBand="0" w:noVBand="1"/>
      </w:tblPr>
      <w:tblGrid>
        <w:gridCol w:w="2644"/>
        <w:gridCol w:w="1133"/>
        <w:gridCol w:w="1134"/>
        <w:gridCol w:w="1134"/>
        <w:gridCol w:w="1134"/>
        <w:gridCol w:w="1132"/>
      </w:tblGrid>
      <w:tr w:rsidR="000B5C96" w:rsidRPr="00940070"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940070" w:rsidRDefault="000B5C96" w:rsidP="003F606A">
            <w:pPr>
              <w:keepNext/>
              <w:keepLines/>
              <w:spacing w:line="240" w:lineRule="auto"/>
              <w:ind w:left="57" w:right="57"/>
              <w:rPr>
                <w:szCs w:val="20"/>
              </w:rPr>
            </w:pPr>
            <w:r w:rsidRPr="00940070">
              <w:rPr>
                <w:szCs w:val="20"/>
              </w:rPr>
              <w:t>Impact on ($m)</w:t>
            </w:r>
          </w:p>
        </w:tc>
        <w:tc>
          <w:tcPr>
            <w:tcW w:w="682" w:type="pct"/>
            <w:vAlign w:val="center"/>
          </w:tcPr>
          <w:p w:rsidR="000B5C96" w:rsidRPr="0094007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40070">
              <w:rPr>
                <w:szCs w:val="20"/>
              </w:rPr>
              <w:t>2016–17</w:t>
            </w:r>
          </w:p>
        </w:tc>
        <w:tc>
          <w:tcPr>
            <w:tcW w:w="682" w:type="pct"/>
            <w:vAlign w:val="center"/>
          </w:tcPr>
          <w:p w:rsidR="000B5C96" w:rsidRPr="0094007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40070">
              <w:rPr>
                <w:szCs w:val="20"/>
              </w:rPr>
              <w:t>2017–18</w:t>
            </w:r>
          </w:p>
        </w:tc>
        <w:tc>
          <w:tcPr>
            <w:tcW w:w="682" w:type="pct"/>
            <w:vAlign w:val="center"/>
          </w:tcPr>
          <w:p w:rsidR="000B5C96" w:rsidRPr="0094007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40070">
              <w:rPr>
                <w:szCs w:val="20"/>
              </w:rPr>
              <w:t>2018–19</w:t>
            </w:r>
          </w:p>
        </w:tc>
        <w:tc>
          <w:tcPr>
            <w:tcW w:w="682" w:type="pct"/>
            <w:vAlign w:val="center"/>
          </w:tcPr>
          <w:p w:rsidR="000B5C96" w:rsidRPr="0094007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40070">
              <w:rPr>
                <w:szCs w:val="20"/>
              </w:rPr>
              <w:t>2019–20</w:t>
            </w:r>
          </w:p>
        </w:tc>
        <w:tc>
          <w:tcPr>
            <w:tcW w:w="681" w:type="pct"/>
            <w:vAlign w:val="center"/>
          </w:tcPr>
          <w:p w:rsidR="000B5C96" w:rsidRPr="0094007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40070">
              <w:rPr>
                <w:b/>
                <w:szCs w:val="20"/>
              </w:rPr>
              <w:t>Total</w:t>
            </w:r>
          </w:p>
        </w:tc>
      </w:tr>
      <w:tr w:rsidR="000B5C96" w:rsidRPr="00940070"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940070" w:rsidRDefault="000B5C96" w:rsidP="003F606A">
            <w:pPr>
              <w:keepNext/>
              <w:keepLines/>
              <w:ind w:left="57" w:right="57"/>
              <w:rPr>
                <w:szCs w:val="20"/>
              </w:rPr>
            </w:pPr>
            <w:r w:rsidRPr="00940070">
              <w:rPr>
                <w:szCs w:val="20"/>
              </w:rPr>
              <w:t>Fiscal balance</w:t>
            </w:r>
          </w:p>
        </w:tc>
        <w:tc>
          <w:tcPr>
            <w:tcW w:w="682" w:type="pct"/>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40070">
              <w:rPr>
                <w:rFonts w:ascii="Calibri" w:hAnsi="Calibri"/>
              </w:rPr>
              <w:t>-7.5</w:t>
            </w:r>
          </w:p>
        </w:tc>
        <w:tc>
          <w:tcPr>
            <w:tcW w:w="682" w:type="pct"/>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40070">
              <w:rPr>
                <w:rFonts w:ascii="Calibri" w:hAnsi="Calibri"/>
              </w:rPr>
              <w:t>-2.5</w:t>
            </w:r>
          </w:p>
        </w:tc>
        <w:tc>
          <w:tcPr>
            <w:tcW w:w="682" w:type="pct"/>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40070">
              <w:rPr>
                <w:rFonts w:ascii="Calibri" w:hAnsi="Calibri"/>
              </w:rPr>
              <w:t>-2.5</w:t>
            </w:r>
          </w:p>
        </w:tc>
        <w:tc>
          <w:tcPr>
            <w:tcW w:w="682" w:type="pct"/>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940070">
              <w:rPr>
                <w:rFonts w:ascii="Calibri" w:hAnsi="Calibri"/>
              </w:rPr>
              <w:t>-2.5</w:t>
            </w:r>
          </w:p>
        </w:tc>
        <w:tc>
          <w:tcPr>
            <w:tcW w:w="681" w:type="pct"/>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940070">
              <w:rPr>
                <w:rFonts w:ascii="Calibri" w:hAnsi="Calibri"/>
                <w:b/>
              </w:rPr>
              <w:t>-15.0</w:t>
            </w:r>
          </w:p>
        </w:tc>
      </w:tr>
      <w:tr w:rsidR="000B5C96" w:rsidRPr="00940070"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940070" w:rsidRDefault="000B5C96" w:rsidP="003F606A">
            <w:pPr>
              <w:keepNext/>
              <w:keepLines/>
              <w:ind w:left="57" w:right="57"/>
              <w:rPr>
                <w:szCs w:val="20"/>
              </w:rPr>
            </w:pPr>
            <w:r w:rsidRPr="00940070">
              <w:rPr>
                <w:szCs w:val="20"/>
              </w:rPr>
              <w:t>Underlying cash balance</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40070">
              <w:rPr>
                <w:rFonts w:ascii="Calibri" w:hAnsi="Calibri"/>
              </w:rPr>
              <w:t>-7.5</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40070">
              <w:rPr>
                <w:rFonts w:ascii="Calibri" w:hAnsi="Calibri"/>
              </w:rPr>
              <w:t>-2.5</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40070">
              <w:rPr>
                <w:rFonts w:ascii="Calibri" w:hAnsi="Calibri"/>
              </w:rPr>
              <w:t>-2.5</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940070">
              <w:rPr>
                <w:rFonts w:ascii="Calibri" w:hAnsi="Calibri"/>
              </w:rPr>
              <w:t>-2.5</w:t>
            </w:r>
          </w:p>
        </w:tc>
        <w:tc>
          <w:tcPr>
            <w:tcW w:w="681"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940070">
              <w:rPr>
                <w:rFonts w:ascii="Calibri" w:hAnsi="Calibri"/>
                <w:b/>
              </w:rPr>
              <w:t>-15.0</w:t>
            </w:r>
          </w:p>
        </w:tc>
      </w:tr>
    </w:tbl>
    <w:p w:rsidR="000B5C96" w:rsidRDefault="000B5C96" w:rsidP="00E54AEC">
      <w:pPr>
        <w:pStyle w:val="Footnotes"/>
        <w:numPr>
          <w:ilvl w:val="0"/>
          <w:numId w:val="287"/>
        </w:numPr>
        <w:ind w:left="284" w:hanging="284"/>
      </w:pPr>
      <w:r w:rsidRPr="00F41D57">
        <w:t>A positive number indicates an increase in the relevant budget balance, a negative number a decrease.</w:t>
      </w:r>
    </w:p>
    <w:p w:rsidR="000B5C96" w:rsidRPr="00F41D57" w:rsidRDefault="000B5C96" w:rsidP="000B5C96">
      <w:pPr>
        <w:pStyle w:val="Footnotes"/>
        <w:numPr>
          <w:ilvl w:val="0"/>
          <w:numId w:val="7"/>
        </w:numPr>
        <w:ind w:left="284" w:hanging="284"/>
      </w:pPr>
      <w:r w:rsidRPr="00F41D57">
        <w:t>Figures may not sum to totals due to rounding.</w:t>
      </w:r>
    </w:p>
    <w:p w:rsidR="000B5C96" w:rsidRPr="00940070" w:rsidRDefault="000B5C96" w:rsidP="003F606A">
      <w:pPr>
        <w:pStyle w:val="CostingsH7"/>
      </w:pPr>
      <w:r w:rsidRPr="00940070">
        <w:t>Methodology</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r w:rsidRPr="00940070">
        <w:t>The expenditure for this proposal was based on the specified capped amounts.  For the Taskforce on Sexual and Reproductive Health (Component 3), the specified capped amount was spread evenly over four years.</w:t>
      </w:r>
    </w:p>
    <w:p w:rsidR="000B5C96" w:rsidRPr="00940070" w:rsidRDefault="000B5C96" w:rsidP="000B5C96">
      <w:pPr>
        <w:pStyle w:val="Heading6"/>
        <w:numPr>
          <w:ilvl w:val="0"/>
          <w:numId w:val="5"/>
        </w:numPr>
        <w:tabs>
          <w:tab w:val="right" w:pos="1418"/>
          <w:tab w:val="right" w:pos="1701"/>
          <w:tab w:val="right" w:pos="1985"/>
        </w:tabs>
      </w:pPr>
      <w:r w:rsidRPr="00940070">
        <w:t>Attachment A: Access to Affordable Abortion—disaggregated financial implications</w:t>
      </w:r>
    </w:p>
    <w:p w:rsidR="000B5C96" w:rsidRPr="00940070" w:rsidRDefault="000B5C96" w:rsidP="003F606A">
      <w:pPr>
        <w:pStyle w:val="Caption"/>
        <w:rPr>
          <w:vertAlign w:val="superscript"/>
        </w:rPr>
      </w:pPr>
      <w:r w:rsidRPr="00940070">
        <w:t>Table A1: Financial Implications—Fiscal balance and underlying cash balance</w:t>
      </w:r>
      <w:r w:rsidRPr="00940070">
        <w:rPr>
          <w:vertAlign w:val="superscript"/>
        </w:rPr>
        <w:t>(a) (b)</w:t>
      </w:r>
    </w:p>
    <w:tbl>
      <w:tblPr>
        <w:tblStyle w:val="TableGrid50"/>
        <w:tblW w:w="4995" w:type="pct"/>
        <w:tblLook w:val="04A0" w:firstRow="1" w:lastRow="0" w:firstColumn="1" w:lastColumn="0" w:noHBand="0" w:noVBand="1"/>
      </w:tblPr>
      <w:tblGrid>
        <w:gridCol w:w="2645"/>
        <w:gridCol w:w="1134"/>
        <w:gridCol w:w="1134"/>
        <w:gridCol w:w="1134"/>
        <w:gridCol w:w="1134"/>
        <w:gridCol w:w="1134"/>
      </w:tblGrid>
      <w:tr w:rsidR="000B5C96" w:rsidRPr="00940070"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0" w:type="pct"/>
            <w:tcBorders>
              <w:bottom w:val="single" w:sz="4" w:space="0" w:color="808080"/>
            </w:tcBorders>
            <w:vAlign w:val="center"/>
          </w:tcPr>
          <w:p w:rsidR="000B5C96" w:rsidRPr="00940070" w:rsidRDefault="000B5C96" w:rsidP="003F606A">
            <w:pPr>
              <w:keepNext/>
              <w:keepLines/>
              <w:spacing w:line="240" w:lineRule="auto"/>
              <w:ind w:left="57" w:right="57"/>
              <w:rPr>
                <w:szCs w:val="20"/>
              </w:rPr>
            </w:pPr>
            <w:r w:rsidRPr="00940070">
              <w:rPr>
                <w:szCs w:val="20"/>
              </w:rPr>
              <w:t>($m)</w:t>
            </w:r>
          </w:p>
        </w:tc>
        <w:tc>
          <w:tcPr>
            <w:tcW w:w="682" w:type="pct"/>
            <w:tcBorders>
              <w:bottom w:val="single" w:sz="4" w:space="0" w:color="808080"/>
            </w:tcBorders>
            <w:vAlign w:val="center"/>
          </w:tcPr>
          <w:p w:rsidR="000B5C96" w:rsidRPr="0094007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40070">
              <w:t>2016–17</w:t>
            </w:r>
          </w:p>
        </w:tc>
        <w:tc>
          <w:tcPr>
            <w:tcW w:w="682" w:type="pct"/>
            <w:tcBorders>
              <w:bottom w:val="single" w:sz="4" w:space="0" w:color="808080"/>
            </w:tcBorders>
            <w:vAlign w:val="center"/>
          </w:tcPr>
          <w:p w:rsidR="000B5C96" w:rsidRPr="0094007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40070">
              <w:t>2017–18</w:t>
            </w:r>
          </w:p>
        </w:tc>
        <w:tc>
          <w:tcPr>
            <w:tcW w:w="682" w:type="pct"/>
            <w:tcBorders>
              <w:bottom w:val="single" w:sz="4" w:space="0" w:color="808080"/>
            </w:tcBorders>
            <w:vAlign w:val="center"/>
          </w:tcPr>
          <w:p w:rsidR="000B5C96" w:rsidRPr="0094007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40070">
              <w:t>2018–19</w:t>
            </w:r>
          </w:p>
        </w:tc>
        <w:tc>
          <w:tcPr>
            <w:tcW w:w="682" w:type="pct"/>
            <w:tcBorders>
              <w:bottom w:val="single" w:sz="4" w:space="0" w:color="808080"/>
            </w:tcBorders>
            <w:vAlign w:val="center"/>
          </w:tcPr>
          <w:p w:rsidR="000B5C96" w:rsidRPr="0094007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40070">
              <w:t>2019–20</w:t>
            </w:r>
          </w:p>
        </w:tc>
        <w:tc>
          <w:tcPr>
            <w:tcW w:w="682" w:type="pct"/>
            <w:tcBorders>
              <w:bottom w:val="single" w:sz="4" w:space="0" w:color="808080"/>
            </w:tcBorders>
            <w:vAlign w:val="center"/>
          </w:tcPr>
          <w:p w:rsidR="000B5C96" w:rsidRPr="00940070"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940070">
              <w:rPr>
                <w:b/>
              </w:rPr>
              <w:t>Total to 2019–20</w:t>
            </w:r>
          </w:p>
        </w:tc>
      </w:tr>
      <w:tr w:rsidR="000B5C96" w:rsidRPr="00940070"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940070" w:rsidRDefault="000B5C96" w:rsidP="003F606A">
            <w:pPr>
              <w:ind w:left="57" w:right="57"/>
              <w:rPr>
                <w:b/>
              </w:rPr>
            </w:pPr>
            <w:r w:rsidRPr="00940070">
              <w:rPr>
                <w:b/>
              </w:rPr>
              <w:t>Departmental expenses</w:t>
            </w:r>
          </w:p>
        </w:tc>
      </w:tr>
      <w:tr w:rsidR="000B5C96" w:rsidRPr="00940070" w:rsidTr="003F606A">
        <w:tc>
          <w:tcPr>
            <w:cnfStyle w:val="001000000000" w:firstRow="0" w:lastRow="0" w:firstColumn="1" w:lastColumn="0" w:oddVBand="0" w:evenVBand="0" w:oddHBand="0" w:evenHBand="0" w:firstRowFirstColumn="0" w:firstRowLastColumn="0" w:lastRowFirstColumn="0" w:lastRowLastColumn="0"/>
            <w:tcW w:w="1590" w:type="pct"/>
          </w:tcPr>
          <w:p w:rsidR="000B5C96" w:rsidRPr="00940070" w:rsidRDefault="000B5C96" w:rsidP="003F606A">
            <w:pPr>
              <w:ind w:left="57" w:right="57"/>
              <w:rPr>
                <w:i/>
              </w:rPr>
            </w:pPr>
            <w:r w:rsidRPr="00940070">
              <w:rPr>
                <w:i/>
              </w:rPr>
              <w:t>Review of MBS and PBS rebates</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40070">
              <w:rPr>
                <w:rFonts w:ascii="Calibri" w:hAnsi="Calibri"/>
                <w:i/>
              </w:rPr>
              <w:t>-0.5</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40070">
              <w:rPr>
                <w:rFonts w:ascii="Calibri" w:hAnsi="Calibri"/>
                <w:i/>
              </w:rPr>
              <w:t>-</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40070">
              <w:rPr>
                <w:rFonts w:ascii="Calibri" w:hAnsi="Calibri"/>
                <w:i/>
              </w:rPr>
              <w:t>-</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40070">
              <w:rPr>
                <w:rFonts w:ascii="Calibri" w:hAnsi="Calibri"/>
                <w:i/>
              </w:rPr>
              <w:t>-</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940070">
              <w:rPr>
                <w:rFonts w:ascii="Calibri" w:hAnsi="Calibri"/>
                <w:b/>
                <w:i/>
              </w:rPr>
              <w:t>-0.5</w:t>
            </w:r>
          </w:p>
        </w:tc>
      </w:tr>
      <w:tr w:rsidR="000B5C96" w:rsidRPr="00940070"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0B5C96" w:rsidRPr="00940070" w:rsidRDefault="000B5C96" w:rsidP="003F606A">
            <w:pPr>
              <w:ind w:left="57" w:right="57"/>
              <w:rPr>
                <w:i/>
              </w:rPr>
            </w:pPr>
            <w:r w:rsidRPr="00940070">
              <w:rPr>
                <w:i/>
              </w:rPr>
              <w:t>National data system</w:t>
            </w:r>
          </w:p>
        </w:tc>
        <w:tc>
          <w:tcPr>
            <w:tcW w:w="682" w:type="pct"/>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40070">
              <w:rPr>
                <w:rFonts w:ascii="Calibri" w:hAnsi="Calibri"/>
                <w:i/>
              </w:rPr>
              <w:t>-5.0</w:t>
            </w:r>
          </w:p>
        </w:tc>
        <w:tc>
          <w:tcPr>
            <w:tcW w:w="682" w:type="pct"/>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40070">
              <w:rPr>
                <w:rFonts w:ascii="Calibri" w:hAnsi="Calibri"/>
                <w:i/>
              </w:rPr>
              <w:t>-0.5</w:t>
            </w:r>
          </w:p>
        </w:tc>
        <w:tc>
          <w:tcPr>
            <w:tcW w:w="682" w:type="pct"/>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40070">
              <w:rPr>
                <w:rFonts w:ascii="Calibri" w:hAnsi="Calibri"/>
                <w:i/>
              </w:rPr>
              <w:t>-0.5</w:t>
            </w:r>
          </w:p>
        </w:tc>
        <w:tc>
          <w:tcPr>
            <w:tcW w:w="682" w:type="pct"/>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940070">
              <w:rPr>
                <w:rFonts w:ascii="Calibri" w:hAnsi="Calibri"/>
                <w:i/>
              </w:rPr>
              <w:t>-0.5</w:t>
            </w:r>
          </w:p>
        </w:tc>
        <w:tc>
          <w:tcPr>
            <w:tcW w:w="682" w:type="pct"/>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940070">
              <w:rPr>
                <w:rFonts w:ascii="Calibri" w:hAnsi="Calibri"/>
                <w:b/>
                <w:i/>
              </w:rPr>
              <w:t>-6.5</w:t>
            </w:r>
          </w:p>
        </w:tc>
      </w:tr>
      <w:tr w:rsidR="000B5C96" w:rsidRPr="00940070" w:rsidTr="003F606A">
        <w:tc>
          <w:tcPr>
            <w:cnfStyle w:val="001000000000" w:firstRow="0" w:lastRow="0" w:firstColumn="1" w:lastColumn="0" w:oddVBand="0" w:evenVBand="0" w:oddHBand="0" w:evenHBand="0" w:firstRowFirstColumn="0" w:firstRowLastColumn="0" w:lastRowFirstColumn="0" w:lastRowLastColumn="0"/>
            <w:tcW w:w="1590" w:type="pct"/>
          </w:tcPr>
          <w:p w:rsidR="000B5C96" w:rsidRPr="00940070" w:rsidRDefault="000B5C96" w:rsidP="003F606A">
            <w:pPr>
              <w:ind w:left="57" w:right="57"/>
              <w:rPr>
                <w:i/>
              </w:rPr>
            </w:pPr>
            <w:r w:rsidRPr="00940070">
              <w:rPr>
                <w:i/>
              </w:rPr>
              <w:t xml:space="preserve">Taskforce on Sexual and Reproductive Health </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40070">
              <w:rPr>
                <w:rFonts w:ascii="Calibri" w:hAnsi="Calibri"/>
                <w:i/>
              </w:rPr>
              <w:t>-2.0</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40070">
              <w:rPr>
                <w:rFonts w:ascii="Calibri" w:hAnsi="Calibri"/>
                <w:i/>
              </w:rPr>
              <w:t>-2.0</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40070">
              <w:rPr>
                <w:rFonts w:ascii="Calibri" w:hAnsi="Calibri"/>
                <w:i/>
              </w:rPr>
              <w:t>-2.0</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940070">
              <w:rPr>
                <w:rFonts w:ascii="Calibri" w:hAnsi="Calibri"/>
                <w:i/>
              </w:rPr>
              <w:t>-2.0</w:t>
            </w:r>
          </w:p>
        </w:tc>
        <w:tc>
          <w:tcPr>
            <w:tcW w:w="682" w:type="pct"/>
          </w:tcPr>
          <w:p w:rsidR="000B5C96" w:rsidRPr="0094007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940070">
              <w:rPr>
                <w:rFonts w:ascii="Calibri" w:hAnsi="Calibri"/>
                <w:b/>
                <w:i/>
              </w:rPr>
              <w:t>-8.0</w:t>
            </w:r>
          </w:p>
        </w:tc>
      </w:tr>
      <w:tr w:rsidR="000B5C96" w:rsidRPr="00940070"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0B5C96" w:rsidRPr="00940070" w:rsidRDefault="000B5C96" w:rsidP="003F606A">
            <w:pPr>
              <w:ind w:left="57" w:right="57"/>
              <w:rPr>
                <w:b/>
              </w:rPr>
            </w:pPr>
            <w:r w:rsidRPr="00940070">
              <w:rPr>
                <w:b/>
              </w:rPr>
              <w:t>Total</w:t>
            </w:r>
          </w:p>
        </w:tc>
        <w:tc>
          <w:tcPr>
            <w:tcW w:w="682" w:type="pct"/>
            <w:shd w:val="clear" w:color="auto" w:fill="D7DDE9"/>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940070">
              <w:rPr>
                <w:rFonts w:ascii="Calibri" w:hAnsi="Calibri"/>
                <w:b/>
              </w:rPr>
              <w:t>-7.5</w:t>
            </w:r>
          </w:p>
        </w:tc>
        <w:tc>
          <w:tcPr>
            <w:tcW w:w="682" w:type="pct"/>
            <w:shd w:val="clear" w:color="auto" w:fill="D7DDE9"/>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940070">
              <w:rPr>
                <w:rFonts w:ascii="Calibri" w:hAnsi="Calibri"/>
                <w:b/>
              </w:rPr>
              <w:t>-2.5</w:t>
            </w:r>
          </w:p>
        </w:tc>
        <w:tc>
          <w:tcPr>
            <w:tcW w:w="682" w:type="pct"/>
            <w:shd w:val="clear" w:color="auto" w:fill="D7DDE9"/>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940070">
              <w:rPr>
                <w:rFonts w:ascii="Calibri" w:hAnsi="Calibri"/>
                <w:b/>
              </w:rPr>
              <w:t>-2.5</w:t>
            </w:r>
          </w:p>
        </w:tc>
        <w:tc>
          <w:tcPr>
            <w:tcW w:w="682" w:type="pct"/>
            <w:shd w:val="clear" w:color="auto" w:fill="D7DDE9"/>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940070">
              <w:rPr>
                <w:rFonts w:ascii="Calibri" w:hAnsi="Calibri"/>
                <w:b/>
              </w:rPr>
              <w:t>-2.5</w:t>
            </w:r>
          </w:p>
        </w:tc>
        <w:tc>
          <w:tcPr>
            <w:tcW w:w="682" w:type="pct"/>
            <w:shd w:val="clear" w:color="auto" w:fill="D7DDE9"/>
          </w:tcPr>
          <w:p w:rsidR="000B5C96" w:rsidRPr="00940070"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940070">
              <w:rPr>
                <w:rFonts w:ascii="Calibri" w:hAnsi="Calibri"/>
                <w:b/>
              </w:rPr>
              <w:t>-15.0</w:t>
            </w:r>
          </w:p>
        </w:tc>
      </w:tr>
    </w:tbl>
    <w:p w:rsidR="000B5C96" w:rsidRDefault="000B5C96" w:rsidP="00E54AEC">
      <w:pPr>
        <w:pStyle w:val="Footnotes"/>
        <w:numPr>
          <w:ilvl w:val="0"/>
          <w:numId w:val="288"/>
        </w:numPr>
        <w:ind w:left="284" w:hanging="284"/>
      </w:pPr>
      <w:r w:rsidRPr="00940070">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940070" w:rsidRDefault="000B5C96" w:rsidP="000B5C96">
      <w:pPr>
        <w:pStyle w:val="Footnotes"/>
        <w:numPr>
          <w:ilvl w:val="0"/>
          <w:numId w:val="7"/>
        </w:numPr>
        <w:ind w:left="284" w:hanging="284"/>
      </w:pPr>
      <w:r w:rsidRPr="00940070">
        <w:t>Figures may not sum to totals due to rounding.</w:t>
      </w:r>
    </w:p>
    <w:p w:rsidR="000B5C96" w:rsidRPr="00940070" w:rsidRDefault="000B5C96" w:rsidP="000B5C96">
      <w:pPr>
        <w:pStyle w:val="Footnotes"/>
        <w:numPr>
          <w:ilvl w:val="0"/>
          <w:numId w:val="115"/>
        </w:numPr>
        <w:ind w:left="284" w:hanging="284"/>
      </w:pPr>
      <w:r w:rsidRPr="00940070">
        <w:tab/>
        <w:t>Indicates nil.</w:t>
      </w:r>
    </w:p>
    <w:p w:rsidR="000B5C96" w:rsidRPr="00940070" w:rsidRDefault="000B5C96" w:rsidP="003F606A">
      <w:pPr>
        <w:spacing w:before="114" w:after="114"/>
        <w:rPr>
          <w:rFonts w:ascii="Calibri" w:eastAsia="Calibri" w:hAnsi="Calibri" w:cs="Times New Roman"/>
        </w:rPr>
      </w:pPr>
    </w:p>
    <w:p w:rsidR="000B5C96" w:rsidRDefault="000B5C96" w:rsidP="003F606A">
      <w:pPr>
        <w:pStyle w:val="Heading5"/>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95" w:name="_Toc458001977"/>
      <w:bookmarkStart w:id="196" w:name="_Toc458069462"/>
      <w:r>
        <w:t>GRN071: Australia's Film Industry</w:t>
      </w:r>
      <w:bookmarkEnd w:id="195"/>
      <w:bookmarkEnd w:id="196"/>
    </w:p>
    <w:p w:rsidR="000B5C96" w:rsidRPr="008A0AE1" w:rsidRDefault="000B5C96" w:rsidP="003F606A">
      <w:pPr>
        <w:pStyle w:val="BodyText"/>
      </w:pPr>
      <w:r>
        <w:rPr>
          <w:noProof/>
          <w:lang w:eastAsia="en-AU"/>
        </w:rPr>
        <w:drawing>
          <wp:inline distT="0" distB="0" distL="0" distR="0" wp14:anchorId="34F8F6B2" wp14:editId="4E1CD777">
            <wp:extent cx="2696845" cy="572135"/>
            <wp:effectExtent l="0" t="0" r="8255" b="0"/>
            <wp:docPr id="481" name="Picture 48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324841" w:rsidRDefault="000B5C96" w:rsidP="000B5C96">
      <w:pPr>
        <w:pStyle w:val="Heading6"/>
        <w:numPr>
          <w:ilvl w:val="0"/>
          <w:numId w:val="5"/>
        </w:numPr>
        <w:tabs>
          <w:tab w:val="right" w:pos="1418"/>
          <w:tab w:val="right" w:pos="1701"/>
          <w:tab w:val="right" w:pos="1985"/>
        </w:tabs>
      </w:pPr>
      <w:r w:rsidRPr="00324841">
        <w:t>Policy costing—during the caretaker period for the 2016 general election</w:t>
      </w:r>
    </w:p>
    <w:tbl>
      <w:tblPr>
        <w:tblStyle w:val="Style19"/>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Name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Australia’s Film Industry</w:t>
            </w:r>
          </w:p>
        </w:tc>
      </w:tr>
      <w:tr w:rsidR="000B5C96" w:rsidRPr="00324841"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Summary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The proposal has two components.</w:t>
            </w:r>
          </w:p>
          <w:p w:rsidR="000B5C96" w:rsidRPr="00D36C2A" w:rsidRDefault="000B5C96" w:rsidP="003F606A">
            <w:pPr>
              <w:pStyle w:val="PullOutBoxBodyText"/>
              <w:rPr>
                <w:u w:val="single"/>
              </w:rPr>
            </w:pPr>
            <w:r w:rsidRPr="00D36C2A">
              <w:rPr>
                <w:u w:val="single"/>
              </w:rPr>
              <w:t>Component 1: Increase the Location Tax Offset</w:t>
            </w:r>
          </w:p>
          <w:p w:rsidR="000B5C96" w:rsidRPr="008E2B8B" w:rsidRDefault="000B5C96" w:rsidP="000B5C96">
            <w:pPr>
              <w:pStyle w:val="PullOutBoxBullet"/>
              <w:numPr>
                <w:ilvl w:val="0"/>
                <w:numId w:val="2"/>
              </w:numPr>
              <w:ind w:left="397"/>
            </w:pPr>
            <w:r w:rsidRPr="008E2B8B">
              <w:t>This component would increase the Location Tax Offset for the screen industry to 30 per cent of eligible qualifying Australian production expenditure (QAPE).</w:t>
            </w:r>
          </w:p>
          <w:p w:rsidR="000B5C96" w:rsidRPr="00D36C2A" w:rsidRDefault="000B5C96" w:rsidP="003F606A">
            <w:pPr>
              <w:pStyle w:val="PullOutBoxBodyText"/>
              <w:rPr>
                <w:u w:val="single"/>
              </w:rPr>
            </w:pPr>
            <w:r w:rsidRPr="00D36C2A">
              <w:rPr>
                <w:u w:val="single"/>
              </w:rPr>
              <w:t>Component 2: Increase the Producer Tax Offset</w:t>
            </w:r>
          </w:p>
          <w:p w:rsidR="000B5C96" w:rsidRPr="008E2B8B" w:rsidRDefault="000B5C96" w:rsidP="000B5C96">
            <w:pPr>
              <w:pStyle w:val="PullOutBoxBullet"/>
              <w:numPr>
                <w:ilvl w:val="0"/>
                <w:numId w:val="2"/>
              </w:numPr>
              <w:ind w:left="397"/>
            </w:pPr>
            <w:r w:rsidRPr="008E2B8B">
              <w:t>This component would increase the Producer Tax Offset available to television production to 40 per cent of eligible QAPE.</w:t>
            </w:r>
          </w:p>
          <w:p w:rsidR="000B5C96" w:rsidRPr="00324841" w:rsidRDefault="000B5C96" w:rsidP="003F606A">
            <w:pPr>
              <w:pStyle w:val="PullOutBoxBodyText"/>
            </w:pPr>
            <w:r w:rsidRPr="00324841">
              <w:rPr>
                <w:lang w:eastAsia="en-AU"/>
              </w:rPr>
              <w:t>This proposal would have effect from 1</w:t>
            </w:r>
            <w:r>
              <w:rPr>
                <w:lang w:eastAsia="en-AU"/>
              </w:rPr>
              <w:t> </w:t>
            </w:r>
            <w:r w:rsidRPr="00324841">
              <w:rPr>
                <w:lang w:eastAsia="en-AU"/>
              </w:rPr>
              <w:t>September</w:t>
            </w:r>
            <w:r>
              <w:rPr>
                <w:lang w:eastAsia="en-AU"/>
              </w:rPr>
              <w:t> </w:t>
            </w:r>
            <w:r w:rsidRPr="00324841">
              <w:rPr>
                <w:lang w:eastAsia="en-AU"/>
              </w:rPr>
              <w:t>2016.</w:t>
            </w:r>
          </w:p>
        </w:tc>
      </w:tr>
      <w:tr w:rsidR="000B5C96" w:rsidRPr="00324841"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Person/party requesting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Senator Di Natale, Australian Greens</w:t>
            </w:r>
          </w:p>
        </w:tc>
      </w:tr>
      <w:tr w:rsidR="000B5C96" w:rsidRPr="00324841"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Date of public release of policy:</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30 June 2016</w:t>
            </w:r>
          </w:p>
          <w:p w:rsidR="000B5C96" w:rsidRPr="00324841" w:rsidRDefault="00E46526" w:rsidP="003F606A">
            <w:pPr>
              <w:pStyle w:val="PullOutBoxBodyText"/>
            </w:pPr>
            <w:hyperlink r:id="rId570" w:history="1">
              <w:r w:rsidR="000B5C96" w:rsidRPr="00324841">
                <w:rPr>
                  <w:rFonts w:cs="Helvetica"/>
                  <w:color w:val="2398C9"/>
                  <w:u w:val="single"/>
                  <w:bdr w:val="none" w:sz="0" w:space="0" w:color="auto" w:frame="1"/>
                  <w:shd w:val="clear" w:color="auto" w:fill="FFFFFF"/>
                </w:rPr>
                <w:t>www.adambandt.com/160630</w:t>
              </w:r>
            </w:hyperlink>
          </w:p>
        </w:tc>
      </w:tr>
      <w:tr w:rsidR="000B5C96" w:rsidRPr="00324841"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Date costing request received: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30 June 2016</w:t>
            </w:r>
          </w:p>
        </w:tc>
      </w:tr>
      <w:tr w:rsidR="000B5C96" w:rsidRPr="00324841"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Date costing completed: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30 June 2016</w:t>
            </w:r>
          </w:p>
        </w:tc>
      </w:tr>
      <w:tr w:rsidR="000B5C96" w:rsidRPr="00324841"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Expiry date for the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324841" w:rsidRDefault="000B5C96" w:rsidP="003F606A">
            <w:pPr>
              <w:pStyle w:val="PullOutBoxBodyText"/>
            </w:pPr>
            <w:r w:rsidRPr="00324841">
              <w:t>Release of the next economic and fiscal outlook report</w:t>
            </w:r>
          </w:p>
        </w:tc>
      </w:tr>
    </w:tbl>
    <w:p w:rsidR="000B5C96" w:rsidRPr="00324841" w:rsidRDefault="000B5C96" w:rsidP="003F606A">
      <w:pPr>
        <w:pStyle w:val="CostingsH7"/>
      </w:pPr>
      <w:r w:rsidRPr="00324841">
        <w:t>Costing overview</w:t>
      </w:r>
    </w:p>
    <w:p w:rsidR="000B5C96" w:rsidRPr="00324841" w:rsidRDefault="000B5C96" w:rsidP="003F606A">
      <w:pPr>
        <w:pStyle w:val="BodyText"/>
      </w:pPr>
      <w:r w:rsidRPr="00324841">
        <w:t>This proposal would be expected to decrease the fiscal balance by $280 million and decrease the underlying cash balance by $200 million over the 2016</w:t>
      </w:r>
      <w:r w:rsidRPr="00324841">
        <w:noBreakHyphen/>
        <w:t>17 Budget forward estimates period.  This impact entirely reflects an increase in expenses.</w:t>
      </w:r>
    </w:p>
    <w:p w:rsidR="000B5C96" w:rsidRPr="00324841" w:rsidRDefault="000B5C96" w:rsidP="003F606A">
      <w:pPr>
        <w:pStyle w:val="BodyText"/>
      </w:pPr>
      <w:r w:rsidRPr="00324841">
        <w:t xml:space="preserve">Detailed financial implications of this proposal are provided at </w:t>
      </w:r>
      <w:r w:rsidRPr="00324841">
        <w:rPr>
          <w:u w:val="single"/>
        </w:rPr>
        <w:t>Attachment A</w:t>
      </w:r>
      <w:r w:rsidRPr="00324841">
        <w:t>.</w:t>
      </w:r>
    </w:p>
    <w:p w:rsidR="000B5C96" w:rsidRPr="00324841" w:rsidRDefault="000B5C96" w:rsidP="003F606A">
      <w:pPr>
        <w:pStyle w:val="BodyText"/>
        <w:keepNext/>
        <w:keepLines/>
      </w:pPr>
      <w:r w:rsidRPr="00324841">
        <w:t>The underlying cash balance impact of this proposal differs from the fiscal balance impact because of a timing difference between when films become eligible to receive the offset and when the offset is paid through lodgement of an inco</w:t>
      </w:r>
      <w:r>
        <w:t xml:space="preserve">me tax return to the Australian </w:t>
      </w:r>
      <w:r w:rsidRPr="00324841">
        <w:t>Taxation Office.</w:t>
      </w:r>
    </w:p>
    <w:p w:rsidR="000B5C96" w:rsidRPr="005011C1" w:rsidRDefault="000B5C96" w:rsidP="003F606A">
      <w:pPr>
        <w:pStyle w:val="BodyText"/>
      </w:pPr>
      <w:r w:rsidRPr="005011C1">
        <w:t>This proposal would have an ongoing impact that extends beyond the 2016</w:t>
      </w:r>
      <w:r w:rsidRPr="005011C1">
        <w:noBreakHyphen/>
        <w:t>17 Budget forward estimates period.</w:t>
      </w:r>
    </w:p>
    <w:p w:rsidR="000B5C96" w:rsidRPr="005011C1" w:rsidRDefault="000B5C96" w:rsidP="003F606A">
      <w:pPr>
        <w:pStyle w:val="BodyText"/>
      </w:pPr>
      <w:r w:rsidRPr="005011C1">
        <w:t>The Location Tax Offset is a refundable tax offset that supports the production of large</w:t>
      </w:r>
      <w:r w:rsidRPr="005011C1">
        <w:noBreakHyphen/>
        <w:t>budget film and television projects shot in Australia that are not eligible to receive the Producer Tax Offset because they do not meet the significant Australian content test.  Qualifying films are generally eligible for an offset equivalent to 16.5 per cent of QAPE.</w:t>
      </w:r>
    </w:p>
    <w:p w:rsidR="000B5C96" w:rsidRPr="005011C1" w:rsidRDefault="000B5C96" w:rsidP="003F606A">
      <w:pPr>
        <w:pStyle w:val="BodyText"/>
      </w:pPr>
      <w:r w:rsidRPr="005011C1">
        <w:t>The Producer Tax Offset is a refundable tax offset that supports television and film productions with significant Australian content.  Feature films are generally eligible for an offset equivalent to 40 per cent of QAPE; and other formats, including television and direct to DVD, are generally eligible for an offset equivalent to 20 per cent of QAPE.</w:t>
      </w:r>
    </w:p>
    <w:p w:rsidR="000B5C96" w:rsidRPr="005011C1" w:rsidRDefault="000B5C96" w:rsidP="003F606A">
      <w:pPr>
        <w:pStyle w:val="BodyText"/>
      </w:pPr>
      <w:r w:rsidRPr="005011C1">
        <w:t>Departmental expenses arising from this proposal are not expected to be significant and therefore have not been included in this costing.</w:t>
      </w:r>
    </w:p>
    <w:p w:rsidR="000B5C96" w:rsidRPr="005011C1" w:rsidRDefault="000B5C96" w:rsidP="003F606A">
      <w:pPr>
        <w:pStyle w:val="BodyText"/>
        <w:rPr>
          <w:lang w:eastAsia="en-AU"/>
        </w:rPr>
      </w:pPr>
      <w:r w:rsidRPr="005011C1">
        <w:rPr>
          <w:lang w:eastAsia="en-AU"/>
        </w:rPr>
        <w:t>The Location Tax Offset component of this costing is considered to be of low reliability because claims for the Location Tax Offset are highly volatile, and therefore the projected amount of expenditure on foreign films in Australia is highly uncertain.</w:t>
      </w:r>
    </w:p>
    <w:p w:rsidR="000B5C96" w:rsidRPr="005011C1" w:rsidRDefault="000B5C96" w:rsidP="003F606A">
      <w:pPr>
        <w:pStyle w:val="BodyText"/>
        <w:rPr>
          <w:lang w:eastAsia="en-AU"/>
        </w:rPr>
      </w:pPr>
      <w:r w:rsidRPr="005011C1">
        <w:rPr>
          <w:lang w:eastAsia="en-AU"/>
        </w:rPr>
        <w:t>The Producer Tax Offset component of this costing is considered to be of medium reliability because television production expenditure in Australia has been reasonably stable in recent years.</w:t>
      </w:r>
    </w:p>
    <w:p w:rsidR="000B5C96" w:rsidRPr="005011C1" w:rsidRDefault="000B5C96" w:rsidP="003F606A">
      <w:pPr>
        <w:pStyle w:val="Caption"/>
      </w:pPr>
      <w:r w:rsidRPr="005011C1">
        <w:t>Table 1: Financial implications (outturn prices)</w:t>
      </w:r>
      <w:r w:rsidRPr="005011C1">
        <w:rPr>
          <w:vertAlign w:val="superscript"/>
        </w:rPr>
        <w:t>(a)</w:t>
      </w:r>
    </w:p>
    <w:tbl>
      <w:tblPr>
        <w:tblStyle w:val="TableGrid51"/>
        <w:tblW w:w="4993" w:type="pct"/>
        <w:tblInd w:w="0" w:type="dxa"/>
        <w:tblLook w:val="04A0" w:firstRow="1" w:lastRow="0" w:firstColumn="1" w:lastColumn="0" w:noHBand="0" w:noVBand="1"/>
      </w:tblPr>
      <w:tblGrid>
        <w:gridCol w:w="2644"/>
        <w:gridCol w:w="1133"/>
        <w:gridCol w:w="1134"/>
        <w:gridCol w:w="1134"/>
        <w:gridCol w:w="1134"/>
        <w:gridCol w:w="1132"/>
      </w:tblGrid>
      <w:tr w:rsidR="000B5C96" w:rsidRPr="008E2B8B"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vAlign w:val="center"/>
            <w:hideMark/>
          </w:tcPr>
          <w:p w:rsidR="000B5C96" w:rsidRPr="008E2B8B" w:rsidRDefault="000B5C96" w:rsidP="000B5C96">
            <w:pPr>
              <w:numPr>
                <w:ilvl w:val="0"/>
                <w:numId w:val="116"/>
              </w:numPr>
              <w:spacing w:before="70" w:beforeAutospacing="0" w:after="70" w:afterAutospacing="0" w:line="300" w:lineRule="auto"/>
              <w:ind w:left="57"/>
              <w:rPr>
                <w:rFonts w:asciiTheme="minorHAnsi" w:eastAsia="Calibri" w:hAnsiTheme="minorHAnsi"/>
                <w:lang w:eastAsia="en-AU"/>
              </w:rPr>
            </w:pPr>
            <w:r w:rsidRPr="008E2B8B">
              <w:rPr>
                <w:rFonts w:asciiTheme="minorHAnsi" w:eastAsia="Calibri" w:hAnsiTheme="minorHAnsi"/>
                <w:lang w:eastAsia="en-AU"/>
              </w:rPr>
              <w:t>Impact on ($m)</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8E2B8B" w:rsidRDefault="000B5C96" w:rsidP="000B5C96">
            <w:pPr>
              <w:numPr>
                <w:ilvl w:val="0"/>
                <w:numId w:val="116"/>
              </w:numPr>
              <w:spacing w:before="70" w:beforeAutospacing="0" w:after="70" w:afterAutospacing="0" w:line="300" w:lineRule="auto"/>
              <w:ind w:lef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8E2B8B">
              <w:rPr>
                <w:rFonts w:asciiTheme="minorHAnsi" w:eastAsia="Calibri" w:hAnsiTheme="minorHAnsi"/>
                <w:lang w:eastAsia="en-AU"/>
              </w:rPr>
              <w:t>2016–17</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8E2B8B" w:rsidRDefault="000B5C96" w:rsidP="000B5C96">
            <w:pPr>
              <w:numPr>
                <w:ilvl w:val="0"/>
                <w:numId w:val="116"/>
              </w:numPr>
              <w:spacing w:before="70" w:beforeAutospacing="0" w:after="70" w:afterAutospacing="0" w:line="300" w:lineRule="auto"/>
              <w:ind w:lef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8E2B8B">
              <w:rPr>
                <w:rFonts w:asciiTheme="minorHAnsi" w:eastAsia="Calibri" w:hAnsiTheme="minorHAnsi"/>
                <w:lang w:eastAsia="en-AU"/>
              </w:rPr>
              <w:t>2017–18</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8E2B8B" w:rsidRDefault="000B5C96" w:rsidP="000B5C96">
            <w:pPr>
              <w:numPr>
                <w:ilvl w:val="0"/>
                <w:numId w:val="116"/>
              </w:numPr>
              <w:spacing w:before="70" w:beforeAutospacing="0" w:after="70" w:afterAutospacing="0" w:line="300" w:lineRule="auto"/>
              <w:ind w:lef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8E2B8B">
              <w:rPr>
                <w:rFonts w:asciiTheme="minorHAnsi" w:eastAsia="Calibri" w:hAnsiTheme="minorHAnsi"/>
                <w:lang w:eastAsia="en-AU"/>
              </w:rPr>
              <w:t>2018–19</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8E2B8B" w:rsidRDefault="000B5C96" w:rsidP="000B5C96">
            <w:pPr>
              <w:numPr>
                <w:ilvl w:val="0"/>
                <w:numId w:val="116"/>
              </w:numPr>
              <w:spacing w:before="70" w:beforeAutospacing="0" w:after="70" w:afterAutospacing="0" w:line="300" w:lineRule="auto"/>
              <w:ind w:lef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8E2B8B">
              <w:rPr>
                <w:rFonts w:asciiTheme="minorHAnsi" w:eastAsia="Calibri" w:hAnsiTheme="minorHAnsi"/>
                <w:lang w:eastAsia="en-AU"/>
              </w:rPr>
              <w:t>2019–20</w:t>
            </w:r>
          </w:p>
        </w:tc>
        <w:tc>
          <w:tcPr>
            <w:tcW w:w="681" w:type="pct"/>
            <w:tcBorders>
              <w:top w:val="single" w:sz="4" w:space="0" w:color="808080"/>
              <w:left w:val="single" w:sz="4" w:space="0" w:color="808080"/>
              <w:bottom w:val="single" w:sz="4" w:space="0" w:color="808080"/>
              <w:right w:val="single" w:sz="4" w:space="0" w:color="808080"/>
            </w:tcBorders>
            <w:vAlign w:val="center"/>
            <w:hideMark/>
          </w:tcPr>
          <w:p w:rsidR="000B5C96" w:rsidRPr="008E2B8B" w:rsidRDefault="000B5C96" w:rsidP="000B5C96">
            <w:pPr>
              <w:numPr>
                <w:ilvl w:val="0"/>
                <w:numId w:val="116"/>
              </w:numPr>
              <w:spacing w:before="70" w:beforeAutospacing="0" w:after="70" w:afterAutospacing="0" w:line="300" w:lineRule="auto"/>
              <w:ind w:lef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8E2B8B">
              <w:rPr>
                <w:rFonts w:asciiTheme="minorHAnsi" w:eastAsia="Calibri" w:hAnsiTheme="minorHAnsi"/>
                <w:b/>
                <w:lang w:eastAsia="en-AU"/>
              </w:rPr>
              <w:t>Total</w:t>
            </w:r>
          </w:p>
        </w:tc>
      </w:tr>
      <w:tr w:rsidR="000B5C96" w:rsidRPr="008E2B8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rPr>
                <w:rFonts w:asciiTheme="minorHAnsi" w:hAnsiTheme="minorHAnsi"/>
                <w:lang w:eastAsia="en-AU"/>
              </w:rPr>
            </w:pPr>
            <w:r w:rsidRPr="008E2B8B">
              <w:rPr>
                <w:rFonts w:asciiTheme="minorHAnsi" w:hAnsiTheme="minorHAnsi"/>
                <w:lang w:eastAsia="en-AU"/>
              </w:rPr>
              <w:t>Fiscal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8E2B8B">
              <w:rPr>
                <w:rFonts w:asciiTheme="minorHAnsi" w:hAnsiTheme="minorHAnsi"/>
                <w:szCs w:val="20"/>
                <w:lang w:eastAsia="en-AU"/>
              </w:rPr>
              <w:t>-50.0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8E2B8B">
              <w:rPr>
                <w:rFonts w:asciiTheme="minorHAnsi" w:hAnsiTheme="minorHAnsi"/>
                <w:szCs w:val="20"/>
                <w:lang w:eastAsia="en-AU"/>
              </w:rPr>
              <w:t>-75.0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8E2B8B">
              <w:rPr>
                <w:rFonts w:asciiTheme="minorHAnsi" w:hAnsiTheme="minorHAnsi"/>
                <w:szCs w:val="20"/>
                <w:lang w:eastAsia="en-AU"/>
              </w:rPr>
              <w:t>-75.0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8E2B8B">
              <w:rPr>
                <w:rFonts w:asciiTheme="minorHAnsi" w:hAnsiTheme="minorHAnsi"/>
                <w:szCs w:val="20"/>
                <w:lang w:eastAsia="en-AU"/>
              </w:rPr>
              <w:t>-80.0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Cs w:val="20"/>
                <w:lang w:eastAsia="en-AU"/>
              </w:rPr>
            </w:pPr>
            <w:r w:rsidRPr="008E2B8B">
              <w:rPr>
                <w:rFonts w:asciiTheme="minorHAnsi" w:hAnsiTheme="minorHAnsi"/>
                <w:b/>
                <w:szCs w:val="20"/>
                <w:lang w:eastAsia="en-AU"/>
              </w:rPr>
              <w:t>-280.0</w:t>
            </w:r>
          </w:p>
        </w:tc>
      </w:tr>
      <w:tr w:rsidR="000B5C96" w:rsidRPr="008E2B8B"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rPr>
                <w:rFonts w:asciiTheme="minorHAnsi" w:hAnsiTheme="minorHAnsi"/>
                <w:lang w:eastAsia="en-AU"/>
              </w:rPr>
            </w:pPr>
            <w:r w:rsidRPr="008E2B8B">
              <w:rPr>
                <w:rFonts w:asciiTheme="minorHAnsi" w:hAnsiTheme="minorHAnsi"/>
                <w:lang w:eastAsia="en-AU"/>
              </w:rPr>
              <w:t>Underlying cash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8E2B8B">
              <w:rPr>
                <w:rFonts w:asciiTheme="minorHAnsi" w:hAnsiTheme="minorHAnsi"/>
                <w:szCs w:val="20"/>
                <w:lang w:eastAsia="en-AU"/>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8E2B8B">
              <w:rPr>
                <w:rFonts w:asciiTheme="minorHAnsi" w:hAnsiTheme="minorHAnsi"/>
                <w:szCs w:val="20"/>
                <w:lang w:eastAsia="en-AU"/>
              </w:rPr>
              <w:t>-50.0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8E2B8B">
              <w:rPr>
                <w:rFonts w:asciiTheme="minorHAnsi" w:hAnsiTheme="minorHAnsi"/>
                <w:szCs w:val="20"/>
                <w:lang w:eastAsia="en-AU"/>
              </w:rPr>
              <w:t>-75.0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8E2B8B">
              <w:rPr>
                <w:rFonts w:asciiTheme="minorHAnsi" w:hAnsiTheme="minorHAnsi"/>
                <w:szCs w:val="20"/>
                <w:lang w:eastAsia="en-AU"/>
              </w:rPr>
              <w:t>-75.0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eastAsia="en-AU"/>
              </w:rPr>
            </w:pPr>
            <w:r w:rsidRPr="008E2B8B">
              <w:rPr>
                <w:rFonts w:asciiTheme="minorHAnsi" w:hAnsiTheme="minorHAnsi"/>
                <w:b/>
                <w:szCs w:val="20"/>
                <w:lang w:eastAsia="en-AU"/>
              </w:rPr>
              <w:t>-200.0</w:t>
            </w:r>
          </w:p>
        </w:tc>
      </w:tr>
    </w:tbl>
    <w:p w:rsidR="000B5C96" w:rsidRDefault="000B5C96" w:rsidP="00E54AEC">
      <w:pPr>
        <w:pStyle w:val="Footnotes"/>
        <w:numPr>
          <w:ilvl w:val="0"/>
          <w:numId w:val="289"/>
        </w:numPr>
        <w:ind w:left="284" w:hanging="284"/>
      </w:pPr>
      <w:r w:rsidRPr="00F41D57">
        <w:t>A positive number indicates an increase in the relevant budget balance, a negative number a decrease.</w:t>
      </w:r>
    </w:p>
    <w:p w:rsidR="000B5C96" w:rsidRPr="00F41D57" w:rsidRDefault="000B5C96" w:rsidP="000B5C96">
      <w:pPr>
        <w:pStyle w:val="Footnotes"/>
        <w:numPr>
          <w:ilvl w:val="0"/>
          <w:numId w:val="7"/>
        </w:numPr>
        <w:ind w:left="284" w:hanging="284"/>
      </w:pPr>
      <w:r w:rsidRPr="00F41D57">
        <w:t>Figures may not sum to totals due to rounding.</w:t>
      </w:r>
    </w:p>
    <w:p w:rsidR="000B5C96" w:rsidRPr="005011C1" w:rsidRDefault="000B5C96" w:rsidP="003F606A">
      <w:pPr>
        <w:pStyle w:val="CostingsH7"/>
      </w:pPr>
      <w:r w:rsidRPr="005011C1">
        <w:t>Key assumptions</w:t>
      </w:r>
    </w:p>
    <w:p w:rsidR="000B5C96" w:rsidRPr="005011C1" w:rsidRDefault="000B5C96" w:rsidP="003F606A">
      <w:pPr>
        <w:pStyle w:val="BodyText"/>
      </w:pPr>
      <w:r w:rsidRPr="005011C1">
        <w:t>The Parliamentary Budget Office has made the following assumptions regarding this proposal:</w:t>
      </w:r>
    </w:p>
    <w:p w:rsidR="000B5C96" w:rsidRPr="005011C1" w:rsidRDefault="000B5C96" w:rsidP="000B5C96">
      <w:pPr>
        <w:pStyle w:val="ListBullet"/>
        <w:numPr>
          <w:ilvl w:val="0"/>
          <w:numId w:val="123"/>
        </w:numPr>
        <w:ind w:left="454" w:hanging="454"/>
        <w:rPr>
          <w:lang w:eastAsia="en-AU"/>
        </w:rPr>
      </w:pPr>
      <w:r w:rsidRPr="005011C1">
        <w:rPr>
          <w:lang w:eastAsia="en-AU"/>
        </w:rPr>
        <w:t>Offset amounts are expected to be claimed by companies in the year following the completion of production.</w:t>
      </w:r>
    </w:p>
    <w:p w:rsidR="000B5C96" w:rsidRPr="005011C1" w:rsidRDefault="000B5C96" w:rsidP="000B5C96">
      <w:pPr>
        <w:pStyle w:val="ListBullet"/>
        <w:numPr>
          <w:ilvl w:val="0"/>
          <w:numId w:val="123"/>
        </w:numPr>
        <w:ind w:left="454" w:hanging="454"/>
        <w:rPr>
          <w:lang w:eastAsia="en-AU"/>
        </w:rPr>
      </w:pPr>
      <w:r w:rsidRPr="005011C1">
        <w:rPr>
          <w:lang w:eastAsia="en-AU"/>
        </w:rPr>
        <w:t>The value of QAPE is assumed to grow at the same rate as the Consumer Price Index.</w:t>
      </w:r>
    </w:p>
    <w:p w:rsidR="000B5C96" w:rsidRPr="005011C1" w:rsidRDefault="000B5C96" w:rsidP="000B5C96">
      <w:pPr>
        <w:pStyle w:val="ListBullet"/>
        <w:numPr>
          <w:ilvl w:val="0"/>
          <w:numId w:val="123"/>
        </w:numPr>
        <w:ind w:left="454" w:hanging="454"/>
        <w:rPr>
          <w:lang w:eastAsia="en-AU"/>
        </w:rPr>
      </w:pPr>
      <w:r w:rsidRPr="005011C1">
        <w:rPr>
          <w:lang w:eastAsia="en-AU"/>
        </w:rPr>
        <w:t>There is assumed to be no change in the number of television productions that receive the Producer Tax Offset under the proposal.</w:t>
      </w:r>
    </w:p>
    <w:p w:rsidR="000B5C96" w:rsidRPr="005011C1" w:rsidRDefault="000B5C96" w:rsidP="000B5C96">
      <w:pPr>
        <w:pStyle w:val="ListBullet"/>
        <w:numPr>
          <w:ilvl w:val="0"/>
          <w:numId w:val="123"/>
        </w:numPr>
        <w:ind w:left="454" w:hanging="454"/>
        <w:rPr>
          <w:lang w:eastAsia="en-AU"/>
        </w:rPr>
      </w:pPr>
      <w:r w:rsidRPr="005011C1">
        <w:rPr>
          <w:lang w:eastAsia="en-AU"/>
        </w:rPr>
        <w:t xml:space="preserve">The proposed increase in the Location Tax Offset is assumed to result in an increase in QAPE as the increase in the offset would make producing films in Australia relatively more attractive.  </w:t>
      </w:r>
    </w:p>
    <w:p w:rsidR="000B5C96" w:rsidRDefault="000B5C96" w:rsidP="000B5C96">
      <w:pPr>
        <w:pStyle w:val="ListBullet"/>
        <w:numPr>
          <w:ilvl w:val="0"/>
          <w:numId w:val="123"/>
        </w:numPr>
        <w:ind w:left="454" w:hanging="454"/>
      </w:pPr>
      <w:r>
        <w:t xml:space="preserve">There is not expected to be an increase in spending on eligible television production as a result of the increased rate of the Producer Tax Offset.  This is because television production with substantive Australian content is assumed to occur to meet local content rules, independent of the rate of the Producer Tax Offset. </w:t>
      </w:r>
    </w:p>
    <w:p w:rsidR="000B5C96" w:rsidRPr="00FC6579" w:rsidRDefault="000B5C96" w:rsidP="003F606A">
      <w:pPr>
        <w:pStyle w:val="CostingsH7"/>
      </w:pPr>
      <w:r w:rsidRPr="00FC6579">
        <w:t>Methodology</w:t>
      </w:r>
    </w:p>
    <w:p w:rsidR="000B5C96" w:rsidRPr="000108ED" w:rsidRDefault="000B5C96" w:rsidP="003F606A">
      <w:pPr>
        <w:pStyle w:val="CostingsH8"/>
        <w:tabs>
          <w:tab w:val="left" w:pos="0"/>
        </w:tabs>
        <w:rPr>
          <w:b w:val="0"/>
        </w:rPr>
      </w:pPr>
      <w:r w:rsidRPr="000108ED">
        <w:rPr>
          <w:b w:val="0"/>
        </w:rPr>
        <w:t>Location Tax Offset</w:t>
      </w:r>
    </w:p>
    <w:p w:rsidR="000B5C96" w:rsidRDefault="000B5C96" w:rsidP="003F606A">
      <w:pPr>
        <w:pStyle w:val="BodyText"/>
      </w:pPr>
      <w:r>
        <w:t>The projected amount of QAPE on foreign films shot in Australia was calculated based on average historical amounts.  QAPE was increased permanently by the rates for the expected behavioural response.  The impact of the proposal was then calculated by taking the difference between the amount of the Location Tax Offset at the current rate and the proposed rate.</w:t>
      </w:r>
    </w:p>
    <w:p w:rsidR="000B5C96" w:rsidRPr="000108ED" w:rsidRDefault="000B5C96" w:rsidP="003F606A">
      <w:pPr>
        <w:pStyle w:val="CostingsH8"/>
        <w:tabs>
          <w:tab w:val="left" w:pos="0"/>
        </w:tabs>
        <w:rPr>
          <w:b w:val="0"/>
        </w:rPr>
      </w:pPr>
      <w:r w:rsidRPr="000108ED">
        <w:rPr>
          <w:b w:val="0"/>
        </w:rPr>
        <w:t>Producer Tax Offset</w:t>
      </w:r>
    </w:p>
    <w:p w:rsidR="000B5C96" w:rsidRDefault="000B5C96" w:rsidP="003F606A">
      <w:pPr>
        <w:pStyle w:val="BodyText"/>
      </w:pPr>
      <w:r>
        <w:t>The historical average of QAPE on eligible television production was used as the basis for this costing.  The impact of the proposal was then calculated by taking the difference between the amount of the Producer Tax Offset at the current rate and the proposed rate.</w:t>
      </w:r>
    </w:p>
    <w:p w:rsidR="000B5C96" w:rsidRDefault="000B5C96" w:rsidP="003F606A">
      <w:pPr>
        <w:pStyle w:val="BodyText"/>
      </w:pPr>
      <w:r>
        <w:t>Estimates have been rounded to the nearest $5 million.</w:t>
      </w:r>
    </w:p>
    <w:p w:rsidR="000B5C96" w:rsidRPr="00FC6579" w:rsidRDefault="000B5C96" w:rsidP="003F606A">
      <w:pPr>
        <w:pStyle w:val="CostingsH7"/>
      </w:pPr>
      <w:r w:rsidRPr="00FC6579">
        <w:t>Data sources</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r>
        <w:t>The amount of expenditure on foreign films and eligible television production in Australia was obtained from publicly available information published by Screen Australia.</w:t>
      </w:r>
    </w:p>
    <w:p w:rsidR="000B5C96" w:rsidRPr="005011C1" w:rsidRDefault="000B5C96" w:rsidP="000B5C96">
      <w:pPr>
        <w:pStyle w:val="Heading6"/>
        <w:numPr>
          <w:ilvl w:val="0"/>
          <w:numId w:val="5"/>
        </w:numPr>
        <w:tabs>
          <w:tab w:val="right" w:pos="1418"/>
          <w:tab w:val="right" w:pos="1701"/>
          <w:tab w:val="right" w:pos="1985"/>
        </w:tabs>
      </w:pPr>
      <w:r w:rsidRPr="005011C1">
        <w:t>Attachment A: Australia’s film industry—financial implications</w:t>
      </w:r>
    </w:p>
    <w:p w:rsidR="000B5C96" w:rsidRPr="005011C1" w:rsidRDefault="000B5C96" w:rsidP="003F606A">
      <w:pPr>
        <w:spacing w:before="114" w:after="114"/>
        <w:rPr>
          <w:rFonts w:ascii="Calibri" w:eastAsia="Calibri" w:hAnsi="Calibri" w:cs="Times New Roman"/>
        </w:rPr>
      </w:pPr>
      <w:r w:rsidRPr="005011C1">
        <w:rPr>
          <w:rFonts w:ascii="Calibri" w:eastAsia="Calibri" w:hAnsi="Calibri" w:cs="Times New Roman"/>
        </w:rPr>
        <w:t>The following tables provide a breakdown of the estimated financial impacts of the proposed changes over the 2016-17 Budget forward estimates period on a fiscal and underlying cash balance basis.</w:t>
      </w:r>
    </w:p>
    <w:p w:rsidR="000B5C96" w:rsidRPr="005011C1" w:rsidRDefault="000B5C96" w:rsidP="003F606A">
      <w:pPr>
        <w:pStyle w:val="Caption"/>
        <w:rPr>
          <w:vertAlign w:val="superscript"/>
        </w:rPr>
      </w:pPr>
      <w:r w:rsidRPr="005011C1">
        <w:t>Table A1: Australia’s film industry—Fiscal balance</w:t>
      </w:r>
      <w:r w:rsidRPr="005011C1">
        <w:rPr>
          <w:vertAlign w:val="superscript"/>
        </w:rPr>
        <w:t>(a)(b)</w:t>
      </w:r>
    </w:p>
    <w:tbl>
      <w:tblPr>
        <w:tblStyle w:val="TableGrid52"/>
        <w:tblW w:w="4995" w:type="pct"/>
        <w:tblLook w:val="04A0" w:firstRow="1" w:lastRow="0" w:firstColumn="1" w:lastColumn="0" w:noHBand="0" w:noVBand="1"/>
      </w:tblPr>
      <w:tblGrid>
        <w:gridCol w:w="2645"/>
        <w:gridCol w:w="1134"/>
        <w:gridCol w:w="1134"/>
        <w:gridCol w:w="1134"/>
        <w:gridCol w:w="1134"/>
        <w:gridCol w:w="1134"/>
      </w:tblGrid>
      <w:tr w:rsidR="000B5C96" w:rsidRPr="005011C1"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0" w:type="pct"/>
            <w:vAlign w:val="center"/>
          </w:tcPr>
          <w:p w:rsidR="000B5C96" w:rsidRPr="005011C1" w:rsidRDefault="000B5C96" w:rsidP="003F606A">
            <w:pPr>
              <w:keepNext/>
              <w:keepLines/>
              <w:spacing w:line="240" w:lineRule="auto"/>
              <w:ind w:left="57" w:right="57"/>
              <w:rPr>
                <w:szCs w:val="20"/>
              </w:rPr>
            </w:pPr>
            <w:r w:rsidRPr="005011C1">
              <w:rPr>
                <w:szCs w:val="20"/>
              </w:rPr>
              <w:t>Impact arising from ($m)</w:t>
            </w:r>
          </w:p>
        </w:tc>
        <w:tc>
          <w:tcPr>
            <w:tcW w:w="682" w:type="pct"/>
            <w:vAlign w:val="center"/>
          </w:tcPr>
          <w:p w:rsidR="000B5C96" w:rsidRPr="005011C1"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011C1">
              <w:t>2016–17</w:t>
            </w:r>
          </w:p>
        </w:tc>
        <w:tc>
          <w:tcPr>
            <w:tcW w:w="682" w:type="pct"/>
            <w:vAlign w:val="center"/>
          </w:tcPr>
          <w:p w:rsidR="000B5C96" w:rsidRPr="005011C1"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011C1">
              <w:t>2017–18</w:t>
            </w:r>
          </w:p>
        </w:tc>
        <w:tc>
          <w:tcPr>
            <w:tcW w:w="682" w:type="pct"/>
            <w:vAlign w:val="center"/>
          </w:tcPr>
          <w:p w:rsidR="000B5C96" w:rsidRPr="005011C1"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011C1">
              <w:t>2018–19</w:t>
            </w:r>
          </w:p>
        </w:tc>
        <w:tc>
          <w:tcPr>
            <w:tcW w:w="682" w:type="pct"/>
            <w:vAlign w:val="center"/>
          </w:tcPr>
          <w:p w:rsidR="000B5C96" w:rsidRPr="005011C1"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011C1">
              <w:t>2019–20</w:t>
            </w:r>
          </w:p>
        </w:tc>
        <w:tc>
          <w:tcPr>
            <w:tcW w:w="682" w:type="pct"/>
            <w:vAlign w:val="center"/>
          </w:tcPr>
          <w:p w:rsidR="000B5C96" w:rsidRPr="005011C1"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5011C1">
              <w:rPr>
                <w:b/>
              </w:rPr>
              <w:t>Total to 2019–20</w:t>
            </w:r>
          </w:p>
        </w:tc>
      </w:tr>
      <w:tr w:rsidR="000B5C96" w:rsidRPr="005011C1"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5011C1" w:rsidRDefault="000B5C96" w:rsidP="003F606A">
            <w:pPr>
              <w:ind w:left="57" w:right="57"/>
              <w:rPr>
                <w:b/>
                <w:i/>
              </w:rPr>
            </w:pPr>
            <w:r w:rsidRPr="005011C1">
              <w:rPr>
                <w:i/>
              </w:rPr>
              <w:t>Expenses</w:t>
            </w:r>
          </w:p>
        </w:tc>
      </w:tr>
      <w:tr w:rsidR="000B5C96" w:rsidRPr="005011C1" w:rsidTr="003F606A">
        <w:tc>
          <w:tcPr>
            <w:cnfStyle w:val="001000000000" w:firstRow="0" w:lastRow="0" w:firstColumn="1" w:lastColumn="0" w:oddVBand="0" w:evenVBand="0" w:oddHBand="0" w:evenHBand="0" w:firstRowFirstColumn="0" w:firstRowLastColumn="0" w:lastRowFirstColumn="0" w:lastRowLastColumn="0"/>
            <w:tcW w:w="1590" w:type="pct"/>
          </w:tcPr>
          <w:p w:rsidR="000B5C96" w:rsidRPr="005011C1" w:rsidRDefault="000B5C96" w:rsidP="003F606A">
            <w:pPr>
              <w:keepNext/>
              <w:keepLines/>
              <w:ind w:left="57" w:right="57"/>
              <w:rPr>
                <w:b/>
                <w:szCs w:val="20"/>
              </w:rPr>
            </w:pPr>
            <w:r w:rsidRPr="005011C1">
              <w:rPr>
                <w:b/>
              </w:rPr>
              <w:t>Administered</w:t>
            </w:r>
          </w:p>
        </w:tc>
        <w:tc>
          <w:tcPr>
            <w:tcW w:w="682" w:type="pct"/>
          </w:tcPr>
          <w:p w:rsidR="000B5C96" w:rsidRPr="005011C1"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011C1">
              <w:rPr>
                <w:rFonts w:ascii="Calibri" w:hAnsi="Calibri"/>
                <w:b/>
              </w:rPr>
              <w:t>-50.0</w:t>
            </w:r>
          </w:p>
        </w:tc>
        <w:tc>
          <w:tcPr>
            <w:tcW w:w="682" w:type="pct"/>
          </w:tcPr>
          <w:p w:rsidR="000B5C96" w:rsidRPr="005011C1"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011C1">
              <w:rPr>
                <w:rFonts w:ascii="Calibri" w:hAnsi="Calibri"/>
                <w:b/>
              </w:rPr>
              <w:t>-75.0</w:t>
            </w:r>
          </w:p>
        </w:tc>
        <w:tc>
          <w:tcPr>
            <w:tcW w:w="682" w:type="pct"/>
          </w:tcPr>
          <w:p w:rsidR="000B5C96" w:rsidRPr="005011C1"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011C1">
              <w:rPr>
                <w:rFonts w:ascii="Calibri" w:hAnsi="Calibri"/>
                <w:b/>
              </w:rPr>
              <w:t>-75.0</w:t>
            </w:r>
          </w:p>
        </w:tc>
        <w:tc>
          <w:tcPr>
            <w:tcW w:w="682" w:type="pct"/>
          </w:tcPr>
          <w:p w:rsidR="000B5C96" w:rsidRPr="005011C1"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011C1">
              <w:rPr>
                <w:rFonts w:ascii="Calibri" w:hAnsi="Calibri"/>
                <w:b/>
              </w:rPr>
              <w:t>-80.0</w:t>
            </w:r>
          </w:p>
        </w:tc>
        <w:tc>
          <w:tcPr>
            <w:tcW w:w="682" w:type="pct"/>
          </w:tcPr>
          <w:p w:rsidR="000B5C96" w:rsidRPr="005011C1"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011C1">
              <w:rPr>
                <w:rFonts w:ascii="Calibri" w:hAnsi="Calibri"/>
                <w:b/>
              </w:rPr>
              <w:t>-280.0</w:t>
            </w:r>
          </w:p>
        </w:tc>
      </w:tr>
      <w:tr w:rsidR="000B5C96" w:rsidRPr="005011C1"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0B5C96" w:rsidRPr="005011C1" w:rsidRDefault="000B5C96" w:rsidP="003F606A">
            <w:pPr>
              <w:keepNext/>
              <w:keepLines/>
              <w:ind w:left="57" w:right="57"/>
              <w:rPr>
                <w:i/>
                <w:szCs w:val="20"/>
              </w:rPr>
            </w:pPr>
            <w:r w:rsidRPr="005011C1">
              <w:rPr>
                <w:i/>
              </w:rPr>
              <w:t xml:space="preserve">Increase the Location Tax Offset </w:t>
            </w:r>
          </w:p>
        </w:tc>
        <w:tc>
          <w:tcPr>
            <w:tcW w:w="682" w:type="pct"/>
          </w:tcPr>
          <w:p w:rsidR="000B5C96" w:rsidRPr="005011C1"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011C1">
              <w:rPr>
                <w:rFonts w:ascii="Calibri" w:hAnsi="Calibri"/>
                <w:i/>
              </w:rPr>
              <w:t>-15.0</w:t>
            </w:r>
          </w:p>
        </w:tc>
        <w:tc>
          <w:tcPr>
            <w:tcW w:w="682" w:type="pct"/>
          </w:tcPr>
          <w:p w:rsidR="000B5C96" w:rsidRPr="005011C1"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011C1">
              <w:rPr>
                <w:rFonts w:ascii="Calibri" w:hAnsi="Calibri"/>
                <w:i/>
              </w:rPr>
              <w:t>-20.0</w:t>
            </w:r>
          </w:p>
        </w:tc>
        <w:tc>
          <w:tcPr>
            <w:tcW w:w="682" w:type="pct"/>
          </w:tcPr>
          <w:p w:rsidR="000B5C96" w:rsidRPr="005011C1"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011C1">
              <w:rPr>
                <w:rFonts w:ascii="Calibri" w:hAnsi="Calibri"/>
                <w:i/>
              </w:rPr>
              <w:t>-20.0</w:t>
            </w:r>
          </w:p>
        </w:tc>
        <w:tc>
          <w:tcPr>
            <w:tcW w:w="682" w:type="pct"/>
          </w:tcPr>
          <w:p w:rsidR="000B5C96" w:rsidRPr="005011C1"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011C1">
              <w:rPr>
                <w:rFonts w:ascii="Calibri" w:hAnsi="Calibri"/>
                <w:i/>
              </w:rPr>
              <w:t>-25.0</w:t>
            </w:r>
          </w:p>
        </w:tc>
        <w:tc>
          <w:tcPr>
            <w:tcW w:w="682" w:type="pct"/>
          </w:tcPr>
          <w:p w:rsidR="000B5C96" w:rsidRPr="005011C1"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011C1">
              <w:rPr>
                <w:rFonts w:ascii="Calibri" w:hAnsi="Calibri"/>
                <w:b/>
                <w:i/>
              </w:rPr>
              <w:t>-80.0</w:t>
            </w:r>
          </w:p>
        </w:tc>
      </w:tr>
      <w:tr w:rsidR="000B5C96" w:rsidRPr="005011C1" w:rsidTr="003F606A">
        <w:tc>
          <w:tcPr>
            <w:cnfStyle w:val="001000000000" w:firstRow="0" w:lastRow="0" w:firstColumn="1" w:lastColumn="0" w:oddVBand="0" w:evenVBand="0" w:oddHBand="0" w:evenHBand="0" w:firstRowFirstColumn="0" w:firstRowLastColumn="0" w:lastRowFirstColumn="0" w:lastRowLastColumn="0"/>
            <w:tcW w:w="1590" w:type="pct"/>
          </w:tcPr>
          <w:p w:rsidR="000B5C96" w:rsidRPr="005011C1" w:rsidRDefault="000B5C96" w:rsidP="003F606A">
            <w:pPr>
              <w:keepNext/>
              <w:keepLines/>
              <w:ind w:left="57" w:right="57"/>
              <w:rPr>
                <w:i/>
                <w:szCs w:val="20"/>
              </w:rPr>
            </w:pPr>
            <w:r w:rsidRPr="005011C1">
              <w:rPr>
                <w:i/>
              </w:rPr>
              <w:t xml:space="preserve">Increase the Producer Tax Offset </w:t>
            </w:r>
          </w:p>
        </w:tc>
        <w:tc>
          <w:tcPr>
            <w:tcW w:w="682" w:type="pct"/>
          </w:tcPr>
          <w:p w:rsidR="000B5C96" w:rsidRPr="005011C1"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011C1">
              <w:rPr>
                <w:rFonts w:ascii="Calibri" w:hAnsi="Calibri"/>
                <w:i/>
              </w:rPr>
              <w:t>-35.0</w:t>
            </w:r>
          </w:p>
        </w:tc>
        <w:tc>
          <w:tcPr>
            <w:tcW w:w="682" w:type="pct"/>
          </w:tcPr>
          <w:p w:rsidR="000B5C96" w:rsidRPr="005011C1"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011C1">
              <w:rPr>
                <w:rFonts w:ascii="Calibri" w:hAnsi="Calibri"/>
                <w:i/>
              </w:rPr>
              <w:t>-55.0</w:t>
            </w:r>
          </w:p>
        </w:tc>
        <w:tc>
          <w:tcPr>
            <w:tcW w:w="682" w:type="pct"/>
          </w:tcPr>
          <w:p w:rsidR="000B5C96" w:rsidRPr="005011C1"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011C1">
              <w:rPr>
                <w:rFonts w:ascii="Calibri" w:hAnsi="Calibri"/>
                <w:i/>
              </w:rPr>
              <w:t>-55.0</w:t>
            </w:r>
          </w:p>
        </w:tc>
        <w:tc>
          <w:tcPr>
            <w:tcW w:w="682" w:type="pct"/>
          </w:tcPr>
          <w:p w:rsidR="000B5C96" w:rsidRPr="005011C1"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011C1">
              <w:rPr>
                <w:rFonts w:ascii="Calibri" w:hAnsi="Calibri"/>
                <w:i/>
              </w:rPr>
              <w:t>-55.0</w:t>
            </w:r>
          </w:p>
        </w:tc>
        <w:tc>
          <w:tcPr>
            <w:tcW w:w="682" w:type="pct"/>
          </w:tcPr>
          <w:p w:rsidR="000B5C96" w:rsidRPr="005011C1"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5011C1">
              <w:rPr>
                <w:rFonts w:ascii="Calibri" w:hAnsi="Calibri"/>
                <w:b/>
                <w:i/>
              </w:rPr>
              <w:t>-200.0</w:t>
            </w:r>
          </w:p>
        </w:tc>
      </w:tr>
      <w:tr w:rsidR="000B5C96" w:rsidRPr="005011C1"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0B5C96" w:rsidRPr="005011C1" w:rsidRDefault="000B5C96" w:rsidP="003F606A">
            <w:pPr>
              <w:keepNext/>
              <w:keepLines/>
              <w:ind w:left="57" w:right="57"/>
              <w:rPr>
                <w:b/>
                <w:szCs w:val="20"/>
              </w:rPr>
            </w:pPr>
            <w:r w:rsidRPr="005011C1">
              <w:rPr>
                <w:b/>
                <w:szCs w:val="20"/>
              </w:rPr>
              <w:t>Total</w:t>
            </w:r>
          </w:p>
        </w:tc>
        <w:tc>
          <w:tcPr>
            <w:tcW w:w="682" w:type="pct"/>
            <w:shd w:val="clear" w:color="auto" w:fill="D7DDE9"/>
          </w:tcPr>
          <w:p w:rsidR="000B5C96" w:rsidRPr="005011C1"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011C1">
              <w:rPr>
                <w:rFonts w:ascii="Calibri" w:hAnsi="Calibri"/>
                <w:b/>
              </w:rPr>
              <w:t>-50.0</w:t>
            </w:r>
          </w:p>
        </w:tc>
        <w:tc>
          <w:tcPr>
            <w:tcW w:w="682" w:type="pct"/>
            <w:shd w:val="clear" w:color="auto" w:fill="D7DDE9"/>
          </w:tcPr>
          <w:p w:rsidR="000B5C96" w:rsidRPr="005011C1"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011C1">
              <w:rPr>
                <w:rFonts w:ascii="Calibri" w:hAnsi="Calibri"/>
                <w:b/>
              </w:rPr>
              <w:t>-75.0</w:t>
            </w:r>
          </w:p>
        </w:tc>
        <w:tc>
          <w:tcPr>
            <w:tcW w:w="682" w:type="pct"/>
            <w:shd w:val="clear" w:color="auto" w:fill="D7DDE9"/>
          </w:tcPr>
          <w:p w:rsidR="000B5C96" w:rsidRPr="005011C1"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011C1">
              <w:rPr>
                <w:rFonts w:ascii="Calibri" w:hAnsi="Calibri"/>
                <w:b/>
              </w:rPr>
              <w:t>-75.0</w:t>
            </w:r>
          </w:p>
        </w:tc>
        <w:tc>
          <w:tcPr>
            <w:tcW w:w="682" w:type="pct"/>
            <w:shd w:val="clear" w:color="auto" w:fill="D7DDE9"/>
          </w:tcPr>
          <w:p w:rsidR="000B5C96" w:rsidRPr="005011C1"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011C1">
              <w:rPr>
                <w:rFonts w:ascii="Calibri" w:hAnsi="Calibri"/>
                <w:b/>
              </w:rPr>
              <w:t>-80.0</w:t>
            </w:r>
          </w:p>
        </w:tc>
        <w:tc>
          <w:tcPr>
            <w:tcW w:w="682" w:type="pct"/>
            <w:shd w:val="clear" w:color="auto" w:fill="D7DDE9"/>
          </w:tcPr>
          <w:p w:rsidR="000B5C96" w:rsidRPr="005011C1"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011C1">
              <w:rPr>
                <w:rFonts w:ascii="Calibri" w:hAnsi="Calibri"/>
                <w:b/>
              </w:rPr>
              <w:t>-280.0</w:t>
            </w:r>
          </w:p>
        </w:tc>
      </w:tr>
    </w:tbl>
    <w:p w:rsidR="000B5C96" w:rsidRDefault="000B5C96" w:rsidP="00E54AEC">
      <w:pPr>
        <w:pStyle w:val="Footnotes"/>
        <w:numPr>
          <w:ilvl w:val="0"/>
          <w:numId w:val="290"/>
        </w:numPr>
        <w:ind w:left="284" w:hanging="284"/>
      </w:pPr>
      <w:r w:rsidRPr="00F41D57">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F41D57" w:rsidRDefault="000B5C96" w:rsidP="000B5C96">
      <w:pPr>
        <w:pStyle w:val="Footnotes"/>
        <w:numPr>
          <w:ilvl w:val="0"/>
          <w:numId w:val="7"/>
        </w:numPr>
        <w:ind w:left="284" w:hanging="284"/>
      </w:pPr>
      <w:r w:rsidRPr="00F41D57">
        <w:t>Figures may not sum to totals due to rounding.</w:t>
      </w:r>
    </w:p>
    <w:p w:rsidR="000B5C96" w:rsidRPr="005011C1" w:rsidRDefault="000B5C96" w:rsidP="003F606A">
      <w:pPr>
        <w:pStyle w:val="Caption"/>
        <w:rPr>
          <w:vertAlign w:val="superscript"/>
        </w:rPr>
      </w:pPr>
      <w:r w:rsidRPr="005011C1">
        <w:t>Table A2: Australia’s film industry—Underlying cash balance</w:t>
      </w:r>
      <w:r w:rsidRPr="005011C1">
        <w:rPr>
          <w:vertAlign w:val="superscript"/>
        </w:rPr>
        <w:t>(a)(b)</w:t>
      </w:r>
    </w:p>
    <w:tbl>
      <w:tblPr>
        <w:tblStyle w:val="TableGrid52"/>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5011C1"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5011C1" w:rsidRDefault="000B5C96" w:rsidP="003F606A">
            <w:pPr>
              <w:keepNext/>
              <w:keepLines/>
              <w:spacing w:line="240" w:lineRule="auto"/>
              <w:ind w:left="57" w:right="57"/>
              <w:rPr>
                <w:szCs w:val="20"/>
              </w:rPr>
            </w:pPr>
            <w:r w:rsidRPr="005011C1">
              <w:rPr>
                <w:szCs w:val="20"/>
              </w:rPr>
              <w:t>Impact arising from($m)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5011C1"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011C1">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5011C1"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011C1">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5011C1"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011C1">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5011C1"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5011C1">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5011C1"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5011C1">
              <w:rPr>
                <w:b/>
              </w:rPr>
              <w:t>Total</w:t>
            </w:r>
            <w:r w:rsidRPr="005011C1">
              <w:rPr>
                <w:b/>
                <w:szCs w:val="20"/>
              </w:rPr>
              <w:t xml:space="preserve"> to 2019–20</w:t>
            </w:r>
          </w:p>
        </w:tc>
      </w:tr>
      <w:tr w:rsidR="000B5C96" w:rsidRPr="005011C1"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5011C1" w:rsidRDefault="000B5C96" w:rsidP="003F606A">
            <w:pPr>
              <w:keepNext/>
              <w:keepLines/>
              <w:ind w:left="57" w:right="57"/>
              <w:rPr>
                <w:b/>
                <w:i/>
              </w:rPr>
            </w:pPr>
            <w:r w:rsidRPr="005011C1">
              <w:rPr>
                <w:i/>
              </w:rPr>
              <w:t>Outlays</w:t>
            </w:r>
          </w:p>
        </w:tc>
      </w:tr>
      <w:tr w:rsidR="000B5C96" w:rsidRPr="005011C1"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ind w:left="57" w:right="57"/>
              <w:rPr>
                <w:szCs w:val="20"/>
              </w:rPr>
            </w:pPr>
            <w:r w:rsidRPr="005011C1">
              <w:rPr>
                <w:b/>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011C1">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011C1">
              <w:rPr>
                <w:rFonts w:ascii="Calibri" w:hAnsi="Calibri"/>
                <w:b/>
              </w:rPr>
              <w:t>-50.0</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011C1">
              <w:rPr>
                <w:rFonts w:ascii="Calibri" w:hAnsi="Calibri"/>
                <w:b/>
              </w:rPr>
              <w:t>-75.0</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011C1">
              <w:rPr>
                <w:rFonts w:ascii="Calibri" w:hAnsi="Calibri"/>
                <w:b/>
              </w:rPr>
              <w:t>-75.0</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011C1">
              <w:rPr>
                <w:rFonts w:ascii="Calibri" w:hAnsi="Calibri"/>
                <w:b/>
              </w:rPr>
              <w:t>-200.0</w:t>
            </w:r>
          </w:p>
        </w:tc>
      </w:tr>
      <w:tr w:rsidR="000B5C96" w:rsidRPr="005011C1"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ind w:left="57" w:right="57"/>
              <w:rPr>
                <w:i/>
                <w:szCs w:val="20"/>
              </w:rPr>
            </w:pPr>
            <w:r w:rsidRPr="005011C1">
              <w:rPr>
                <w:i/>
              </w:rPr>
              <w:t xml:space="preserve">Increase the Location Tax Offset </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011C1">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011C1">
              <w:rPr>
                <w:rFonts w:ascii="Calibri" w:hAnsi="Calibri"/>
                <w:i/>
              </w:rPr>
              <w:t>-15.0</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011C1">
              <w:rPr>
                <w:rFonts w:ascii="Calibri" w:hAnsi="Calibri"/>
                <w:i/>
              </w:rPr>
              <w:t>-20.0</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011C1">
              <w:rPr>
                <w:rFonts w:ascii="Calibri" w:hAnsi="Calibri"/>
                <w:i/>
              </w:rPr>
              <w:t>-20.0</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011C1">
              <w:rPr>
                <w:rFonts w:ascii="Calibri" w:hAnsi="Calibri"/>
                <w:b/>
                <w:i/>
              </w:rPr>
              <w:t>-55.0</w:t>
            </w:r>
          </w:p>
        </w:tc>
      </w:tr>
      <w:tr w:rsidR="000B5C96" w:rsidRPr="005011C1"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ind w:left="57" w:right="57"/>
              <w:rPr>
                <w:i/>
                <w:szCs w:val="20"/>
              </w:rPr>
            </w:pPr>
            <w:r w:rsidRPr="005011C1">
              <w:rPr>
                <w:i/>
              </w:rPr>
              <w:t xml:space="preserve">Increase the Producer Tax Offset </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011C1">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011C1">
              <w:rPr>
                <w:rFonts w:ascii="Calibri" w:hAnsi="Calibri"/>
                <w:i/>
              </w:rPr>
              <w:t>-35.0</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011C1">
              <w:rPr>
                <w:rFonts w:ascii="Calibri" w:hAnsi="Calibri"/>
                <w:i/>
              </w:rPr>
              <w:t>-55.0</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011C1">
              <w:rPr>
                <w:rFonts w:ascii="Calibri" w:hAnsi="Calibri"/>
                <w:i/>
              </w:rPr>
              <w:t>-55.0</w:t>
            </w:r>
          </w:p>
        </w:tc>
        <w:tc>
          <w:tcPr>
            <w:tcW w:w="682" w:type="pct"/>
            <w:tcBorders>
              <w:top w:val="single" w:sz="4" w:space="0" w:color="788184"/>
              <w:left w:val="single" w:sz="4" w:space="0" w:color="788184"/>
              <w:bottom w:val="single" w:sz="4" w:space="0" w:color="788184"/>
              <w:right w:val="single" w:sz="4" w:space="0" w:color="788184"/>
            </w:tcBorders>
          </w:tcPr>
          <w:p w:rsidR="000B5C96" w:rsidRPr="005011C1"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5011C1">
              <w:rPr>
                <w:rFonts w:ascii="Calibri" w:hAnsi="Calibri"/>
                <w:b/>
                <w:i/>
              </w:rPr>
              <w:t>-145.0</w:t>
            </w:r>
          </w:p>
        </w:tc>
      </w:tr>
      <w:tr w:rsidR="000B5C96" w:rsidRPr="005011C1"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5011C1" w:rsidRDefault="000B5C96" w:rsidP="003F606A">
            <w:pPr>
              <w:keepNext/>
              <w:keepLines/>
              <w:ind w:left="57" w:right="57"/>
              <w:rPr>
                <w:b/>
                <w:szCs w:val="20"/>
              </w:rPr>
            </w:pPr>
            <w:r w:rsidRPr="005011C1">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5011C1"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011C1">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5011C1"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011C1">
              <w:rPr>
                <w:rFonts w:ascii="Calibri" w:hAnsi="Calibri"/>
                <w:b/>
              </w:rPr>
              <w:t>-50.0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5011C1"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011C1">
              <w:rPr>
                <w:rFonts w:ascii="Calibri" w:hAnsi="Calibri"/>
                <w:b/>
              </w:rPr>
              <w:t>-75.0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5011C1"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011C1">
              <w:rPr>
                <w:rFonts w:ascii="Calibri" w:hAnsi="Calibri"/>
                <w:b/>
              </w:rPr>
              <w:t>-75.0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5011C1"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011C1">
              <w:rPr>
                <w:rFonts w:ascii="Calibri" w:hAnsi="Calibri"/>
                <w:b/>
              </w:rPr>
              <w:t>-200.0</w:t>
            </w:r>
          </w:p>
        </w:tc>
      </w:tr>
    </w:tbl>
    <w:p w:rsidR="000B5C96" w:rsidRDefault="000B5C96" w:rsidP="00E54AEC">
      <w:pPr>
        <w:pStyle w:val="Footnotes"/>
        <w:numPr>
          <w:ilvl w:val="0"/>
          <w:numId w:val="291"/>
        </w:numPr>
        <w:ind w:left="284" w:hanging="284"/>
      </w:pPr>
      <w:r w:rsidRPr="00F41D57">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F41D57" w:rsidRDefault="000B5C96" w:rsidP="000B5C96">
      <w:pPr>
        <w:pStyle w:val="Footnotes"/>
        <w:numPr>
          <w:ilvl w:val="0"/>
          <w:numId w:val="7"/>
        </w:numPr>
        <w:ind w:left="284" w:hanging="284"/>
      </w:pPr>
      <w:r w:rsidRPr="00F41D57">
        <w:t>Figures may not sum to totals due to rounding.</w:t>
      </w:r>
    </w:p>
    <w:p w:rsidR="000B5C96" w:rsidRDefault="000B5C96" w:rsidP="003F606A">
      <w:pPr>
        <w:pStyle w:val="BodyText"/>
      </w:pPr>
    </w:p>
    <w:p w:rsidR="000B5C96" w:rsidRPr="00324841" w:rsidRDefault="000B5C96" w:rsidP="003F606A">
      <w:pPr>
        <w:pStyle w:val="BodyText"/>
        <w:sectPr w:rsidR="000B5C96" w:rsidRPr="00324841"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97" w:name="_Toc458001978"/>
      <w:bookmarkStart w:id="198" w:name="_Toc458069463"/>
      <w:r>
        <w:t>GRN072: A living wage for artists</w:t>
      </w:r>
      <w:bookmarkEnd w:id="197"/>
      <w:bookmarkEnd w:id="198"/>
    </w:p>
    <w:p w:rsidR="000B5C96" w:rsidRPr="008A0AE1" w:rsidRDefault="000B5C96" w:rsidP="003F606A">
      <w:pPr>
        <w:pStyle w:val="BodyText"/>
      </w:pPr>
      <w:r>
        <w:rPr>
          <w:noProof/>
          <w:lang w:eastAsia="en-AU"/>
        </w:rPr>
        <w:drawing>
          <wp:inline distT="0" distB="0" distL="0" distR="0" wp14:anchorId="4382D10A" wp14:editId="0C9A3A30">
            <wp:extent cx="2696845" cy="572135"/>
            <wp:effectExtent l="0" t="0" r="8255" b="0"/>
            <wp:docPr id="482" name="Picture 48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8C5B57" w:rsidRDefault="000B5C96" w:rsidP="000B5C96">
      <w:pPr>
        <w:pStyle w:val="Heading6"/>
        <w:numPr>
          <w:ilvl w:val="0"/>
          <w:numId w:val="5"/>
        </w:numPr>
        <w:tabs>
          <w:tab w:val="right" w:pos="1418"/>
          <w:tab w:val="right" w:pos="1701"/>
          <w:tab w:val="right" w:pos="1985"/>
        </w:tabs>
      </w:pPr>
      <w:r w:rsidRPr="008C5B57">
        <w:t>Policy costing—during the caretaker period for the 2016 general election</w:t>
      </w:r>
    </w:p>
    <w:tbl>
      <w:tblPr>
        <w:tblStyle w:val="Style110"/>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A Living Wage for Artists</w:t>
            </w:r>
          </w:p>
        </w:tc>
      </w:tr>
      <w:tr w:rsidR="000B5C96" w:rsidRPr="008C5B57" w:rsidTr="003F606A">
        <w:tc>
          <w:tcPr>
            <w:tcW w:w="3005" w:type="dxa"/>
          </w:tcPr>
          <w:p w:rsidR="000B5C96" w:rsidRPr="008C5B57" w:rsidRDefault="000B5C96" w:rsidP="003F606A">
            <w:pPr>
              <w:pStyle w:val="PullOutBoxBodyText"/>
            </w:pPr>
            <w:r w:rsidRPr="008C5B57">
              <w:t>Summary of proposal:</w:t>
            </w:r>
          </w:p>
        </w:tc>
        <w:tc>
          <w:tcPr>
            <w:tcW w:w="5335" w:type="dxa"/>
          </w:tcPr>
          <w:p w:rsidR="000B5C96" w:rsidRPr="008C5B57" w:rsidRDefault="000B5C96" w:rsidP="003F606A">
            <w:pPr>
              <w:pStyle w:val="PullOutBoxBodyText"/>
            </w:pPr>
            <w:r w:rsidRPr="008C5B57">
              <w:t>This proposal has two components.</w:t>
            </w:r>
          </w:p>
          <w:p w:rsidR="000B5C96" w:rsidRPr="008C5B57" w:rsidRDefault="000B5C96" w:rsidP="003F606A">
            <w:pPr>
              <w:pStyle w:val="PullOutBoxBodyText"/>
              <w:rPr>
                <w:u w:val="single"/>
              </w:rPr>
            </w:pPr>
            <w:r w:rsidRPr="008C5B57">
              <w:rPr>
                <w:u w:val="single"/>
              </w:rPr>
              <w:t xml:space="preserve">Component 1: Centrelink mutual obligation requirement </w:t>
            </w:r>
          </w:p>
          <w:p w:rsidR="000B5C96" w:rsidRPr="008C5B57" w:rsidRDefault="000B5C96" w:rsidP="003F606A">
            <w:pPr>
              <w:pStyle w:val="PullOutBoxBodyText"/>
            </w:pPr>
            <w:r w:rsidRPr="008C5B57">
              <w:t>This component would allow artistic activities that provide community benefit to be eligible for Centrelink mutual obligation requirements.</w:t>
            </w:r>
          </w:p>
          <w:p w:rsidR="000B5C96" w:rsidRPr="008C5B57" w:rsidRDefault="000B5C96" w:rsidP="003F606A">
            <w:pPr>
              <w:pStyle w:val="PullOutBoxBodyText"/>
              <w:rPr>
                <w:u w:val="single"/>
              </w:rPr>
            </w:pPr>
            <w:r w:rsidRPr="008C5B57">
              <w:rPr>
                <w:u w:val="single"/>
              </w:rPr>
              <w:t>Component 2: Low-income artist superannuation supplement</w:t>
            </w:r>
          </w:p>
          <w:p w:rsidR="000B5C96" w:rsidRPr="008C5B57" w:rsidRDefault="000B5C96" w:rsidP="003F606A">
            <w:pPr>
              <w:pStyle w:val="PullOutBoxBodyText"/>
            </w:pPr>
            <w:r w:rsidRPr="008C5B57">
              <w:t>Where a working artist meets the eligibility criteria for the Low Income Superannuation Tax Offset (LISTO) announced in the 2016</w:t>
            </w:r>
            <w:r w:rsidRPr="008C5B57">
              <w:noBreakHyphen/>
              <w:t>17 Budget, this component would also make them eligible to receive an additional annual government superannuation payment of $500.</w:t>
            </w:r>
          </w:p>
          <w:p w:rsidR="000B5C96" w:rsidRPr="008C5B57" w:rsidRDefault="000B5C96" w:rsidP="003F606A">
            <w:pPr>
              <w:pStyle w:val="PullOutBoxBodyText"/>
            </w:pPr>
            <w:r w:rsidRPr="008C5B57">
              <w:t>The proposal would have effect from 1 July 2017.</w:t>
            </w:r>
          </w:p>
        </w:tc>
      </w:tr>
      <w:tr w:rsidR="000B5C96" w:rsidRPr="008C5B57" w:rsidTr="003F606A">
        <w:tc>
          <w:tcPr>
            <w:tcW w:w="3005" w:type="dxa"/>
          </w:tcPr>
          <w:p w:rsidR="000B5C96" w:rsidRPr="008C5B57" w:rsidRDefault="000B5C96" w:rsidP="003F606A">
            <w:pPr>
              <w:pStyle w:val="PullOutBoxBodyText"/>
            </w:pPr>
            <w:r w:rsidRPr="008C5B57">
              <w:t>Person/party requesting costing:</w:t>
            </w:r>
          </w:p>
        </w:tc>
        <w:tc>
          <w:tcPr>
            <w:tcW w:w="5335" w:type="dxa"/>
          </w:tcPr>
          <w:p w:rsidR="000B5C96" w:rsidRPr="008C5B57" w:rsidRDefault="000B5C96" w:rsidP="003F606A">
            <w:pPr>
              <w:pStyle w:val="PullOutBoxBodyText"/>
            </w:pPr>
            <w:r w:rsidRPr="008C5B57">
              <w:t>Senator Richard Di Natale, Australian Greens</w:t>
            </w:r>
          </w:p>
        </w:tc>
      </w:tr>
      <w:tr w:rsidR="000B5C96" w:rsidRPr="008C5B57" w:rsidTr="003F606A">
        <w:tc>
          <w:tcPr>
            <w:tcW w:w="3005" w:type="dxa"/>
          </w:tcPr>
          <w:p w:rsidR="000B5C96" w:rsidRPr="008C5B57" w:rsidRDefault="000B5C96" w:rsidP="003F606A">
            <w:pPr>
              <w:pStyle w:val="PullOutBoxBodyText"/>
            </w:pPr>
            <w:r w:rsidRPr="008C5B57">
              <w:t>Date of public release of policy:</w:t>
            </w:r>
          </w:p>
        </w:tc>
        <w:tc>
          <w:tcPr>
            <w:tcW w:w="5335" w:type="dxa"/>
          </w:tcPr>
          <w:p w:rsidR="000B5C96" w:rsidRPr="008C5B57" w:rsidRDefault="000B5C96" w:rsidP="003F606A">
            <w:pPr>
              <w:pStyle w:val="PullOutBoxBodyText"/>
            </w:pPr>
            <w:r w:rsidRPr="008C5B57">
              <w:t>8 June 2016</w:t>
            </w:r>
          </w:p>
          <w:p w:rsidR="000B5C96" w:rsidRPr="008C5B57" w:rsidRDefault="00E46526" w:rsidP="003F606A">
            <w:pPr>
              <w:pStyle w:val="PullOutBoxBodyText"/>
            </w:pPr>
            <w:hyperlink r:id="rId571" w:history="1">
              <w:r w:rsidR="000B5C96" w:rsidRPr="008C5B57">
                <w:rPr>
                  <w:rFonts w:cs="Helvetica"/>
                  <w:color w:val="2398C9"/>
                  <w:u w:val="single"/>
                  <w:bdr w:val="none" w:sz="0" w:space="0" w:color="auto" w:frame="1"/>
                  <w:shd w:val="clear" w:color="auto" w:fill="FFFFFF"/>
                </w:rPr>
                <w:t>http://www.adambandt.com/160608</w:t>
              </w:r>
            </w:hyperlink>
          </w:p>
        </w:tc>
      </w:tr>
      <w:tr w:rsidR="000B5C96" w:rsidRPr="008C5B57" w:rsidTr="003F606A">
        <w:tc>
          <w:tcPr>
            <w:tcW w:w="3005" w:type="dxa"/>
          </w:tcPr>
          <w:p w:rsidR="000B5C96" w:rsidRPr="008C5B57" w:rsidRDefault="000B5C96" w:rsidP="003F606A">
            <w:pPr>
              <w:pStyle w:val="PullOutBoxBodyText"/>
            </w:pPr>
            <w:r w:rsidRPr="008C5B57">
              <w:t>Date costing request received:</w:t>
            </w:r>
          </w:p>
        </w:tc>
        <w:tc>
          <w:tcPr>
            <w:tcW w:w="5335" w:type="dxa"/>
          </w:tcPr>
          <w:p w:rsidR="000B5C96" w:rsidRPr="008C5B57" w:rsidRDefault="000B5C96" w:rsidP="003F606A">
            <w:pPr>
              <w:pStyle w:val="PullOutBoxBodyText"/>
            </w:pPr>
            <w:r w:rsidRPr="008C5B57">
              <w:t>30 June 2016</w:t>
            </w:r>
          </w:p>
        </w:tc>
      </w:tr>
      <w:tr w:rsidR="000B5C96" w:rsidRPr="008C5B57" w:rsidTr="003F606A">
        <w:tc>
          <w:tcPr>
            <w:tcW w:w="3005" w:type="dxa"/>
          </w:tcPr>
          <w:p w:rsidR="000B5C96" w:rsidRPr="008C5B57" w:rsidRDefault="000B5C96" w:rsidP="003F606A">
            <w:pPr>
              <w:pStyle w:val="PullOutBoxBodyText"/>
            </w:pPr>
            <w:r w:rsidRPr="008C5B57">
              <w:t>Date costing completed:</w:t>
            </w:r>
          </w:p>
        </w:tc>
        <w:tc>
          <w:tcPr>
            <w:tcW w:w="5335" w:type="dxa"/>
          </w:tcPr>
          <w:p w:rsidR="000B5C96" w:rsidRPr="008C5B57" w:rsidRDefault="000B5C96" w:rsidP="003F606A">
            <w:pPr>
              <w:pStyle w:val="PullOutBoxBodyText"/>
            </w:pPr>
            <w:r w:rsidRPr="008C5B57">
              <w:t>30 June 2016</w:t>
            </w:r>
          </w:p>
        </w:tc>
      </w:tr>
      <w:tr w:rsidR="000B5C96" w:rsidRPr="008C5B57" w:rsidTr="003F606A">
        <w:tc>
          <w:tcPr>
            <w:tcW w:w="3005" w:type="dxa"/>
          </w:tcPr>
          <w:p w:rsidR="000B5C96" w:rsidRPr="008C5B57" w:rsidRDefault="000B5C96" w:rsidP="003F606A">
            <w:pPr>
              <w:pStyle w:val="PullOutBoxBodyText"/>
            </w:pPr>
            <w:r w:rsidRPr="008C5B57">
              <w:t>Expiry date for the costing:</w:t>
            </w:r>
          </w:p>
        </w:tc>
        <w:tc>
          <w:tcPr>
            <w:tcW w:w="5335" w:type="dxa"/>
          </w:tcPr>
          <w:p w:rsidR="000B5C96" w:rsidRPr="008C5B57" w:rsidRDefault="000B5C96" w:rsidP="003F606A">
            <w:pPr>
              <w:pStyle w:val="PullOutBoxBodyText"/>
            </w:pPr>
            <w:r w:rsidRPr="008C5B57">
              <w:t>Release of the next economic and fiscal outlook report</w:t>
            </w:r>
          </w:p>
        </w:tc>
      </w:tr>
    </w:tbl>
    <w:p w:rsidR="000B5C96" w:rsidRPr="00F1049B" w:rsidRDefault="000B5C96" w:rsidP="003F606A">
      <w:pPr>
        <w:pStyle w:val="CostingsH7"/>
      </w:pPr>
      <w:r w:rsidRPr="00F1049B">
        <w:t>Costing overview</w:t>
      </w:r>
    </w:p>
    <w:p w:rsidR="000B5C96" w:rsidRPr="00F1049B" w:rsidRDefault="000B5C96" w:rsidP="003F606A">
      <w:pPr>
        <w:pStyle w:val="BodyText"/>
        <w:keepNext/>
        <w:keepLines/>
      </w:pPr>
      <w:r w:rsidRPr="00F1049B">
        <w:t>This proposal would be expected to decrease the fiscal balance by $74 million and decrease the underlying cash balance by $64 million over the 2016</w:t>
      </w:r>
      <w:r w:rsidRPr="00F1049B">
        <w:noBreakHyphen/>
        <w:t xml:space="preserve">17 Budget forward estimates period.  This reflects an increase in expenses over this period. </w:t>
      </w:r>
    </w:p>
    <w:p w:rsidR="000B5C96" w:rsidRPr="00F1049B" w:rsidRDefault="000B5C96" w:rsidP="003F606A">
      <w:pPr>
        <w:pStyle w:val="BodyText"/>
        <w:keepNext/>
        <w:keepLines/>
      </w:pPr>
      <w:r w:rsidRPr="00F1049B">
        <w:t>The fiscal and underlying cash balance impacts differ due to the timing profile of the superannuation supplement.  For Government superannuation contributions, the fiscal balance impact typically occurs in the year in which a person qualifies for the supplement.  The underlying cash balance impact occurs when the Australian Taxation Office (ATO) is able to consolidate taxpayer information and pay the supplement, which generally happens within two years after qualifying for the payment.</w:t>
      </w:r>
    </w:p>
    <w:p w:rsidR="000B5C96" w:rsidRPr="00F1049B" w:rsidRDefault="000B5C96" w:rsidP="003F606A">
      <w:pPr>
        <w:pStyle w:val="BodyText"/>
      </w:pPr>
      <w:r w:rsidRPr="00F1049B">
        <w:t xml:space="preserve">Detailed financial implications of the proposal are provided at </w:t>
      </w:r>
      <w:r w:rsidRPr="00F1049B">
        <w:rPr>
          <w:u w:val="single"/>
        </w:rPr>
        <w:t>Attachment A</w:t>
      </w:r>
      <w:r w:rsidRPr="00F1049B">
        <w:t>.</w:t>
      </w:r>
    </w:p>
    <w:p w:rsidR="000B5C96" w:rsidRPr="00F1049B" w:rsidRDefault="000B5C96" w:rsidP="003F606A">
      <w:pPr>
        <w:pStyle w:val="BodyText"/>
      </w:pPr>
      <w:r w:rsidRPr="00F1049B">
        <w:t>This proposal is expected to have ongoing impacts beyond the 2016</w:t>
      </w:r>
      <w:r w:rsidRPr="00F1049B">
        <w:noBreakHyphen/>
        <w:t>17 Budget forward estimates period.   The mutual obligation component would change with payments.  The impact of the superannuation supplement would be expected to decrease as incomes grow, reducing the number of people below the non</w:t>
      </w:r>
      <w:r w:rsidRPr="00F1049B">
        <w:noBreakHyphen/>
        <w:t xml:space="preserve">indexed LISTO income eligibility threshold.  </w:t>
      </w:r>
    </w:p>
    <w:p w:rsidR="000B5C96" w:rsidRPr="00F1049B" w:rsidRDefault="000B5C96" w:rsidP="003F606A">
      <w:pPr>
        <w:pStyle w:val="BodyText"/>
      </w:pPr>
      <w:r w:rsidRPr="00F1049B">
        <w:t>Departmental expenses were estimated to be around $9 million over the 2016-17 Budget forward estimates period.  This would enable the Department of Human Services (DHS) to assess eligibility and process claims and enable the ATO to implement the superannuation supplement.</w:t>
      </w:r>
    </w:p>
    <w:p w:rsidR="000B5C96" w:rsidRPr="00F1049B" w:rsidRDefault="000B5C96" w:rsidP="003F606A">
      <w:pPr>
        <w:pStyle w:val="BodyText"/>
        <w:rPr>
          <w:lang w:eastAsia="en-AU"/>
        </w:rPr>
      </w:pPr>
      <w:r w:rsidRPr="00F1049B">
        <w:t xml:space="preserve">This costing is considered to have low to medium reliability.  </w:t>
      </w:r>
      <w:r w:rsidRPr="00F1049B">
        <w:rPr>
          <w:lang w:eastAsia="en-AU"/>
        </w:rPr>
        <w:t xml:space="preserve">The estimates are sensitive to changes in population and income growth, </w:t>
      </w:r>
      <w:r w:rsidRPr="00F1049B">
        <w:t>payment increases, claim probability</w:t>
      </w:r>
      <w:r w:rsidRPr="00F1049B">
        <w:rPr>
          <w:lang w:eastAsia="en-AU"/>
        </w:rPr>
        <w:t xml:space="preserve"> and any changes in behaviour that result from the proposed policy.</w:t>
      </w:r>
    </w:p>
    <w:p w:rsidR="000B5C96" w:rsidRPr="00F1049B" w:rsidRDefault="000B5C96" w:rsidP="003F606A">
      <w:pPr>
        <w:pStyle w:val="Caption"/>
      </w:pPr>
      <w:r w:rsidRPr="00F1049B">
        <w:t>Table 1: Financial implications</w:t>
      </w:r>
      <w:r w:rsidRPr="00F1049B">
        <w:rPr>
          <w:vertAlign w:val="superscript"/>
        </w:rPr>
        <w:t>(a)(b)</w:t>
      </w:r>
    </w:p>
    <w:tbl>
      <w:tblPr>
        <w:tblStyle w:val="TableGrid53"/>
        <w:tblW w:w="4993" w:type="pct"/>
        <w:tblLook w:val="04A0" w:firstRow="1" w:lastRow="0" w:firstColumn="1" w:lastColumn="0" w:noHBand="0" w:noVBand="1"/>
      </w:tblPr>
      <w:tblGrid>
        <w:gridCol w:w="2644"/>
        <w:gridCol w:w="1133"/>
        <w:gridCol w:w="1134"/>
        <w:gridCol w:w="1134"/>
        <w:gridCol w:w="1134"/>
        <w:gridCol w:w="1132"/>
      </w:tblGrid>
      <w:tr w:rsidR="000B5C96" w:rsidRPr="00F1049B"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F1049B" w:rsidRDefault="000B5C96" w:rsidP="003F606A">
            <w:pPr>
              <w:keepNext/>
              <w:keepLines/>
              <w:spacing w:line="240" w:lineRule="auto"/>
              <w:ind w:left="57" w:right="57"/>
              <w:rPr>
                <w:szCs w:val="20"/>
              </w:rPr>
            </w:pPr>
            <w:r w:rsidRPr="00F1049B">
              <w:rPr>
                <w:szCs w:val="20"/>
              </w:rPr>
              <w:t>Impact on ($m)</w:t>
            </w:r>
          </w:p>
        </w:tc>
        <w:tc>
          <w:tcPr>
            <w:tcW w:w="682" w:type="pct"/>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rPr>
                <w:szCs w:val="20"/>
              </w:rPr>
              <w:t>2016–17</w:t>
            </w:r>
          </w:p>
        </w:tc>
        <w:tc>
          <w:tcPr>
            <w:tcW w:w="682" w:type="pct"/>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rPr>
                <w:szCs w:val="20"/>
              </w:rPr>
              <w:t>2017–18</w:t>
            </w:r>
          </w:p>
        </w:tc>
        <w:tc>
          <w:tcPr>
            <w:tcW w:w="682" w:type="pct"/>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rPr>
                <w:szCs w:val="20"/>
              </w:rPr>
              <w:t>2018–19</w:t>
            </w:r>
          </w:p>
        </w:tc>
        <w:tc>
          <w:tcPr>
            <w:tcW w:w="682" w:type="pct"/>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F1049B">
              <w:rPr>
                <w:szCs w:val="20"/>
              </w:rPr>
              <w:t>2019–20</w:t>
            </w:r>
          </w:p>
        </w:tc>
        <w:tc>
          <w:tcPr>
            <w:tcW w:w="681" w:type="pct"/>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F1049B">
              <w:rPr>
                <w:b/>
                <w:szCs w:val="20"/>
              </w:rPr>
              <w:t>Total</w:t>
            </w:r>
          </w:p>
        </w:tc>
      </w:tr>
      <w:tr w:rsidR="000B5C96" w:rsidRPr="00F1049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F1049B" w:rsidRDefault="000B5C96" w:rsidP="003F606A">
            <w:pPr>
              <w:keepNext/>
              <w:keepLines/>
              <w:ind w:left="57" w:right="57"/>
              <w:rPr>
                <w:szCs w:val="20"/>
              </w:rPr>
            </w:pPr>
            <w:r w:rsidRPr="00F1049B">
              <w:rPr>
                <w:szCs w:val="20"/>
              </w:rPr>
              <w:t>Fiscal balance</w:t>
            </w:r>
          </w:p>
        </w:tc>
        <w:tc>
          <w:tcPr>
            <w:tcW w:w="682" w:type="pct"/>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w:t>
            </w:r>
          </w:p>
        </w:tc>
        <w:tc>
          <w:tcPr>
            <w:tcW w:w="682" w:type="pct"/>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-28.0</w:t>
            </w:r>
          </w:p>
        </w:tc>
        <w:tc>
          <w:tcPr>
            <w:tcW w:w="682" w:type="pct"/>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-23.0</w:t>
            </w:r>
          </w:p>
        </w:tc>
        <w:tc>
          <w:tcPr>
            <w:tcW w:w="682" w:type="pct"/>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-23.0</w:t>
            </w:r>
          </w:p>
        </w:tc>
        <w:tc>
          <w:tcPr>
            <w:tcW w:w="681" w:type="pct"/>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F1049B">
              <w:rPr>
                <w:rFonts w:ascii="Calibri" w:hAnsi="Calibri"/>
                <w:b/>
              </w:rPr>
              <w:t>-74.0</w:t>
            </w:r>
          </w:p>
        </w:tc>
      </w:tr>
      <w:tr w:rsidR="000B5C96" w:rsidRPr="00F1049B"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F1049B" w:rsidRDefault="000B5C96" w:rsidP="003F606A">
            <w:pPr>
              <w:keepNext/>
              <w:keepLines/>
              <w:ind w:left="57" w:right="57"/>
              <w:rPr>
                <w:szCs w:val="20"/>
              </w:rPr>
            </w:pPr>
            <w:r w:rsidRPr="00F1049B">
              <w:rPr>
                <w:szCs w:val="20"/>
              </w:rPr>
              <w:t>Underlying cash balance</w:t>
            </w:r>
          </w:p>
        </w:tc>
        <w:tc>
          <w:tcPr>
            <w:tcW w:w="682"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682"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-18.0</w:t>
            </w:r>
          </w:p>
        </w:tc>
        <w:tc>
          <w:tcPr>
            <w:tcW w:w="682"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-23.0</w:t>
            </w:r>
          </w:p>
        </w:tc>
        <w:tc>
          <w:tcPr>
            <w:tcW w:w="682"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-23.0</w:t>
            </w:r>
          </w:p>
        </w:tc>
        <w:tc>
          <w:tcPr>
            <w:tcW w:w="681"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-64.0</w:t>
            </w:r>
          </w:p>
        </w:tc>
      </w:tr>
    </w:tbl>
    <w:p w:rsidR="000B5C96" w:rsidRDefault="000B5C96" w:rsidP="00E54AEC">
      <w:pPr>
        <w:pStyle w:val="Footnotes"/>
        <w:numPr>
          <w:ilvl w:val="0"/>
          <w:numId w:val="292"/>
        </w:numPr>
        <w:ind w:left="284" w:hanging="284"/>
      </w:pPr>
      <w:r w:rsidRPr="00F1049B">
        <w:t>A positive number indicates an increase in the relevant budget balance, a</w:t>
      </w:r>
      <w:r>
        <w:tab/>
      </w:r>
      <w:r w:rsidRPr="00F1049B">
        <w:t xml:space="preserve"> negative number a decrease.</w:t>
      </w:r>
    </w:p>
    <w:p w:rsidR="000B5C96" w:rsidRPr="00F1049B" w:rsidRDefault="000B5C96" w:rsidP="000B5C96">
      <w:pPr>
        <w:pStyle w:val="Footnotes"/>
        <w:numPr>
          <w:ilvl w:val="0"/>
          <w:numId w:val="7"/>
        </w:numPr>
        <w:ind w:left="284" w:hanging="284"/>
      </w:pPr>
      <w:r w:rsidRPr="00F1049B">
        <w:t>Figures may not sum to totals due to rounding.</w:t>
      </w:r>
    </w:p>
    <w:p w:rsidR="000B5C96" w:rsidRPr="00F1049B" w:rsidRDefault="000B5C96" w:rsidP="000B5C96">
      <w:pPr>
        <w:pStyle w:val="Footnotes"/>
        <w:numPr>
          <w:ilvl w:val="0"/>
          <w:numId w:val="115"/>
        </w:numPr>
        <w:ind w:left="284" w:hanging="284"/>
      </w:pPr>
      <w:r w:rsidRPr="00F1049B">
        <w:t>Indicates a nil value.</w:t>
      </w:r>
    </w:p>
    <w:p w:rsidR="000B5C96" w:rsidRPr="00F1049B" w:rsidRDefault="000B5C96" w:rsidP="003F606A">
      <w:pPr>
        <w:pStyle w:val="CostingsH7"/>
      </w:pPr>
      <w:r w:rsidRPr="00F1049B">
        <w:t>Key assumptions</w:t>
      </w:r>
    </w:p>
    <w:p w:rsidR="000B5C96" w:rsidRPr="00F1049B" w:rsidRDefault="000B5C96" w:rsidP="000B5C96">
      <w:pPr>
        <w:pStyle w:val="ListBullet"/>
        <w:numPr>
          <w:ilvl w:val="0"/>
          <w:numId w:val="123"/>
        </w:numPr>
        <w:ind w:left="454" w:hanging="454"/>
        <w:rPr>
          <w:lang w:eastAsia="en-AU"/>
        </w:rPr>
      </w:pPr>
      <w:r w:rsidRPr="00F1049B">
        <w:rPr>
          <w:lang w:eastAsia="en-AU"/>
        </w:rPr>
        <w:t>A proportion of low-income artists are assumed to already receive income support payments from Centrelink.</w:t>
      </w:r>
    </w:p>
    <w:p w:rsidR="000B5C96" w:rsidRPr="00F1049B" w:rsidRDefault="000B5C96" w:rsidP="000B5C96">
      <w:pPr>
        <w:pStyle w:val="ListBullet"/>
        <w:numPr>
          <w:ilvl w:val="0"/>
          <w:numId w:val="123"/>
        </w:numPr>
        <w:ind w:left="454" w:hanging="454"/>
        <w:rPr>
          <w:lang w:eastAsia="en-AU"/>
        </w:rPr>
      </w:pPr>
      <w:r w:rsidRPr="00F1049B">
        <w:rPr>
          <w:lang w:eastAsia="en-AU"/>
        </w:rPr>
        <w:t>It is assumed that the artist population in each age group increased at the same rate as overall population growth in each age group between 2011 and 2015.</w:t>
      </w:r>
    </w:p>
    <w:p w:rsidR="000B5C96" w:rsidRPr="00F1049B" w:rsidRDefault="000B5C96" w:rsidP="000B5C96">
      <w:pPr>
        <w:pStyle w:val="ListBullet"/>
        <w:numPr>
          <w:ilvl w:val="0"/>
          <w:numId w:val="123"/>
        </w:numPr>
        <w:ind w:left="454" w:hanging="454"/>
        <w:rPr>
          <w:lang w:eastAsia="en-AU"/>
        </w:rPr>
      </w:pPr>
      <w:r w:rsidRPr="00F1049B">
        <w:rPr>
          <w:lang w:eastAsia="en-AU"/>
        </w:rPr>
        <w:t>It is assumed that there would be no behavioural change in response to the introduction of a new superannuation supplement for artists.</w:t>
      </w:r>
    </w:p>
    <w:p w:rsidR="000B5C96" w:rsidRPr="00F1049B" w:rsidRDefault="000B5C96" w:rsidP="000B5C96">
      <w:pPr>
        <w:pStyle w:val="ListBullet"/>
        <w:numPr>
          <w:ilvl w:val="0"/>
          <w:numId w:val="123"/>
        </w:numPr>
        <w:ind w:left="454" w:hanging="454"/>
        <w:rPr>
          <w:lang w:eastAsia="en-AU"/>
        </w:rPr>
      </w:pPr>
      <w:r w:rsidRPr="00F1049B">
        <w:rPr>
          <w:lang w:eastAsia="en-AU"/>
        </w:rPr>
        <w:t>It is assumed that payments of the low-income artist superannuation supplement would have the same timing profile as similar Government superannuation payments.</w:t>
      </w:r>
    </w:p>
    <w:p w:rsidR="000B5C96" w:rsidRPr="00F1049B" w:rsidRDefault="000B5C96" w:rsidP="000B5C96">
      <w:pPr>
        <w:pStyle w:val="ListBullet"/>
        <w:numPr>
          <w:ilvl w:val="0"/>
          <w:numId w:val="123"/>
        </w:numPr>
        <w:ind w:left="454" w:hanging="454"/>
        <w:rPr>
          <w:lang w:eastAsia="en-AU"/>
        </w:rPr>
      </w:pPr>
      <w:r w:rsidRPr="00F1049B">
        <w:rPr>
          <w:lang w:eastAsia="en-AU"/>
        </w:rPr>
        <w:t>The superannuation supplement is assumed to be non</w:t>
      </w:r>
      <w:r w:rsidRPr="00F1049B">
        <w:rPr>
          <w:lang w:eastAsia="en-AU"/>
        </w:rPr>
        <w:noBreakHyphen/>
        <w:t>taxable.</w:t>
      </w:r>
    </w:p>
    <w:p w:rsidR="000B5C96" w:rsidRDefault="000B5C96" w:rsidP="003F606A">
      <w:pPr>
        <w:pStyle w:val="CostingsH7"/>
      </w:pPr>
      <w:r>
        <w:t>Methodology</w:t>
      </w:r>
    </w:p>
    <w:p w:rsidR="000B5C96" w:rsidRPr="00F1049B" w:rsidRDefault="000B5C96" w:rsidP="000B5C96">
      <w:pPr>
        <w:pStyle w:val="ListParagraph"/>
        <w:keepLines/>
        <w:numPr>
          <w:ilvl w:val="0"/>
          <w:numId w:val="117"/>
        </w:numPr>
        <w:tabs>
          <w:tab w:val="num" w:pos="454"/>
        </w:tabs>
        <w:spacing w:after="113"/>
        <w:ind w:left="360"/>
        <w:contextualSpacing w:val="0"/>
        <w:rPr>
          <w:rFonts w:ascii="Calibri" w:eastAsia="Times New Roman" w:hAnsi="Calibri" w:cs="Times New Roman"/>
          <w:lang w:eastAsia="en-AU"/>
        </w:rPr>
      </w:pPr>
      <w:r w:rsidRPr="005F14CA">
        <w:rPr>
          <w:rFonts w:ascii="Calibri" w:hAnsi="Calibri"/>
          <w:spacing w:val="-1"/>
        </w:rPr>
        <w:t>To calculate the mutual obligation component, data on the number of artists in Australia by age and income was obtained from the Australian Bureau of Statistics (ABS).  The cost of this component of the proposal for each year is calculated by multiplying the estimated number of new recipients that would become eligible under this proposal by</w:t>
      </w:r>
      <w:r w:rsidRPr="00F1049B">
        <w:rPr>
          <w:rFonts w:ascii="Calibri" w:eastAsia="Times New Roman" w:hAnsi="Calibri" w:cs="Times New Roman"/>
          <w:lang w:eastAsia="en-AU"/>
        </w:rPr>
        <w:t xml:space="preserve"> their estimated average social security payment consistent with the parameters in the 2016</w:t>
      </w:r>
      <w:r w:rsidRPr="00F1049B">
        <w:rPr>
          <w:rFonts w:ascii="Calibri" w:eastAsia="Times New Roman" w:hAnsi="Calibri" w:cs="Times New Roman"/>
          <w:lang w:eastAsia="en-AU"/>
        </w:rPr>
        <w:noBreakHyphen/>
        <w:t>17 Budget.</w:t>
      </w:r>
    </w:p>
    <w:p w:rsidR="000B5C96" w:rsidRPr="007F1D37" w:rsidRDefault="000B5C96" w:rsidP="000B5C96">
      <w:pPr>
        <w:pStyle w:val="ListBullet2"/>
        <w:numPr>
          <w:ilvl w:val="0"/>
          <w:numId w:val="124"/>
        </w:numPr>
        <w:ind w:left="908" w:hanging="454"/>
      </w:pPr>
      <w:r w:rsidRPr="007F1D37">
        <w:t xml:space="preserve">The definition of artist is taken from the </w:t>
      </w:r>
      <w:r w:rsidRPr="00F1049B">
        <w:t xml:space="preserve">Australian and New Zealand Standard Classification of Occupations </w:t>
      </w:r>
      <w:r w:rsidRPr="007F1D37">
        <w:t xml:space="preserve">and includes all occupations defined as Arts Professionals and some occupations defined as Media Professionals (authors, directors, art directors </w:t>
      </w:r>
      <w:r>
        <w:t>and directors of photography).</w:t>
      </w:r>
    </w:p>
    <w:p w:rsidR="000B5C96" w:rsidRDefault="000B5C96" w:rsidP="000B5C96">
      <w:pPr>
        <w:pStyle w:val="ListBullet2"/>
        <w:numPr>
          <w:ilvl w:val="0"/>
          <w:numId w:val="124"/>
        </w:numPr>
        <w:ind w:left="908" w:hanging="454"/>
      </w:pPr>
      <w:r>
        <w:t>The amount and type of payments to eligible artists are estimated using data from the Department of Social Services (DSS) and the Department of Employment (DoE) about their age, income, marital/de-facto status, whether or not they have children and whether or not they are a job-seeker or full-time student.</w:t>
      </w:r>
    </w:p>
    <w:p w:rsidR="000B5C96" w:rsidRDefault="000B5C96" w:rsidP="000B5C96">
      <w:pPr>
        <w:pStyle w:val="ListBullet2"/>
        <w:numPr>
          <w:ilvl w:val="0"/>
          <w:numId w:val="124"/>
        </w:numPr>
        <w:ind w:left="908" w:hanging="454"/>
      </w:pPr>
      <w:r>
        <w:t>Departmental expenses are calculated by multiplying the expected number of new recipients of each payment type by their respective unit cost as specified by the DHS.</w:t>
      </w:r>
    </w:p>
    <w:p w:rsidR="000B5C96" w:rsidRDefault="000B5C96" w:rsidP="000B5C96">
      <w:pPr>
        <w:pStyle w:val="ListBullet2"/>
        <w:numPr>
          <w:ilvl w:val="0"/>
          <w:numId w:val="124"/>
        </w:numPr>
        <w:ind w:left="908" w:hanging="454"/>
      </w:pPr>
      <w:r>
        <w:t>Estimates of Centrelink payments are rounded to the nearest $5 million.  Estimates of departmental expenses are rounded to the nearest $1 million.</w:t>
      </w:r>
    </w:p>
    <w:p w:rsidR="000B5C96" w:rsidRPr="00F1049B" w:rsidRDefault="000B5C96" w:rsidP="000B5C96">
      <w:pPr>
        <w:pStyle w:val="Bullet1"/>
        <w:numPr>
          <w:ilvl w:val="0"/>
          <w:numId w:val="117"/>
        </w:numPr>
        <w:ind w:left="360"/>
      </w:pPr>
      <w:r w:rsidRPr="005F14CA">
        <w:rPr>
          <w:rFonts w:eastAsiaTheme="minorHAnsi" w:cstheme="minorBidi"/>
          <w:lang w:eastAsia="en-US"/>
        </w:rPr>
        <w:t>For the low-income artist superannuation supplement, individuals who are eligible for the LISTO and whose primary occupation is artist are identified using a 16 per cent sample of 2012</w:t>
      </w:r>
      <w:r w:rsidRPr="005F14CA">
        <w:rPr>
          <w:rFonts w:eastAsiaTheme="minorHAnsi" w:cstheme="minorBidi"/>
          <w:lang w:eastAsia="en-US"/>
        </w:rPr>
        <w:noBreakHyphen/>
        <w:t>13 personal income tax and superannuation returns.  Multiplying the number of eligible recipients by the dollar amount of the new superannuation</w:t>
      </w:r>
      <w:r>
        <w:t xml:space="preserve"> supplement provides estimates of the total increase in government funded </w:t>
      </w:r>
      <w:r w:rsidRPr="00F1049B">
        <w:t>superannuation payments as a result of this proposal.</w:t>
      </w:r>
    </w:p>
    <w:p w:rsidR="000B5C96" w:rsidRDefault="000B5C96" w:rsidP="000B5C96">
      <w:pPr>
        <w:pStyle w:val="ListBullet2"/>
        <w:numPr>
          <w:ilvl w:val="0"/>
          <w:numId w:val="124"/>
        </w:numPr>
        <w:ind w:left="908" w:hanging="454"/>
      </w:pPr>
      <w:r>
        <w:t>Estimates of the cumulative increases in superannuation funds under management for each year are then used to estimate the increase in superannuation earnings tax (which is rounded to zero).</w:t>
      </w:r>
    </w:p>
    <w:p w:rsidR="000B5C96" w:rsidRDefault="000B5C96" w:rsidP="000B5C96">
      <w:pPr>
        <w:pStyle w:val="ListBullet2"/>
        <w:numPr>
          <w:ilvl w:val="0"/>
          <w:numId w:val="124"/>
        </w:numPr>
        <w:ind w:left="908" w:hanging="454"/>
      </w:pPr>
      <w:r>
        <w:t>Estimates of superannuation supplement payments are rounded to the nearest $5 million.  Estimates of departmental expenses are rounded to the nearest $1 million.</w:t>
      </w:r>
    </w:p>
    <w:p w:rsidR="000B5C96" w:rsidRDefault="000B5C96" w:rsidP="003F606A">
      <w:pPr>
        <w:pStyle w:val="CostingsH7"/>
      </w:pPr>
      <w:r>
        <w:t>Data sources</w:t>
      </w:r>
    </w:p>
    <w:p w:rsidR="000B5C96" w:rsidRDefault="000B5C96" w:rsidP="000B5C96">
      <w:pPr>
        <w:pStyle w:val="ListBullet"/>
        <w:keepNext/>
        <w:numPr>
          <w:ilvl w:val="0"/>
          <w:numId w:val="123"/>
        </w:numPr>
        <w:ind w:left="454" w:hanging="454"/>
      </w:pPr>
      <w:r>
        <w:t>ABS, Employment in Culture, Australia, 2011 (Cat 6273.0).</w:t>
      </w:r>
    </w:p>
    <w:p w:rsidR="000B5C96" w:rsidRDefault="000B5C96" w:rsidP="000B5C96">
      <w:pPr>
        <w:pStyle w:val="ListBullet"/>
        <w:keepNext/>
        <w:numPr>
          <w:ilvl w:val="0"/>
          <w:numId w:val="123"/>
        </w:numPr>
        <w:ind w:left="454" w:hanging="454"/>
      </w:pPr>
      <w:r>
        <w:t>ABS, Australian Demographic Statistics, September 2015 (Cat 3101.0).</w:t>
      </w:r>
    </w:p>
    <w:p w:rsidR="000B5C96" w:rsidRDefault="000B5C96" w:rsidP="000B5C96">
      <w:pPr>
        <w:pStyle w:val="ListBullet"/>
        <w:numPr>
          <w:ilvl w:val="0"/>
          <w:numId w:val="123"/>
        </w:numPr>
        <w:ind w:left="454" w:hanging="454"/>
      </w:pPr>
      <w:r>
        <w:t>Data on marital/de-facto status, dependent children and living arrangements was obtained from the DSS and the DoE.</w:t>
      </w:r>
    </w:p>
    <w:p w:rsidR="000B5C96" w:rsidRDefault="000B5C96" w:rsidP="000B5C96">
      <w:pPr>
        <w:pStyle w:val="ListBullet"/>
        <w:numPr>
          <w:ilvl w:val="0"/>
          <w:numId w:val="123"/>
        </w:numPr>
        <w:ind w:left="454" w:hanging="454"/>
      </w:pPr>
      <w:r>
        <w:t>Data on the proportions of individuals receiving study-related social security payments was obtained from the DSS.</w:t>
      </w:r>
    </w:p>
    <w:p w:rsidR="000B5C96" w:rsidRDefault="000B5C96" w:rsidP="000B5C96">
      <w:pPr>
        <w:pStyle w:val="ListBullet"/>
        <w:numPr>
          <w:ilvl w:val="0"/>
          <w:numId w:val="123"/>
        </w:numPr>
        <w:ind w:left="454" w:hanging="454"/>
      </w:pPr>
      <w:r>
        <w:t>2016</w:t>
      </w:r>
      <w:r>
        <w:noBreakHyphen/>
        <w:t>17 Budget.</w:t>
      </w:r>
    </w:p>
    <w:p w:rsidR="000B5C96" w:rsidRDefault="000B5C96" w:rsidP="000B5C96">
      <w:pPr>
        <w:pStyle w:val="ListBullet"/>
        <w:numPr>
          <w:ilvl w:val="0"/>
          <w:numId w:val="123"/>
        </w:numPr>
        <w:ind w:left="454" w:hanging="454"/>
      </w:pPr>
      <w:r>
        <w:t>DHS unit pricing data as of the 2016-17 Budget.</w:t>
      </w:r>
    </w:p>
    <w:p w:rsidR="000B5C96" w:rsidRDefault="000B5C96" w:rsidP="000B5C96">
      <w:pPr>
        <w:pStyle w:val="ListBullet"/>
        <w:numPr>
          <w:ilvl w:val="0"/>
          <w:numId w:val="123"/>
        </w:numPr>
        <w:ind w:left="454" w:hanging="454"/>
      </w:pPr>
      <w:r w:rsidRPr="00AF7755">
        <w:t xml:space="preserve">De-identified 16 per cent samples of personal income tax and superannuation returns for </w:t>
      </w:r>
      <w:r>
        <w:t>2012</w:t>
      </w:r>
      <w:r>
        <w:noBreakHyphen/>
        <w:t>13 were provided by the ATO.</w:t>
      </w:r>
    </w:p>
    <w:p w:rsidR="000B5C96" w:rsidRDefault="000B5C96" w:rsidP="000B5C96">
      <w:pPr>
        <w:pStyle w:val="ListBullet"/>
        <w:numPr>
          <w:ilvl w:val="0"/>
          <w:numId w:val="123"/>
        </w:numPr>
        <w:ind w:left="454" w:hanging="454"/>
        <w:sectPr w:rsidR="000B5C96" w:rsidSect="008430E8">
          <w:pgSz w:w="11907" w:h="16839" w:code="9"/>
          <w:pgMar w:top="1361" w:right="1797" w:bottom="1474" w:left="1797" w:header="283" w:footer="454" w:gutter="0"/>
          <w:cols w:space="708"/>
          <w:docGrid w:linePitch="360"/>
        </w:sectPr>
      </w:pPr>
    </w:p>
    <w:p w:rsidR="000B5C96" w:rsidRPr="00F1049B" w:rsidRDefault="000B5C96" w:rsidP="000B5C96">
      <w:pPr>
        <w:pStyle w:val="Heading6"/>
        <w:numPr>
          <w:ilvl w:val="0"/>
          <w:numId w:val="5"/>
        </w:numPr>
        <w:tabs>
          <w:tab w:val="right" w:pos="1418"/>
          <w:tab w:val="right" w:pos="1701"/>
          <w:tab w:val="right" w:pos="1985"/>
        </w:tabs>
      </w:pPr>
      <w:r w:rsidRPr="00F1049B">
        <w:t>Attachment A: A living wage for artists—financial implications</w:t>
      </w:r>
    </w:p>
    <w:p w:rsidR="000B5C96" w:rsidRPr="00F1049B" w:rsidRDefault="000B5C96" w:rsidP="003F606A">
      <w:pPr>
        <w:pStyle w:val="Caption"/>
        <w:rPr>
          <w:vertAlign w:val="superscript"/>
        </w:rPr>
      </w:pPr>
      <w:r w:rsidRPr="00F1049B">
        <w:t>Table A1: A living wage for artists—Fiscal balance</w:t>
      </w:r>
      <w:r w:rsidRPr="00F1049B">
        <w:rPr>
          <w:vertAlign w:val="superscript"/>
        </w:rPr>
        <w:t>(a)(b)</w:t>
      </w:r>
    </w:p>
    <w:tbl>
      <w:tblPr>
        <w:tblStyle w:val="TableGrid5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F1049B"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rPr>
                <w:szCs w:val="20"/>
              </w:rPr>
            </w:pPr>
            <w:r w:rsidRPr="00F1049B">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F1049B">
              <w:rPr>
                <w:b/>
              </w:rPr>
              <w:t>Total</w:t>
            </w:r>
            <w:r w:rsidRPr="00F1049B">
              <w:rPr>
                <w:b/>
                <w:szCs w:val="20"/>
              </w:rPr>
              <w:t xml:space="preserve"> to 2019–20</w:t>
            </w:r>
          </w:p>
        </w:tc>
      </w:tr>
      <w:tr w:rsidR="000B5C96" w:rsidRPr="00F104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ind w:left="57" w:right="57"/>
            </w:pPr>
            <w:r w:rsidRPr="00F1049B">
              <w:t>Revenue</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F1049B">
              <w:rPr>
                <w:rFonts w:ascii="Calibri" w:hAnsi="Calibri"/>
                <w:b/>
              </w:rPr>
              <w:t>..</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ind w:left="57" w:right="57"/>
            </w:pPr>
            <w:r w:rsidRPr="00F1049B">
              <w:t>Administered Expenses</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-25.0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-20.0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-20.0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-65.0</w:t>
            </w:r>
          </w:p>
        </w:tc>
      </w:tr>
      <w:tr w:rsidR="000B5C96" w:rsidRPr="00F104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ind w:left="57" w:right="57"/>
              <w:rPr>
                <w:i/>
              </w:rPr>
            </w:pPr>
            <w:r w:rsidRPr="00F1049B">
              <w:rPr>
                <w:i/>
              </w:rPr>
              <w:t>Centrelink mutual obligation</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-15.0</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-15.0</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-15.0</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F1049B">
              <w:rPr>
                <w:rFonts w:ascii="Calibri" w:hAnsi="Calibri"/>
                <w:b/>
                <w:i/>
              </w:rPr>
              <w:t>-45.0</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ind w:left="57" w:right="57"/>
              <w:rPr>
                <w:i/>
              </w:rPr>
            </w:pPr>
            <w:r w:rsidRPr="00F1049B">
              <w:rPr>
                <w:i/>
              </w:rPr>
              <w:t>Superannuation supplement</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-10.0</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-5.0</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-5.0</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F1049B">
              <w:rPr>
                <w:rFonts w:ascii="Calibri" w:hAnsi="Calibri"/>
                <w:b/>
                <w:i/>
              </w:rPr>
              <w:t>-20.0</w:t>
            </w:r>
          </w:p>
        </w:tc>
      </w:tr>
      <w:tr w:rsidR="000B5C96" w:rsidRPr="00F104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ind w:left="57" w:right="57"/>
            </w:pPr>
            <w:r w:rsidRPr="00F1049B">
              <w:t>Departmental Expenses</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F1049B">
              <w:rPr>
                <w:rFonts w:ascii="Calibri" w:hAnsi="Calibri"/>
                <w:b/>
              </w:rPr>
              <w:t>-9.0</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ind w:left="57" w:right="57"/>
              <w:rPr>
                <w:b/>
              </w:rPr>
            </w:pPr>
            <w:r w:rsidRPr="00F1049B">
              <w:rPr>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-28.0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-23.0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-23.0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-74.0</w:t>
            </w:r>
          </w:p>
        </w:tc>
      </w:tr>
    </w:tbl>
    <w:p w:rsidR="000B5C96" w:rsidRDefault="000B5C96" w:rsidP="00E54AEC">
      <w:pPr>
        <w:pStyle w:val="Footnotes"/>
        <w:numPr>
          <w:ilvl w:val="0"/>
          <w:numId w:val="293"/>
        </w:numPr>
        <w:ind w:left="284" w:hanging="284"/>
      </w:pPr>
      <w:r w:rsidRPr="00F1049B">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F1049B" w:rsidRDefault="000B5C96" w:rsidP="000B5C96">
      <w:pPr>
        <w:pStyle w:val="Footnotes"/>
        <w:numPr>
          <w:ilvl w:val="0"/>
          <w:numId w:val="7"/>
        </w:numPr>
        <w:ind w:left="284" w:hanging="284"/>
      </w:pPr>
      <w:r w:rsidRPr="00F1049B">
        <w:t>Figures may not sum to totals due to rounding.</w:t>
      </w:r>
    </w:p>
    <w:p w:rsidR="000B5C96" w:rsidRPr="00F1049B" w:rsidRDefault="000B5C96" w:rsidP="000B5C96">
      <w:pPr>
        <w:pStyle w:val="Footnotes"/>
        <w:numPr>
          <w:ilvl w:val="0"/>
          <w:numId w:val="115"/>
        </w:numPr>
        <w:ind w:left="284" w:hanging="284"/>
      </w:pPr>
      <w:r w:rsidRPr="00F1049B">
        <w:t>Indicates a nil value.</w:t>
      </w:r>
    </w:p>
    <w:p w:rsidR="000B5C96" w:rsidRPr="00F1049B" w:rsidRDefault="000B5C96" w:rsidP="003F606A">
      <w:pPr>
        <w:pStyle w:val="Footnotes"/>
        <w:numPr>
          <w:ilvl w:val="0"/>
          <w:numId w:val="0"/>
        </w:numPr>
        <w:ind w:left="284" w:hanging="284"/>
      </w:pPr>
      <w:r w:rsidRPr="00F1049B">
        <w:t>..</w:t>
      </w:r>
      <w:r w:rsidRPr="00F1049B">
        <w:tab/>
      </w:r>
      <w:r>
        <w:tab/>
      </w:r>
      <w:r>
        <w:tab/>
      </w:r>
      <w:r>
        <w:tab/>
      </w:r>
      <w:r w:rsidRPr="00F1049B">
        <w:t>Indicates the value is not zero but rounded to zero.</w:t>
      </w:r>
    </w:p>
    <w:p w:rsidR="000B5C96" w:rsidRPr="00F1049B" w:rsidRDefault="000B5C96" w:rsidP="003F606A">
      <w:pPr>
        <w:pStyle w:val="Caption"/>
        <w:rPr>
          <w:vertAlign w:val="superscript"/>
        </w:rPr>
      </w:pPr>
      <w:r w:rsidRPr="00F1049B">
        <w:t>Table A2: A living wage for artists —Underlying cash balance</w:t>
      </w:r>
      <w:r w:rsidRPr="00F1049B">
        <w:rPr>
          <w:vertAlign w:val="superscript"/>
        </w:rPr>
        <w:t>(a)(b)</w:t>
      </w:r>
    </w:p>
    <w:tbl>
      <w:tblPr>
        <w:tblStyle w:val="TableGrid5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F1049B"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rPr>
                <w:szCs w:val="20"/>
              </w:rPr>
            </w:pPr>
            <w:r w:rsidRPr="00F1049B">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F1049B">
              <w:rPr>
                <w:b/>
              </w:rPr>
              <w:t>Total</w:t>
            </w:r>
            <w:r w:rsidRPr="00F1049B">
              <w:rPr>
                <w:b/>
                <w:szCs w:val="20"/>
              </w:rPr>
              <w:t xml:space="preserve"> to 2019–20</w:t>
            </w:r>
          </w:p>
        </w:tc>
      </w:tr>
      <w:tr w:rsidR="000B5C96" w:rsidRPr="00F104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ind w:left="57" w:right="57"/>
            </w:pPr>
            <w:r w:rsidRPr="00F1049B">
              <w:t>Receipts</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F1049B">
              <w:rPr>
                <w:rFonts w:ascii="Calibri" w:hAnsi="Calibri"/>
                <w:b/>
              </w:rPr>
              <w:t>..</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ind w:left="57" w:right="57"/>
            </w:pPr>
            <w:r w:rsidRPr="00F1049B">
              <w:t>Administered Outlays</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-15.0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-20.0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-20.0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-55.0</w:t>
            </w:r>
          </w:p>
        </w:tc>
      </w:tr>
      <w:tr w:rsidR="000B5C96" w:rsidRPr="00F104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ind w:left="57" w:right="57"/>
              <w:rPr>
                <w:i/>
              </w:rPr>
            </w:pPr>
            <w:r w:rsidRPr="00F1049B">
              <w:rPr>
                <w:i/>
              </w:rPr>
              <w:t>Centrelink mutual obligation</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-15.0</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-15.0</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-15.0</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F1049B">
              <w:rPr>
                <w:rFonts w:ascii="Calibri" w:hAnsi="Calibri"/>
                <w:b/>
                <w:i/>
              </w:rPr>
              <w:t>-45.0</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ind w:left="57" w:right="57"/>
              <w:rPr>
                <w:i/>
              </w:rPr>
            </w:pPr>
            <w:r w:rsidRPr="00F1049B">
              <w:rPr>
                <w:i/>
              </w:rPr>
              <w:t>Superannuation supplement</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-5.0</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-5.0</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F1049B">
              <w:rPr>
                <w:rFonts w:ascii="Calibri" w:hAnsi="Calibri"/>
                <w:b/>
                <w:i/>
              </w:rPr>
              <w:t>-10.0</w:t>
            </w:r>
          </w:p>
        </w:tc>
      </w:tr>
      <w:tr w:rsidR="000B5C96" w:rsidRPr="00F104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ind w:left="57" w:right="57"/>
            </w:pPr>
            <w:r w:rsidRPr="00F1049B">
              <w:t>Departmental Outlays</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049B">
              <w:rPr>
                <w:rFonts w:ascii="Calibri" w:hAnsi="Calibr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F1049B">
              <w:rPr>
                <w:rFonts w:ascii="Calibri" w:hAnsi="Calibri"/>
                <w:b/>
              </w:rPr>
              <w:t>-9.0</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ind w:left="57" w:right="57"/>
              <w:rPr>
                <w:b/>
              </w:rPr>
            </w:pPr>
            <w:r w:rsidRPr="00F1049B">
              <w:rPr>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-18.0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-23.0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-23.0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-64.0</w:t>
            </w:r>
          </w:p>
        </w:tc>
      </w:tr>
    </w:tbl>
    <w:p w:rsidR="000B5C96" w:rsidRDefault="000B5C96" w:rsidP="00E54AEC">
      <w:pPr>
        <w:pStyle w:val="Footnotes"/>
        <w:numPr>
          <w:ilvl w:val="0"/>
          <w:numId w:val="294"/>
        </w:numPr>
        <w:ind w:left="284" w:hanging="284"/>
      </w:pPr>
      <w:r w:rsidRPr="00F1049B">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F1049B" w:rsidRDefault="000B5C96" w:rsidP="000B5C96">
      <w:pPr>
        <w:pStyle w:val="Footnotes"/>
        <w:numPr>
          <w:ilvl w:val="0"/>
          <w:numId w:val="7"/>
        </w:numPr>
        <w:ind w:left="284" w:hanging="284"/>
      </w:pPr>
      <w:r w:rsidRPr="00F1049B">
        <w:t>Figures may not sum to totals due to rounding.</w:t>
      </w:r>
    </w:p>
    <w:p w:rsidR="000B5C96" w:rsidRPr="00F1049B" w:rsidRDefault="000B5C96" w:rsidP="000B5C96">
      <w:pPr>
        <w:pStyle w:val="Footnotes"/>
        <w:numPr>
          <w:ilvl w:val="0"/>
          <w:numId w:val="115"/>
        </w:numPr>
        <w:ind w:left="284" w:hanging="284"/>
      </w:pPr>
      <w:r w:rsidRPr="00F1049B">
        <w:t>Indicates a nil value.</w:t>
      </w:r>
    </w:p>
    <w:p w:rsidR="000B5C96" w:rsidRPr="00F1049B" w:rsidRDefault="000B5C96" w:rsidP="003F606A">
      <w:pPr>
        <w:pStyle w:val="Footnotes"/>
        <w:numPr>
          <w:ilvl w:val="0"/>
          <w:numId w:val="0"/>
        </w:numPr>
        <w:ind w:left="284" w:hanging="284"/>
      </w:pPr>
      <w:r w:rsidRPr="00F1049B">
        <w:t>..</w:t>
      </w:r>
      <w:r w:rsidRPr="00F1049B">
        <w:tab/>
        <w:t>Indicates the value is not zero but rounded to zero.</w:t>
      </w:r>
    </w:p>
    <w:p w:rsidR="000B5C96" w:rsidRPr="00F1049B" w:rsidRDefault="000B5C96" w:rsidP="003F606A">
      <w:pPr>
        <w:pStyle w:val="Caption"/>
      </w:pPr>
      <w:r w:rsidRPr="00F1049B">
        <w:t>Table A3:  Component 1: Centrelink mutual obligation requirement—Financial implications (outturn prices)</w:t>
      </w:r>
      <w:r w:rsidRPr="00F1049B">
        <w:rPr>
          <w:vertAlign w:val="superscript"/>
        </w:rPr>
        <w:t>(a)(b)</w:t>
      </w:r>
    </w:p>
    <w:tbl>
      <w:tblPr>
        <w:tblStyle w:val="TableGrid54"/>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F1049B"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rPr>
                <w:szCs w:val="20"/>
              </w:rPr>
            </w:pPr>
            <w:r w:rsidRPr="00F1049B">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1049B">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F104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F1049B">
              <w:rPr>
                <w:b/>
              </w:rPr>
              <w:t>Total</w:t>
            </w:r>
            <w:r w:rsidRPr="00F1049B">
              <w:rPr>
                <w:b/>
                <w:szCs w:val="20"/>
              </w:rPr>
              <w:t xml:space="preserve"> to 2019–20</w:t>
            </w:r>
          </w:p>
        </w:tc>
      </w:tr>
      <w:tr w:rsidR="000B5C96" w:rsidRPr="00F104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9"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keepNext/>
              <w:keepLines/>
              <w:ind w:left="57" w:right="57"/>
              <w:rPr>
                <w:b/>
              </w:rPr>
            </w:pPr>
            <w:r w:rsidRPr="00F1049B">
              <w:rPr>
                <w:b/>
              </w:rPr>
              <w:t>Impact on fiscal and underlying cash balances</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ind w:left="57" w:right="57"/>
            </w:pPr>
            <w:r w:rsidRPr="00F1049B">
              <w:t>Expense</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 xml:space="preserve">-17.0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 xml:space="preserve">-17.0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 xml:space="preserve">-17.0 </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 xml:space="preserve">-51.0 </w:t>
            </w:r>
          </w:p>
        </w:tc>
      </w:tr>
      <w:tr w:rsidR="000B5C96" w:rsidRPr="00F104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ind w:left="57" w:right="57"/>
              <w:rPr>
                <w:i/>
              </w:rPr>
            </w:pPr>
            <w:r w:rsidRPr="00F1049B">
              <w:rPr>
                <w:i/>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 xml:space="preserve">-15.0 </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 xml:space="preserve">-15.0 </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F1049B">
              <w:rPr>
                <w:rFonts w:ascii="Calibri" w:hAnsi="Calibri"/>
                <w:i/>
              </w:rPr>
              <w:t xml:space="preserve">-15.0 </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F1049B">
              <w:rPr>
                <w:rFonts w:ascii="Calibri" w:hAnsi="Calibri"/>
                <w:b/>
                <w:i/>
              </w:rPr>
              <w:t xml:space="preserve">-45.0 </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ind w:left="57" w:right="57"/>
              <w:rPr>
                <w:i/>
              </w:rPr>
            </w:pPr>
            <w:r w:rsidRPr="00F1049B">
              <w:rPr>
                <w:i/>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-2.0 </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-2.0 </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-2.0 </w:t>
            </w:r>
          </w:p>
        </w:tc>
        <w:tc>
          <w:tcPr>
            <w:tcW w:w="682" w:type="pct"/>
            <w:tcBorders>
              <w:top w:val="single" w:sz="4" w:space="0" w:color="788184"/>
              <w:left w:val="single" w:sz="4" w:space="0" w:color="788184"/>
              <w:bottom w:val="single" w:sz="4" w:space="0" w:color="788184"/>
              <w:right w:val="single" w:sz="4" w:space="0" w:color="788184"/>
            </w:tcBorders>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F1049B">
              <w:rPr>
                <w:rFonts w:ascii="Calibri" w:hAnsi="Calibri"/>
                <w:b/>
                <w:i/>
              </w:rPr>
              <w:t xml:space="preserve">-6.0 </w:t>
            </w:r>
          </w:p>
        </w:tc>
      </w:tr>
      <w:tr w:rsidR="000B5C96" w:rsidRPr="00F104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ind w:left="57" w:right="57"/>
              <w:rPr>
                <w:b/>
              </w:rPr>
            </w:pPr>
            <w:r w:rsidRPr="00F1049B">
              <w:rPr>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F1049B">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F1049B">
              <w:rPr>
                <w:rFonts w:ascii="Calibri" w:hAnsi="Calibri"/>
                <w:b/>
              </w:rPr>
              <w:t xml:space="preserve">-17.0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F1049B">
              <w:rPr>
                <w:rFonts w:ascii="Calibri" w:hAnsi="Calibri"/>
                <w:b/>
              </w:rPr>
              <w:t xml:space="preserve">-17.0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F1049B">
              <w:rPr>
                <w:rFonts w:ascii="Calibri" w:hAnsi="Calibri"/>
                <w:b/>
              </w:rPr>
              <w:t xml:space="preserve">-17.0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F104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F1049B">
              <w:rPr>
                <w:rFonts w:ascii="Calibri" w:hAnsi="Calibri"/>
                <w:b/>
              </w:rPr>
              <w:t xml:space="preserve">-51.0 </w:t>
            </w:r>
          </w:p>
        </w:tc>
      </w:tr>
    </w:tbl>
    <w:p w:rsidR="000B5C96" w:rsidRDefault="000B5C96" w:rsidP="00E54AEC">
      <w:pPr>
        <w:pStyle w:val="Footnotes"/>
        <w:numPr>
          <w:ilvl w:val="0"/>
          <w:numId w:val="295"/>
        </w:numPr>
        <w:ind w:left="284" w:hanging="284"/>
      </w:pPr>
      <w:r w:rsidRPr="00F1049B">
        <w:t>A negative number indicates a decrease in revenue or an increase in expenses or net capital investment in accrual and cash terms. The impacts on fiscal and underlying cash balances are equal.</w:t>
      </w:r>
    </w:p>
    <w:p w:rsidR="000B5C96" w:rsidRPr="00F1049B" w:rsidRDefault="000B5C96" w:rsidP="000B5C96">
      <w:pPr>
        <w:pStyle w:val="Footnotes"/>
        <w:numPr>
          <w:ilvl w:val="0"/>
          <w:numId w:val="7"/>
        </w:numPr>
        <w:ind w:left="284" w:hanging="284"/>
      </w:pPr>
      <w:r w:rsidRPr="00F1049B">
        <w:t>Figures may not sum to total due to rounding.</w:t>
      </w:r>
    </w:p>
    <w:p w:rsidR="000B5C96" w:rsidRPr="00F1049B" w:rsidRDefault="000B5C96" w:rsidP="000B5C96">
      <w:pPr>
        <w:pStyle w:val="Footnotes"/>
        <w:numPr>
          <w:ilvl w:val="0"/>
          <w:numId w:val="115"/>
        </w:numPr>
        <w:ind w:left="284" w:hanging="284"/>
      </w:pPr>
      <w:r w:rsidRPr="00F1049B">
        <w:t>Indicates a nil value.</w:t>
      </w:r>
    </w:p>
    <w:p w:rsidR="000B5C96" w:rsidRPr="00F1049B" w:rsidRDefault="000B5C96" w:rsidP="003F606A">
      <w:pPr>
        <w:pStyle w:val="Caption"/>
      </w:pPr>
      <w:r w:rsidRPr="00F1049B">
        <w:t>Table A4: Component 2: Low-income artist superannuation supplement—Financial implications</w:t>
      </w:r>
      <w:r w:rsidRPr="00F1049B">
        <w:rPr>
          <w:vertAlign w:val="superscript"/>
        </w:rPr>
        <w:t>(a)(b)</w:t>
      </w:r>
    </w:p>
    <w:tbl>
      <w:tblPr>
        <w:tblStyle w:val="TableGrid410"/>
        <w:tblW w:w="5000" w:type="pct"/>
        <w:tblLook w:val="0680" w:firstRow="0" w:lastRow="0" w:firstColumn="1" w:lastColumn="0" w:noHBand="1" w:noVBand="1"/>
      </w:tblPr>
      <w:tblGrid>
        <w:gridCol w:w="2376"/>
        <w:gridCol w:w="1190"/>
        <w:gridCol w:w="1190"/>
        <w:gridCol w:w="1190"/>
        <w:gridCol w:w="1190"/>
        <w:gridCol w:w="1187"/>
      </w:tblGrid>
      <w:tr w:rsidR="000B5C96" w:rsidRPr="00F1049B" w:rsidTr="003F606A">
        <w:trPr>
          <w:cantSplit/>
          <w:tblHeader/>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F1049B" w:rsidRDefault="000B5C96" w:rsidP="003F606A">
            <w:pPr>
              <w:ind w:left="57" w:right="57"/>
              <w:rPr>
                <w:rFonts w:eastAsia="Calibri"/>
                <w:szCs w:val="20"/>
              </w:rPr>
            </w:pPr>
            <w:r w:rsidRPr="00F1049B">
              <w:rPr>
                <w:rFonts w:eastAsia="Calibri"/>
                <w:szCs w:val="20"/>
              </w:rPr>
              <w:t>($m)</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F1049B">
              <w:rPr>
                <w:rFonts w:ascii="Calibri" w:hAnsi="Calibri"/>
                <w:szCs w:val="20"/>
              </w:rPr>
              <w:t>2016–17</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F1049B">
              <w:rPr>
                <w:rFonts w:ascii="Calibri" w:hAnsi="Calibri"/>
                <w:szCs w:val="20"/>
              </w:rPr>
              <w:t>2017–18</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F1049B">
              <w:rPr>
                <w:rFonts w:ascii="Calibri" w:hAnsi="Calibri"/>
                <w:szCs w:val="20"/>
              </w:rPr>
              <w:t>2018–19</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F1049B">
              <w:rPr>
                <w:rFonts w:ascii="Calibri" w:hAnsi="Calibri"/>
                <w:szCs w:val="20"/>
              </w:rPr>
              <w:t>2019–20</w:t>
            </w:r>
          </w:p>
        </w:tc>
        <w:tc>
          <w:tcPr>
            <w:tcW w:w="713"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F1049B">
              <w:rPr>
                <w:rFonts w:ascii="Calibri" w:hAnsi="Calibri"/>
                <w:b/>
                <w:szCs w:val="20"/>
              </w:rPr>
              <w:t>Total to 2019–20</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F1049B" w:rsidRDefault="000B5C96" w:rsidP="003F606A">
            <w:pPr>
              <w:ind w:left="57" w:right="57"/>
              <w:rPr>
                <w:rFonts w:eastAsia="Calibri"/>
                <w:b/>
                <w:szCs w:val="20"/>
              </w:rPr>
            </w:pPr>
            <w:r w:rsidRPr="00F1049B">
              <w:rPr>
                <w:rFonts w:eastAsia="Calibri"/>
                <w:b/>
                <w:szCs w:val="20"/>
              </w:rPr>
              <w:t>Fiscal balance</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F1049B" w:rsidRDefault="000B5C96" w:rsidP="003F606A">
            <w:pPr>
              <w:keepNext/>
              <w:keepLines/>
              <w:ind w:left="57" w:right="57"/>
              <w:rPr>
                <w:szCs w:val="20"/>
              </w:rPr>
            </w:pPr>
            <w:r w:rsidRPr="00F1049B">
              <w:rPr>
                <w:szCs w:val="20"/>
              </w:rPr>
              <w:t>Revenue</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713"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E9ECF3"/>
          </w:tcPr>
          <w:p w:rsidR="000B5C96" w:rsidRPr="00F1049B" w:rsidRDefault="000B5C96" w:rsidP="003F606A">
            <w:pPr>
              <w:keepNext/>
              <w:keepLines/>
              <w:ind w:left="57" w:right="57"/>
              <w:rPr>
                <w:szCs w:val="20"/>
              </w:rPr>
            </w:pPr>
            <w:r w:rsidRPr="00F1049B">
              <w:rPr>
                <w:szCs w:val="20"/>
              </w:rPr>
              <w:t>Expense</w:t>
            </w:r>
          </w:p>
        </w:tc>
        <w:tc>
          <w:tcPr>
            <w:tcW w:w="715" w:type="pct"/>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715" w:type="pct"/>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 xml:space="preserve">-11.0 </w:t>
            </w:r>
          </w:p>
        </w:tc>
        <w:tc>
          <w:tcPr>
            <w:tcW w:w="715" w:type="pct"/>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 xml:space="preserve">-6.0 </w:t>
            </w:r>
          </w:p>
        </w:tc>
        <w:tc>
          <w:tcPr>
            <w:tcW w:w="715" w:type="pct"/>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 xml:space="preserve">-6.0 </w:t>
            </w:r>
          </w:p>
        </w:tc>
        <w:tc>
          <w:tcPr>
            <w:tcW w:w="713" w:type="pct"/>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 xml:space="preserve">-23.0 </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F1049B" w:rsidRDefault="000B5C96" w:rsidP="003F606A">
            <w:pPr>
              <w:ind w:left="57" w:right="57"/>
              <w:rPr>
                <w:i/>
                <w:szCs w:val="20"/>
              </w:rPr>
            </w:pPr>
            <w:r w:rsidRPr="00F1049B">
              <w:rPr>
                <w:rFonts w:eastAsia="Calibri"/>
                <w:i/>
                <w:szCs w:val="20"/>
              </w:rPr>
              <w:t>Administered</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-10.0 </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-5.0 </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-5.0 </w:t>
            </w:r>
          </w:p>
        </w:tc>
        <w:tc>
          <w:tcPr>
            <w:tcW w:w="713"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F1049B">
              <w:rPr>
                <w:rFonts w:ascii="Calibri" w:hAnsi="Calibri"/>
                <w:b/>
                <w:i/>
              </w:rPr>
              <w:t xml:space="preserve">-20.0 </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F1049B" w:rsidRDefault="000B5C96" w:rsidP="003F606A">
            <w:pPr>
              <w:ind w:left="57" w:right="57"/>
              <w:rPr>
                <w:rFonts w:eastAsia="Calibri"/>
                <w:i/>
                <w:szCs w:val="20"/>
              </w:rPr>
            </w:pPr>
            <w:r w:rsidRPr="00F1049B">
              <w:rPr>
                <w:rFonts w:eastAsia="Calibri"/>
                <w:i/>
                <w:szCs w:val="20"/>
              </w:rPr>
              <w:t>Departmental</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-1.0 </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-1.0 </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-1.0 </w:t>
            </w:r>
          </w:p>
        </w:tc>
        <w:tc>
          <w:tcPr>
            <w:tcW w:w="713"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F1049B">
              <w:rPr>
                <w:rFonts w:ascii="Calibri" w:hAnsi="Calibri"/>
                <w:b/>
                <w:i/>
              </w:rPr>
              <w:t xml:space="preserve">-3.0 </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F1049B" w:rsidRDefault="000B5C96" w:rsidP="003F606A">
            <w:pPr>
              <w:ind w:left="57" w:right="57"/>
              <w:rPr>
                <w:rFonts w:eastAsia="Calibri"/>
                <w:b/>
                <w:szCs w:val="20"/>
              </w:rPr>
            </w:pPr>
            <w:r w:rsidRPr="00F1049B">
              <w:rPr>
                <w:rFonts w:eastAsia="Calibri"/>
                <w:b/>
                <w:szCs w:val="20"/>
              </w:rPr>
              <w:t>Total</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-11.0</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-6.0</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-6.0</w:t>
            </w:r>
          </w:p>
        </w:tc>
        <w:tc>
          <w:tcPr>
            <w:tcW w:w="713"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-23.0</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F1049B" w:rsidRDefault="000B5C96" w:rsidP="003F606A">
            <w:pPr>
              <w:ind w:left="57" w:right="57"/>
              <w:rPr>
                <w:rFonts w:eastAsia="Calibri"/>
                <w:b/>
                <w:szCs w:val="20"/>
              </w:rPr>
            </w:pPr>
            <w:r w:rsidRPr="00F1049B">
              <w:rPr>
                <w:rFonts w:eastAsia="Calibri"/>
                <w:b/>
                <w:szCs w:val="20"/>
              </w:rPr>
              <w:t>Underlying cash balance</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F1049B" w:rsidRDefault="000B5C96" w:rsidP="003F606A">
            <w:pPr>
              <w:keepNext/>
              <w:keepLines/>
              <w:ind w:left="57" w:right="57"/>
              <w:rPr>
                <w:szCs w:val="20"/>
              </w:rPr>
            </w:pPr>
            <w:r w:rsidRPr="00F1049B">
              <w:rPr>
                <w:szCs w:val="20"/>
              </w:rPr>
              <w:t>Receipts</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713"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E9ECF3"/>
          </w:tcPr>
          <w:p w:rsidR="000B5C96" w:rsidRPr="00F1049B" w:rsidRDefault="000B5C96" w:rsidP="003F606A">
            <w:pPr>
              <w:keepNext/>
              <w:keepLines/>
              <w:ind w:left="57" w:right="57"/>
              <w:rPr>
                <w:szCs w:val="20"/>
              </w:rPr>
            </w:pPr>
            <w:r w:rsidRPr="00F1049B">
              <w:rPr>
                <w:szCs w:val="20"/>
              </w:rPr>
              <w:t>Outlays</w:t>
            </w:r>
          </w:p>
        </w:tc>
        <w:tc>
          <w:tcPr>
            <w:tcW w:w="715" w:type="pct"/>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w:t>
            </w:r>
          </w:p>
        </w:tc>
        <w:tc>
          <w:tcPr>
            <w:tcW w:w="715" w:type="pct"/>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-1.0</w:t>
            </w:r>
          </w:p>
        </w:tc>
        <w:tc>
          <w:tcPr>
            <w:tcW w:w="715" w:type="pct"/>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-6.0</w:t>
            </w:r>
          </w:p>
        </w:tc>
        <w:tc>
          <w:tcPr>
            <w:tcW w:w="715" w:type="pct"/>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F1049B">
              <w:rPr>
                <w:rFonts w:ascii="Calibri" w:hAnsi="Calibri"/>
              </w:rPr>
              <w:t>-6.0</w:t>
            </w:r>
          </w:p>
        </w:tc>
        <w:tc>
          <w:tcPr>
            <w:tcW w:w="713" w:type="pct"/>
            <w:shd w:val="clear" w:color="auto" w:fill="E9ECF3"/>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-13.0</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F1049B" w:rsidRDefault="000B5C96" w:rsidP="003F606A">
            <w:pPr>
              <w:ind w:left="57" w:right="57"/>
              <w:rPr>
                <w:i/>
                <w:szCs w:val="20"/>
              </w:rPr>
            </w:pPr>
            <w:r w:rsidRPr="00F1049B">
              <w:rPr>
                <w:rFonts w:eastAsia="Calibri"/>
                <w:i/>
                <w:szCs w:val="20"/>
              </w:rPr>
              <w:t>Administered</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 -   </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-5.0 </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-5.0 </w:t>
            </w:r>
          </w:p>
        </w:tc>
        <w:tc>
          <w:tcPr>
            <w:tcW w:w="713"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F1049B">
              <w:rPr>
                <w:rFonts w:ascii="Calibri" w:hAnsi="Calibri"/>
                <w:b/>
                <w:i/>
              </w:rPr>
              <w:t xml:space="preserve">-10.0 </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427" w:type="pct"/>
          </w:tcPr>
          <w:p w:rsidR="000B5C96" w:rsidRPr="00F1049B" w:rsidRDefault="000B5C96" w:rsidP="003F606A">
            <w:pPr>
              <w:ind w:left="57" w:right="57"/>
              <w:rPr>
                <w:rFonts w:eastAsia="Calibri"/>
                <w:i/>
                <w:szCs w:val="20"/>
              </w:rPr>
            </w:pPr>
            <w:r w:rsidRPr="00F1049B">
              <w:rPr>
                <w:rFonts w:eastAsia="Calibri"/>
                <w:i/>
                <w:szCs w:val="20"/>
              </w:rPr>
              <w:t>Departmental</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-1.0 </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-1.0 </w:t>
            </w:r>
          </w:p>
        </w:tc>
        <w:tc>
          <w:tcPr>
            <w:tcW w:w="715"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F1049B">
              <w:rPr>
                <w:rFonts w:ascii="Calibri" w:hAnsi="Calibri"/>
                <w:i/>
              </w:rPr>
              <w:t xml:space="preserve">-1.0 </w:t>
            </w:r>
          </w:p>
        </w:tc>
        <w:tc>
          <w:tcPr>
            <w:tcW w:w="713" w:type="pct"/>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F1049B">
              <w:rPr>
                <w:rFonts w:ascii="Calibri" w:hAnsi="Calibri"/>
                <w:b/>
                <w:i/>
              </w:rPr>
              <w:t xml:space="preserve">-3.0 </w:t>
            </w:r>
          </w:p>
        </w:tc>
      </w:tr>
      <w:tr w:rsidR="000B5C96" w:rsidRPr="00F1049B" w:rsidTr="003F606A">
        <w:trPr>
          <w:cantSplit/>
        </w:trPr>
        <w:tc>
          <w:tcPr>
            <w:cnfStyle w:val="001000000000" w:firstRow="0" w:lastRow="0" w:firstColumn="1" w:lastColumn="0" w:oddVBand="0" w:evenVBand="0" w:oddHBand="0" w:evenHBand="0" w:firstRowFirstColumn="0" w:firstRowLastColumn="0" w:lastRowFirstColumn="0" w:lastRowLastColumn="0"/>
            <w:tcW w:w="1427" w:type="pct"/>
            <w:shd w:val="clear" w:color="auto" w:fill="D7DDE9"/>
          </w:tcPr>
          <w:p w:rsidR="000B5C96" w:rsidRPr="00F1049B" w:rsidRDefault="000B5C96" w:rsidP="003F606A">
            <w:pPr>
              <w:ind w:left="57" w:right="57"/>
              <w:rPr>
                <w:rFonts w:eastAsia="Calibri"/>
                <w:b/>
                <w:szCs w:val="20"/>
              </w:rPr>
            </w:pPr>
            <w:r w:rsidRPr="00F1049B">
              <w:rPr>
                <w:rFonts w:eastAsia="Calibri"/>
                <w:b/>
                <w:szCs w:val="20"/>
              </w:rPr>
              <w:t>Total</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-1.0</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-6.0</w:t>
            </w:r>
          </w:p>
        </w:tc>
        <w:tc>
          <w:tcPr>
            <w:tcW w:w="715"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-6.0</w:t>
            </w:r>
          </w:p>
        </w:tc>
        <w:tc>
          <w:tcPr>
            <w:tcW w:w="713" w:type="pct"/>
            <w:shd w:val="clear" w:color="auto" w:fill="D7DDE9"/>
          </w:tcPr>
          <w:p w:rsidR="000B5C96" w:rsidRPr="00F1049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F1049B">
              <w:rPr>
                <w:rFonts w:ascii="Calibri" w:hAnsi="Calibri"/>
                <w:b/>
              </w:rPr>
              <w:t>-13.0</w:t>
            </w:r>
          </w:p>
        </w:tc>
      </w:tr>
    </w:tbl>
    <w:p w:rsidR="000B5C96" w:rsidRPr="00F1049B" w:rsidRDefault="000B5C96" w:rsidP="00E54AEC">
      <w:pPr>
        <w:pStyle w:val="Footnotes"/>
        <w:numPr>
          <w:ilvl w:val="0"/>
          <w:numId w:val="296"/>
        </w:numPr>
        <w:ind w:left="284" w:hanging="284"/>
      </w:pPr>
      <w:r w:rsidRPr="00F1049B">
        <w:t>A negative number indicates a decrease in revenue or an increase in expenses or net capital investment in accrual and cash terms.</w:t>
      </w:r>
    </w:p>
    <w:p w:rsidR="000B5C96" w:rsidRPr="00F1049B" w:rsidRDefault="000B5C96" w:rsidP="000B5C96">
      <w:pPr>
        <w:pStyle w:val="Footnotes"/>
        <w:numPr>
          <w:ilvl w:val="0"/>
          <w:numId w:val="7"/>
        </w:numPr>
        <w:ind w:left="284" w:hanging="284"/>
      </w:pPr>
      <w:r w:rsidRPr="00F1049B">
        <w:t>Figures may not sum to totals due to rounding.</w:t>
      </w:r>
    </w:p>
    <w:p w:rsidR="000B5C96" w:rsidRPr="00F1049B" w:rsidRDefault="000B5C96" w:rsidP="000B5C96">
      <w:pPr>
        <w:pStyle w:val="Footnotes"/>
        <w:numPr>
          <w:ilvl w:val="0"/>
          <w:numId w:val="115"/>
        </w:numPr>
        <w:ind w:left="284" w:hanging="284"/>
      </w:pPr>
      <w:r w:rsidRPr="00F1049B">
        <w:t>Indicates a nil value.</w:t>
      </w:r>
    </w:p>
    <w:p w:rsidR="000B5C96" w:rsidRPr="00F1049B" w:rsidRDefault="000B5C96" w:rsidP="003F606A">
      <w:pPr>
        <w:pStyle w:val="Footnotes"/>
        <w:numPr>
          <w:ilvl w:val="0"/>
          <w:numId w:val="0"/>
        </w:numPr>
        <w:ind w:left="284" w:hanging="284"/>
      </w:pPr>
      <w:r w:rsidRPr="00F1049B">
        <w:t>..</w:t>
      </w:r>
      <w:r w:rsidRPr="00F1049B">
        <w:tab/>
        <w:t>Indicates the value is not zero but rounded to zero.</w:t>
      </w:r>
    </w:p>
    <w:p w:rsidR="000B5C96" w:rsidRPr="008C5B57" w:rsidRDefault="000B5C96" w:rsidP="000B5C96">
      <w:pPr>
        <w:pStyle w:val="Footnotes"/>
        <w:numPr>
          <w:ilvl w:val="0"/>
          <w:numId w:val="7"/>
        </w:numPr>
        <w:ind w:left="284" w:hanging="284"/>
        <w:sectPr w:rsidR="000B5C96" w:rsidRPr="008C5B57"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199" w:name="_Toc458001979"/>
      <w:bookmarkStart w:id="200" w:name="_Toc458069464"/>
      <w:r>
        <w:t>GRN073: Community Sports</w:t>
      </w:r>
      <w:bookmarkEnd w:id="199"/>
      <w:bookmarkEnd w:id="200"/>
    </w:p>
    <w:p w:rsidR="000B5C96" w:rsidRDefault="000B5C96" w:rsidP="003F606A">
      <w:pPr>
        <w:pStyle w:val="BodyText"/>
        <w:spacing w:before="0"/>
      </w:pPr>
      <w:r>
        <w:rPr>
          <w:noProof/>
          <w:lang w:eastAsia="en-AU"/>
        </w:rPr>
        <w:drawing>
          <wp:inline distT="0" distB="0" distL="0" distR="0" wp14:anchorId="13B6F6D7" wp14:editId="6D2860CE">
            <wp:extent cx="2696845" cy="572135"/>
            <wp:effectExtent l="0" t="0" r="8255" b="0"/>
            <wp:docPr id="483" name="Picture 48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AC5ED9" w:rsidRDefault="000B5C96" w:rsidP="000B5C96">
      <w:pPr>
        <w:pStyle w:val="Heading6"/>
        <w:numPr>
          <w:ilvl w:val="0"/>
          <w:numId w:val="5"/>
        </w:numPr>
        <w:tabs>
          <w:tab w:val="right" w:pos="1418"/>
          <w:tab w:val="right" w:pos="1701"/>
          <w:tab w:val="right" w:pos="1985"/>
        </w:tabs>
      </w:pPr>
      <w:r w:rsidRPr="00AC5ED9">
        <w:t>Policy costing—during the caretaker period for the 2016 general election</w:t>
      </w:r>
    </w:p>
    <w:tbl>
      <w:tblPr>
        <w:tblStyle w:val="Style111"/>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Name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Community Sports</w:t>
            </w:r>
          </w:p>
        </w:tc>
      </w:tr>
      <w:tr w:rsidR="000B5C96" w:rsidRPr="00AC5ED9"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Summary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The proposal has two components.</w:t>
            </w:r>
          </w:p>
          <w:p w:rsidR="000B5C96" w:rsidRPr="00AC5ED9" w:rsidRDefault="000B5C96" w:rsidP="003F606A">
            <w:pPr>
              <w:rPr>
                <w:u w:val="single"/>
              </w:rPr>
            </w:pPr>
            <w:r w:rsidRPr="00AC5ED9">
              <w:rPr>
                <w:u w:val="single"/>
              </w:rPr>
              <w:t>Component 1: Community Sports Initiative</w:t>
            </w:r>
          </w:p>
          <w:p w:rsidR="000B5C96" w:rsidRPr="008E2B8B" w:rsidRDefault="000B5C96" w:rsidP="000B5C96">
            <w:pPr>
              <w:pStyle w:val="ListParagraph"/>
              <w:keepLines/>
              <w:numPr>
                <w:ilvl w:val="0"/>
                <w:numId w:val="120"/>
              </w:numPr>
              <w:tabs>
                <w:tab w:val="num" w:pos="454"/>
              </w:tabs>
              <w:spacing w:after="113"/>
              <w:rPr>
                <w:rFonts w:eastAsia="Times New Roman"/>
              </w:rPr>
            </w:pPr>
            <w:r w:rsidRPr="008E2B8B">
              <w:rPr>
                <w:rFonts w:eastAsia="Times New Roman"/>
              </w:rPr>
              <w:t>$20 million over four years of the 2016</w:t>
            </w:r>
            <w:r w:rsidRPr="008E2B8B">
              <w:rPr>
                <w:rFonts w:eastAsia="Times New Roman"/>
              </w:rPr>
              <w:noBreakHyphen/>
              <w:t>17 Budget fo</w:t>
            </w:r>
            <w:r w:rsidRPr="008E2B8B">
              <w:rPr>
                <w:rFonts w:eastAsia="Times New Roman"/>
                <w:lang w:eastAsia="en-AU"/>
              </w:rPr>
              <w:t>rward estimates for a community sports initiative to address the barriers to participation for disadvantaged families comprising</w:t>
            </w:r>
            <w:r w:rsidRPr="008E2B8B">
              <w:rPr>
                <w:rFonts w:eastAsia="Times New Roman"/>
              </w:rPr>
              <w:t>:</w:t>
            </w:r>
          </w:p>
          <w:p w:rsidR="000B5C96" w:rsidRPr="008E2B8B" w:rsidRDefault="000B5C96" w:rsidP="000B5C96">
            <w:pPr>
              <w:pStyle w:val="ListParagraph"/>
              <w:keepLines/>
              <w:numPr>
                <w:ilvl w:val="0"/>
                <w:numId w:val="121"/>
              </w:numPr>
              <w:tabs>
                <w:tab w:val="num" w:pos="907"/>
              </w:tabs>
              <w:spacing w:after="113"/>
              <w:ind w:left="714" w:hanging="357"/>
              <w:contextualSpacing w:val="0"/>
              <w:rPr>
                <w:rFonts w:eastAsia="Times New Roman"/>
              </w:rPr>
            </w:pPr>
            <w:r w:rsidRPr="008E2B8B">
              <w:rPr>
                <w:rFonts w:eastAsia="Times New Roman"/>
              </w:rPr>
              <w:t>$10 million in direct financial support to families for costs associated with kids’ participation in sport such as membership fees</w:t>
            </w:r>
          </w:p>
          <w:p w:rsidR="000B5C96" w:rsidRPr="008E2B8B" w:rsidRDefault="000B5C96" w:rsidP="000B5C96">
            <w:pPr>
              <w:pStyle w:val="ListParagraph"/>
              <w:keepLines/>
              <w:numPr>
                <w:ilvl w:val="0"/>
                <w:numId w:val="121"/>
              </w:numPr>
              <w:tabs>
                <w:tab w:val="num" w:pos="907"/>
              </w:tabs>
              <w:spacing w:after="113"/>
              <w:ind w:left="714" w:hanging="357"/>
              <w:contextualSpacing w:val="0"/>
              <w:rPr>
                <w:rFonts w:eastAsia="Times New Roman"/>
              </w:rPr>
            </w:pPr>
            <w:r w:rsidRPr="008E2B8B">
              <w:rPr>
                <w:rFonts w:eastAsia="Times New Roman"/>
              </w:rPr>
              <w:t>$9.5 million in grants to help set up local sports libraries where kids and local sports programs can borrow equipment</w:t>
            </w:r>
          </w:p>
          <w:p w:rsidR="000B5C96" w:rsidRPr="008E2B8B" w:rsidRDefault="000B5C96" w:rsidP="000B5C96">
            <w:pPr>
              <w:pStyle w:val="ListParagraph"/>
              <w:keepLines/>
              <w:numPr>
                <w:ilvl w:val="0"/>
                <w:numId w:val="121"/>
              </w:numPr>
              <w:tabs>
                <w:tab w:val="num" w:pos="907"/>
              </w:tabs>
              <w:spacing w:after="113"/>
              <w:ind w:left="714" w:hanging="357"/>
              <w:contextualSpacing w:val="0"/>
              <w:rPr>
                <w:rFonts w:eastAsia="Times New Roman"/>
              </w:rPr>
            </w:pPr>
            <w:r w:rsidRPr="008E2B8B">
              <w:rPr>
                <w:rFonts w:eastAsia="Times New Roman"/>
              </w:rPr>
              <w:t>$500,000 in assistance to help volunteers and sports clubs navigate the legal and organisational barriers to volunteering, including a hotline and assistance with the cost of qualifications such as first aid certificates.</w:t>
            </w:r>
          </w:p>
          <w:p w:rsidR="000B5C96" w:rsidRPr="00AC5ED9" w:rsidRDefault="000B5C96" w:rsidP="003F606A">
            <w:pPr>
              <w:rPr>
                <w:u w:val="single"/>
              </w:rPr>
            </w:pPr>
            <w:r w:rsidRPr="00AC5ED9">
              <w:rPr>
                <w:u w:val="single"/>
              </w:rPr>
              <w:t>Component 2: Reclink National Program</w:t>
            </w:r>
          </w:p>
          <w:p w:rsidR="000B5C96" w:rsidRPr="008E2B8B" w:rsidRDefault="000B5C96" w:rsidP="000B5C96">
            <w:pPr>
              <w:pStyle w:val="ListParagraph"/>
              <w:keepLines/>
              <w:numPr>
                <w:ilvl w:val="0"/>
                <w:numId w:val="122"/>
              </w:numPr>
              <w:tabs>
                <w:tab w:val="num" w:pos="454"/>
              </w:tabs>
              <w:spacing w:after="113"/>
              <w:rPr>
                <w:rFonts w:eastAsia="Times New Roman"/>
              </w:rPr>
            </w:pPr>
            <w:r w:rsidRPr="008E2B8B">
              <w:rPr>
                <w:rFonts w:eastAsia="Times New Roman"/>
              </w:rPr>
              <w:t>$4 million over four years of the 2016</w:t>
            </w:r>
            <w:r w:rsidRPr="008E2B8B">
              <w:rPr>
                <w:rFonts w:eastAsia="Times New Roman"/>
              </w:rPr>
              <w:noBreakHyphen/>
              <w:t>17 Budget forward estimates as a grant for a new Reclink National Program targeting assistance to sports and recreation programs in regional and rural communities with higher levels of disadvantage.</w:t>
            </w:r>
          </w:p>
          <w:p w:rsidR="000B5C96" w:rsidRPr="00AC5ED9" w:rsidRDefault="000B5C96" w:rsidP="003F606A">
            <w:r w:rsidRPr="00AC5ED9">
              <w:t>The proposal would have effect from1 September 2016.</w:t>
            </w:r>
          </w:p>
        </w:tc>
      </w:tr>
      <w:tr w:rsidR="000B5C96" w:rsidRPr="00AC5ED9"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Person/party requesting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Senator Richard Di Natale, Australian Greens</w:t>
            </w:r>
          </w:p>
        </w:tc>
      </w:tr>
      <w:tr w:rsidR="000B5C96" w:rsidRPr="00AC5ED9"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Date of public release of policy:</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11 June 2016</w:t>
            </w:r>
          </w:p>
          <w:p w:rsidR="000B5C96" w:rsidRPr="00AC5ED9" w:rsidRDefault="00E46526" w:rsidP="003F606A">
            <w:hyperlink r:id="rId572" w:history="1">
              <w:r w:rsidR="000B5C96" w:rsidRPr="00AC5ED9">
                <w:rPr>
                  <w:color w:val="0000FF"/>
                  <w:u w:val="single"/>
                </w:rPr>
                <w:t>http://greens.org.au/community-sport</w:t>
              </w:r>
            </w:hyperlink>
          </w:p>
        </w:tc>
      </w:tr>
      <w:tr w:rsidR="000B5C96" w:rsidRPr="00AC5ED9"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Date costing request received: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30 June 2016</w:t>
            </w:r>
          </w:p>
        </w:tc>
      </w:tr>
      <w:tr w:rsidR="000B5C96" w:rsidRPr="00AC5ED9"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Date costing completed: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30 June 2016</w:t>
            </w:r>
          </w:p>
        </w:tc>
      </w:tr>
      <w:tr w:rsidR="000B5C96" w:rsidRPr="00AC5ED9"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Expiry date for the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AC5ED9" w:rsidRDefault="000B5C96" w:rsidP="003F606A">
            <w:r w:rsidRPr="00AC5ED9">
              <w:t>Release of the next economic and fiscal outlook report</w:t>
            </w:r>
          </w:p>
        </w:tc>
      </w:tr>
    </w:tbl>
    <w:p w:rsidR="000B5C96" w:rsidRPr="00AC5ED9" w:rsidRDefault="000B5C96" w:rsidP="003F606A">
      <w:pPr>
        <w:pStyle w:val="CostingsH7"/>
      </w:pPr>
      <w:r w:rsidRPr="00AC5ED9">
        <w:t>Costing overview</w:t>
      </w:r>
    </w:p>
    <w:p w:rsidR="000B5C96" w:rsidRPr="00AC5ED9" w:rsidRDefault="000B5C96" w:rsidP="003F606A">
      <w:pPr>
        <w:pStyle w:val="BodyText"/>
      </w:pPr>
      <w:r w:rsidRPr="00AC5ED9">
        <w:t>This proposal would be expected to decrease both the fiscal and underlying cash balances by $24 million over the 2016-17 Budget forward estimates period.  This impact is due to an increase in administered expenses of $23 million and an increase in departmental expenses of $1 million.</w:t>
      </w:r>
    </w:p>
    <w:p w:rsidR="000B5C96" w:rsidRPr="00AC5ED9" w:rsidRDefault="000B5C96" w:rsidP="003F606A">
      <w:pPr>
        <w:pStyle w:val="BodyText"/>
      </w:pPr>
      <w:r w:rsidRPr="00AC5ED9">
        <w:t xml:space="preserve">The proposal would not have an impact beyond the 2016-17 Budget forward estimates period as funding for the proposal would terminate on 30 June 2020.   A detailed breakdown of the financial impacts for the total (Table A1) and by component (Tables A2 and A3) is provided at </w:t>
      </w:r>
      <w:r w:rsidRPr="00AC5ED9">
        <w:rPr>
          <w:u w:val="single"/>
        </w:rPr>
        <w:t>Attachment A</w:t>
      </w:r>
      <w:r w:rsidRPr="00AC5ED9">
        <w:t>.</w:t>
      </w:r>
    </w:p>
    <w:p w:rsidR="000B5C96" w:rsidRPr="00AC5ED9" w:rsidRDefault="000B5C96" w:rsidP="003F606A">
      <w:pPr>
        <w:pStyle w:val="BodyText"/>
      </w:pPr>
      <w:r w:rsidRPr="00AC5ED9">
        <w:t>Both components are considered to be of high reliability as they are based on specified capped amounts and the application of administrative costs based on similar programs.</w:t>
      </w:r>
    </w:p>
    <w:p w:rsidR="000B5C96" w:rsidRPr="00AC5ED9" w:rsidRDefault="000B5C96" w:rsidP="003F606A">
      <w:pPr>
        <w:pStyle w:val="Caption"/>
      </w:pPr>
      <w:r w:rsidRPr="00AC5ED9">
        <w:t>Table 1: Financial implications (outturn prices)</w:t>
      </w:r>
      <w:r w:rsidRPr="00AC5ED9">
        <w:rPr>
          <w:vertAlign w:val="superscript"/>
        </w:rPr>
        <w:t>(a)</w:t>
      </w:r>
    </w:p>
    <w:tbl>
      <w:tblPr>
        <w:tblStyle w:val="TableGrid55"/>
        <w:tblW w:w="4993" w:type="pct"/>
        <w:tblInd w:w="0" w:type="dxa"/>
        <w:tblLook w:val="04A0" w:firstRow="1" w:lastRow="0" w:firstColumn="1" w:lastColumn="0" w:noHBand="0" w:noVBand="1"/>
      </w:tblPr>
      <w:tblGrid>
        <w:gridCol w:w="2644"/>
        <w:gridCol w:w="1133"/>
        <w:gridCol w:w="1134"/>
        <w:gridCol w:w="1134"/>
        <w:gridCol w:w="1134"/>
        <w:gridCol w:w="1132"/>
      </w:tblGrid>
      <w:tr w:rsidR="000B5C96" w:rsidRPr="00AC5ED9"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vAlign w:val="center"/>
            <w:hideMark/>
          </w:tcPr>
          <w:p w:rsidR="000B5C96" w:rsidRPr="00AC5ED9" w:rsidRDefault="000B5C96" w:rsidP="003F606A">
            <w:pPr>
              <w:keepNext/>
              <w:keepLines/>
              <w:spacing w:before="70" w:beforeAutospacing="0" w:after="70" w:afterAutospacing="0" w:line="240" w:lineRule="auto"/>
              <w:rPr>
                <w:rFonts w:asciiTheme="minorHAnsi" w:eastAsia="Calibri" w:hAnsiTheme="minorHAnsi"/>
                <w:lang w:eastAsia="en-AU"/>
              </w:rPr>
            </w:pPr>
            <w:r w:rsidRPr="00AC5ED9">
              <w:rPr>
                <w:rFonts w:asciiTheme="minorHAnsi" w:eastAsia="Calibri" w:hAnsiTheme="minorHAnsi"/>
                <w:lang w:eastAsia="en-AU"/>
              </w:rPr>
              <w:t>Impact on ($m)</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AC5ED9" w:rsidRDefault="000B5C96" w:rsidP="003F606A">
            <w:pPr>
              <w:keepNext/>
              <w:keepLines/>
              <w:spacing w:before="70" w:beforeAutospacing="0" w:after="70" w:afterAutospacing="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C5ED9">
              <w:rPr>
                <w:rFonts w:asciiTheme="minorHAnsi" w:eastAsia="Calibri" w:hAnsiTheme="minorHAnsi"/>
                <w:lang w:eastAsia="en-AU"/>
              </w:rPr>
              <w:t>2016–17</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AC5ED9" w:rsidRDefault="000B5C96" w:rsidP="003F606A">
            <w:pPr>
              <w:keepNext/>
              <w:keepLines/>
              <w:spacing w:before="70" w:beforeAutospacing="0" w:after="70" w:afterAutospacing="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C5ED9">
              <w:rPr>
                <w:rFonts w:asciiTheme="minorHAnsi" w:eastAsia="Calibri" w:hAnsiTheme="minorHAnsi"/>
                <w:lang w:eastAsia="en-AU"/>
              </w:rPr>
              <w:t>2017–18</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AC5ED9" w:rsidRDefault="000B5C96" w:rsidP="003F606A">
            <w:pPr>
              <w:keepNext/>
              <w:keepLines/>
              <w:spacing w:before="70" w:beforeAutospacing="0" w:after="70" w:afterAutospacing="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C5ED9">
              <w:rPr>
                <w:rFonts w:asciiTheme="minorHAnsi" w:eastAsia="Calibri" w:hAnsiTheme="minorHAnsi"/>
                <w:lang w:eastAsia="en-AU"/>
              </w:rPr>
              <w:t>2018–19</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AC5ED9" w:rsidRDefault="000B5C96" w:rsidP="003F606A">
            <w:pPr>
              <w:keepNext/>
              <w:keepLines/>
              <w:spacing w:before="70" w:beforeAutospacing="0" w:after="70" w:afterAutospacing="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AC5ED9">
              <w:rPr>
                <w:rFonts w:asciiTheme="minorHAnsi" w:eastAsia="Calibri" w:hAnsiTheme="minorHAnsi"/>
                <w:lang w:eastAsia="en-AU"/>
              </w:rPr>
              <w:t>2019–20</w:t>
            </w:r>
          </w:p>
        </w:tc>
        <w:tc>
          <w:tcPr>
            <w:tcW w:w="681" w:type="pct"/>
            <w:tcBorders>
              <w:top w:val="single" w:sz="4" w:space="0" w:color="808080"/>
              <w:left w:val="single" w:sz="4" w:space="0" w:color="808080"/>
              <w:bottom w:val="single" w:sz="4" w:space="0" w:color="808080"/>
              <w:right w:val="single" w:sz="4" w:space="0" w:color="808080"/>
            </w:tcBorders>
            <w:vAlign w:val="center"/>
            <w:hideMark/>
          </w:tcPr>
          <w:p w:rsidR="000B5C96" w:rsidRPr="00AC5ED9" w:rsidRDefault="000B5C96" w:rsidP="003F606A">
            <w:pPr>
              <w:keepNext/>
              <w:keepLines/>
              <w:spacing w:before="70" w:beforeAutospacing="0" w:after="70" w:afterAutospacing="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AC5ED9">
              <w:rPr>
                <w:rFonts w:asciiTheme="minorHAnsi" w:eastAsia="Calibri" w:hAnsiTheme="minorHAnsi"/>
                <w:b/>
                <w:lang w:eastAsia="en-AU"/>
              </w:rPr>
              <w:t>Total</w:t>
            </w:r>
          </w:p>
        </w:tc>
      </w:tr>
      <w:tr w:rsidR="000B5C96" w:rsidRPr="00AC5ED9"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rPr>
                <w:rFonts w:asciiTheme="minorHAnsi" w:hAnsiTheme="minorHAnsi"/>
                <w:lang w:eastAsia="en-AU"/>
              </w:rPr>
            </w:pPr>
            <w:r w:rsidRPr="00AC5ED9">
              <w:rPr>
                <w:rFonts w:asciiTheme="minorHAnsi" w:hAnsiTheme="minorHAnsi"/>
                <w:lang w:eastAsia="en-AU"/>
              </w:rPr>
              <w:t>Fiscal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AC5ED9">
              <w:rPr>
                <w:rFonts w:asciiTheme="minorHAnsi" w:hAnsiTheme="minorHAnsi"/>
                <w:szCs w:val="20"/>
                <w:lang w:eastAsia="en-AU"/>
              </w:rPr>
              <w:t>-6.0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AC5ED9">
              <w:rPr>
                <w:rFonts w:asciiTheme="minorHAnsi" w:hAnsiTheme="minorHAnsi"/>
                <w:szCs w:val="20"/>
                <w:lang w:eastAsia="en-AU"/>
              </w:rPr>
              <w:t>-6.0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AC5ED9">
              <w:rPr>
                <w:rFonts w:asciiTheme="minorHAnsi" w:hAnsiTheme="minorHAnsi"/>
                <w:szCs w:val="20"/>
                <w:lang w:eastAsia="en-AU"/>
              </w:rPr>
              <w:t>-6.0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AC5ED9">
              <w:rPr>
                <w:rFonts w:asciiTheme="minorHAnsi" w:hAnsiTheme="minorHAnsi"/>
                <w:szCs w:val="20"/>
                <w:lang w:eastAsia="en-AU"/>
              </w:rPr>
              <w:t>-6.0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Cs w:val="20"/>
                <w:lang w:eastAsia="en-AU"/>
              </w:rPr>
            </w:pPr>
            <w:r w:rsidRPr="00AC5ED9">
              <w:rPr>
                <w:rFonts w:asciiTheme="minorHAnsi" w:hAnsiTheme="minorHAnsi"/>
                <w:b/>
                <w:szCs w:val="20"/>
                <w:lang w:eastAsia="en-AU"/>
              </w:rPr>
              <w:t>-24.0</w:t>
            </w:r>
          </w:p>
        </w:tc>
      </w:tr>
      <w:tr w:rsidR="000B5C96" w:rsidRPr="00AC5ED9"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rPr>
                <w:rFonts w:asciiTheme="minorHAnsi" w:hAnsiTheme="minorHAnsi"/>
                <w:lang w:eastAsia="en-AU"/>
              </w:rPr>
            </w:pPr>
            <w:r w:rsidRPr="00AC5ED9">
              <w:rPr>
                <w:rFonts w:asciiTheme="minorHAnsi" w:hAnsiTheme="minorHAnsi"/>
                <w:lang w:eastAsia="en-AU"/>
              </w:rPr>
              <w:t>Underlying cash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AC5ED9">
              <w:rPr>
                <w:rFonts w:asciiTheme="minorHAnsi" w:hAnsiTheme="minorHAnsi"/>
                <w:szCs w:val="20"/>
                <w:lang w:eastAsia="en-AU"/>
              </w:rPr>
              <w:t>-6.0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AC5ED9">
              <w:rPr>
                <w:rFonts w:asciiTheme="minorHAnsi" w:hAnsiTheme="minorHAnsi"/>
                <w:szCs w:val="20"/>
                <w:lang w:eastAsia="en-AU"/>
              </w:rPr>
              <w:t>-6.0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AC5ED9">
              <w:rPr>
                <w:rFonts w:asciiTheme="minorHAnsi" w:hAnsiTheme="minorHAnsi"/>
                <w:szCs w:val="20"/>
                <w:lang w:eastAsia="en-AU"/>
              </w:rPr>
              <w:t>-6.0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AC5ED9">
              <w:rPr>
                <w:rFonts w:asciiTheme="minorHAnsi" w:hAnsiTheme="minorHAnsi"/>
                <w:szCs w:val="20"/>
                <w:lang w:eastAsia="en-AU"/>
              </w:rPr>
              <w:t>-6.0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AC5ED9"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eastAsia="en-AU"/>
              </w:rPr>
            </w:pPr>
            <w:r w:rsidRPr="00AC5ED9">
              <w:rPr>
                <w:rFonts w:asciiTheme="minorHAnsi" w:hAnsiTheme="minorHAnsi"/>
                <w:b/>
                <w:szCs w:val="20"/>
                <w:lang w:eastAsia="en-AU"/>
              </w:rPr>
              <w:t>-24.0</w:t>
            </w:r>
          </w:p>
        </w:tc>
      </w:tr>
    </w:tbl>
    <w:p w:rsidR="000B5C96" w:rsidRPr="00AC5ED9" w:rsidRDefault="000B5C96" w:rsidP="00E54AEC">
      <w:pPr>
        <w:pStyle w:val="Footnotes"/>
        <w:numPr>
          <w:ilvl w:val="0"/>
          <w:numId w:val="297"/>
        </w:numPr>
        <w:ind w:left="284" w:hanging="284"/>
      </w:pPr>
      <w:r w:rsidRPr="00AC5ED9">
        <w:t>A positive number indicates an increase in the relevant budget balance, a negative number represents a decrease.</w:t>
      </w:r>
    </w:p>
    <w:p w:rsidR="000B5C96" w:rsidRPr="00AC5ED9" w:rsidRDefault="000B5C96" w:rsidP="000B5C96">
      <w:pPr>
        <w:pStyle w:val="Footnotes"/>
        <w:numPr>
          <w:ilvl w:val="0"/>
          <w:numId w:val="7"/>
        </w:numPr>
        <w:ind w:left="284" w:hanging="284"/>
      </w:pPr>
      <w:r w:rsidRPr="00AC5ED9">
        <w:t>Figures may not sum to totals due to rounding.</w:t>
      </w:r>
    </w:p>
    <w:p w:rsidR="000B5C96" w:rsidRPr="00AC5ED9" w:rsidRDefault="000B5C96" w:rsidP="003F606A">
      <w:pPr>
        <w:pStyle w:val="CostingsH7"/>
      </w:pPr>
      <w:r w:rsidRPr="00AC5ED9">
        <w:t>Key assumptions</w:t>
      </w:r>
    </w:p>
    <w:p w:rsidR="000B5C96" w:rsidRPr="00AC5ED9" w:rsidRDefault="000B5C96" w:rsidP="003F606A">
      <w:pPr>
        <w:pStyle w:val="BodyText"/>
      </w:pPr>
      <w:r w:rsidRPr="00AC5ED9">
        <w:t>It has been assumed that despite the 1 September 2016 start date a full year of funding would be provided during 2016</w:t>
      </w:r>
      <w:r w:rsidRPr="00AC5ED9">
        <w:noBreakHyphen/>
        <w:t>17.</w:t>
      </w:r>
    </w:p>
    <w:p w:rsidR="000B5C96" w:rsidRPr="00AC5ED9" w:rsidRDefault="000B5C96" w:rsidP="003F606A">
      <w:pPr>
        <w:pStyle w:val="CostingsH7"/>
      </w:pPr>
      <w:r w:rsidRPr="00AC5ED9">
        <w:t>Methodology</w:t>
      </w:r>
    </w:p>
    <w:p w:rsidR="000B5C96" w:rsidRPr="00AC5ED9" w:rsidRDefault="000B5C96" w:rsidP="003F606A">
      <w:pPr>
        <w:pStyle w:val="BodyText"/>
      </w:pPr>
      <w:r w:rsidRPr="00AC5ED9">
        <w:t>Departmental expenditure estimates are accommodated within the capped funding amounts as specified in the request.  These estimates are based on other like programs.</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r w:rsidRPr="00AC5ED9">
        <w:t>Administered expenditure estimates are the remainder of the capped funding amounts after allowing for the estimated departmental expenditure.</w:t>
      </w:r>
    </w:p>
    <w:p w:rsidR="000B5C96" w:rsidRPr="001A7ACA" w:rsidRDefault="000B5C96" w:rsidP="000B5C96">
      <w:pPr>
        <w:pStyle w:val="Heading6"/>
        <w:numPr>
          <w:ilvl w:val="0"/>
          <w:numId w:val="5"/>
        </w:numPr>
        <w:tabs>
          <w:tab w:val="right" w:pos="1418"/>
          <w:tab w:val="right" w:pos="1701"/>
          <w:tab w:val="right" w:pos="1985"/>
        </w:tabs>
      </w:pPr>
      <w:r w:rsidRPr="001A7ACA">
        <w:t>Attachment A: Community Sports—financial implications</w:t>
      </w:r>
    </w:p>
    <w:p w:rsidR="000B5C96" w:rsidRPr="001A7ACA" w:rsidRDefault="000B5C96" w:rsidP="003F606A">
      <w:pPr>
        <w:pStyle w:val="Caption"/>
      </w:pPr>
      <w:r w:rsidRPr="001A7ACA">
        <w:t>Table A1: Combined impact of all components—Financial implications</w:t>
      </w:r>
      <w:r w:rsidRPr="001A7ACA">
        <w:rPr>
          <w:vertAlign w:val="superscript"/>
        </w:rPr>
        <w:t>(a)(b)</w:t>
      </w:r>
    </w:p>
    <w:tbl>
      <w:tblPr>
        <w:tblStyle w:val="TableGrid56"/>
        <w:tblW w:w="4993" w:type="pct"/>
        <w:tblInd w:w="0" w:type="dxa"/>
        <w:tblLook w:val="04A0" w:firstRow="1" w:lastRow="0" w:firstColumn="1" w:lastColumn="0" w:noHBand="0" w:noVBand="1"/>
      </w:tblPr>
      <w:tblGrid>
        <w:gridCol w:w="2644"/>
        <w:gridCol w:w="1133"/>
        <w:gridCol w:w="1134"/>
        <w:gridCol w:w="1134"/>
        <w:gridCol w:w="1134"/>
        <w:gridCol w:w="1132"/>
      </w:tblGrid>
      <w:tr w:rsidR="000B5C96" w:rsidRPr="001A7ACA"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vAlign w:val="center"/>
            <w:hideMark/>
          </w:tcPr>
          <w:p w:rsidR="000B5C96" w:rsidRPr="001A7ACA" w:rsidRDefault="000B5C96" w:rsidP="003F606A">
            <w:pPr>
              <w:keepNext/>
              <w:keepLines/>
              <w:spacing w:before="70" w:after="70" w:line="240" w:lineRule="auto"/>
              <w:rPr>
                <w:rFonts w:asciiTheme="minorHAnsi" w:eastAsia="Calibri" w:hAnsiTheme="minorHAnsi"/>
                <w:lang w:eastAsia="en-AU"/>
              </w:rPr>
            </w:pPr>
            <w:r w:rsidRPr="001A7ACA">
              <w:rPr>
                <w:rFonts w:asciiTheme="minorHAnsi" w:eastAsia="Calibri" w:hAnsiTheme="minorHAnsi"/>
                <w:lang w:eastAsia="en-AU"/>
              </w:rPr>
              <w:t>($m)</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1A7ACA"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1A7ACA">
              <w:rPr>
                <w:rFonts w:asciiTheme="minorHAnsi" w:eastAsia="Calibri" w:hAnsiTheme="minorHAnsi"/>
                <w:lang w:eastAsia="en-AU"/>
              </w:rPr>
              <w:t>2016–17</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1A7ACA"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1A7ACA">
              <w:rPr>
                <w:rFonts w:asciiTheme="minorHAnsi" w:eastAsia="Calibri" w:hAnsiTheme="minorHAnsi"/>
                <w:lang w:eastAsia="en-AU"/>
              </w:rPr>
              <w:t>2017–18</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1A7ACA"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1A7ACA">
              <w:rPr>
                <w:rFonts w:asciiTheme="minorHAnsi" w:eastAsia="Calibri" w:hAnsiTheme="minorHAnsi"/>
                <w:lang w:eastAsia="en-AU"/>
              </w:rPr>
              <w:t>2018–19</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1A7ACA"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1A7ACA">
              <w:rPr>
                <w:rFonts w:asciiTheme="minorHAnsi" w:eastAsia="Calibri" w:hAnsiTheme="minorHAnsi"/>
                <w:lang w:eastAsia="en-AU"/>
              </w:rPr>
              <w:t>2019–20</w:t>
            </w:r>
          </w:p>
        </w:tc>
        <w:tc>
          <w:tcPr>
            <w:tcW w:w="681" w:type="pct"/>
            <w:tcBorders>
              <w:top w:val="single" w:sz="4" w:space="0" w:color="808080"/>
              <w:left w:val="single" w:sz="4" w:space="0" w:color="808080"/>
              <w:bottom w:val="single" w:sz="4" w:space="0" w:color="808080"/>
              <w:right w:val="single" w:sz="4" w:space="0" w:color="808080"/>
            </w:tcBorders>
            <w:vAlign w:val="center"/>
            <w:hideMark/>
          </w:tcPr>
          <w:p w:rsidR="000B5C96" w:rsidRPr="001A7ACA"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1A7ACA">
              <w:rPr>
                <w:rFonts w:asciiTheme="minorHAnsi" w:eastAsia="Calibri" w:hAnsiTheme="minorHAnsi"/>
                <w:b/>
                <w:lang w:eastAsia="en-AU"/>
              </w:rPr>
              <w:t>Total to 2019–20</w:t>
            </w:r>
          </w:p>
        </w:tc>
      </w:tr>
      <w:tr w:rsidR="000B5C96" w:rsidRPr="001A7ACA"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808080"/>
              <w:left w:val="single" w:sz="4" w:space="0" w:color="808080"/>
              <w:bottom w:val="single" w:sz="4" w:space="0" w:color="808080"/>
              <w:right w:val="single" w:sz="4" w:space="0" w:color="808080"/>
            </w:tcBorders>
            <w:shd w:val="clear" w:color="auto" w:fill="D7DDE9"/>
            <w:hideMark/>
          </w:tcPr>
          <w:p w:rsidR="000B5C96" w:rsidRPr="001A7ACA" w:rsidRDefault="000B5C96" w:rsidP="003F606A">
            <w:pPr>
              <w:keepNext/>
              <w:keepLines/>
              <w:rPr>
                <w:rFonts w:asciiTheme="minorHAnsi" w:hAnsiTheme="minorHAnsi"/>
                <w:b/>
                <w:lang w:eastAsia="en-AU"/>
              </w:rPr>
            </w:pPr>
            <w:r w:rsidRPr="001A7ACA">
              <w:rPr>
                <w:rFonts w:asciiTheme="minorHAnsi" w:hAnsiTheme="minorHAnsi"/>
                <w:b/>
                <w:lang w:eastAsia="en-AU"/>
              </w:rPr>
              <w:t>Impact on fiscal and underlying cash balances</w:t>
            </w:r>
          </w:p>
        </w:tc>
      </w:tr>
      <w:tr w:rsidR="000B5C96" w:rsidRPr="001A7ACA"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rPr>
                <w:rFonts w:asciiTheme="minorHAnsi" w:eastAsia="Calibri" w:hAnsiTheme="minorHAnsi"/>
                <w:lang w:eastAsia="en-AU"/>
              </w:rPr>
            </w:pPr>
            <w:r w:rsidRPr="001A7ACA">
              <w:rPr>
                <w:rFonts w:asciiTheme="minorHAnsi" w:eastAsia="Calibri" w:hAnsiTheme="minorHAnsi"/>
                <w:lang w:eastAsia="en-AU"/>
              </w:rPr>
              <w:t>Administered</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i/>
                <w:color w:val="000000"/>
                <w:sz w:val="24"/>
                <w:szCs w:val="24"/>
                <w:lang w:eastAsia="en-AU"/>
              </w:rPr>
            </w:pPr>
            <w:r w:rsidRPr="001A7ACA">
              <w:rPr>
                <w:rFonts w:asciiTheme="minorHAnsi" w:eastAsia="Calibri" w:hAnsiTheme="minorHAnsi"/>
                <w:bCs/>
                <w:i/>
                <w:color w:val="000000"/>
                <w:lang w:eastAsia="en-AU"/>
              </w:rPr>
              <w:t xml:space="preserve">-5.5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i/>
                <w:color w:val="000000"/>
                <w:sz w:val="24"/>
                <w:szCs w:val="24"/>
                <w:lang w:eastAsia="en-AU"/>
              </w:rPr>
            </w:pPr>
            <w:r w:rsidRPr="001A7ACA">
              <w:rPr>
                <w:rFonts w:asciiTheme="minorHAnsi" w:eastAsia="Calibri" w:hAnsiTheme="minorHAnsi"/>
                <w:bCs/>
                <w:i/>
                <w:color w:val="000000"/>
                <w:lang w:eastAsia="en-AU"/>
              </w:rPr>
              <w:t xml:space="preserve">-5.7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i/>
                <w:color w:val="000000"/>
                <w:sz w:val="24"/>
                <w:szCs w:val="24"/>
                <w:lang w:eastAsia="en-AU"/>
              </w:rPr>
            </w:pPr>
            <w:r w:rsidRPr="001A7ACA">
              <w:rPr>
                <w:rFonts w:asciiTheme="minorHAnsi" w:eastAsia="Calibri" w:hAnsiTheme="minorHAnsi"/>
                <w:bCs/>
                <w:i/>
                <w:color w:val="000000"/>
                <w:lang w:eastAsia="en-AU"/>
              </w:rPr>
              <w:t xml:space="preserve">-5.7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i/>
                <w:color w:val="000000"/>
                <w:sz w:val="24"/>
                <w:szCs w:val="24"/>
                <w:lang w:eastAsia="en-AU"/>
              </w:rPr>
            </w:pPr>
            <w:r w:rsidRPr="001A7ACA">
              <w:rPr>
                <w:rFonts w:asciiTheme="minorHAnsi" w:eastAsia="Calibri" w:hAnsiTheme="minorHAnsi"/>
                <w:bCs/>
                <w:i/>
                <w:color w:val="000000"/>
                <w:lang w:eastAsia="en-AU"/>
              </w:rPr>
              <w:t xml:space="preserve">-5.7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bCs/>
                <w:i/>
                <w:color w:val="000000"/>
                <w:sz w:val="24"/>
                <w:szCs w:val="24"/>
                <w:lang w:eastAsia="en-AU"/>
              </w:rPr>
            </w:pPr>
            <w:r w:rsidRPr="001A7ACA">
              <w:rPr>
                <w:rFonts w:asciiTheme="minorHAnsi" w:eastAsia="Calibri" w:hAnsiTheme="minorHAnsi"/>
                <w:b/>
                <w:bCs/>
                <w:i/>
                <w:color w:val="000000"/>
                <w:lang w:eastAsia="en-AU"/>
              </w:rPr>
              <w:t xml:space="preserve">-23.0 </w:t>
            </w:r>
          </w:p>
        </w:tc>
      </w:tr>
      <w:tr w:rsidR="000B5C96" w:rsidRPr="001A7ACA"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rPr>
                <w:rFonts w:asciiTheme="minorHAnsi" w:eastAsia="Calibri" w:hAnsiTheme="minorHAnsi"/>
                <w:lang w:eastAsia="en-AU"/>
              </w:rPr>
            </w:pPr>
            <w:r w:rsidRPr="001A7ACA">
              <w:rPr>
                <w:rFonts w:asciiTheme="minorHAnsi" w:eastAsia="Calibri" w:hAnsiTheme="minorHAnsi"/>
                <w:lang w:eastAsia="en-AU"/>
              </w:rPr>
              <w:t>Departmental</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
                <w:color w:val="000000"/>
                <w:sz w:val="24"/>
                <w:szCs w:val="24"/>
                <w:lang w:eastAsia="en-AU"/>
              </w:rPr>
            </w:pPr>
            <w:r w:rsidRPr="001A7ACA">
              <w:rPr>
                <w:rFonts w:asciiTheme="minorHAnsi" w:eastAsia="Calibri" w:hAnsiTheme="minorHAnsi"/>
                <w:bCs/>
                <w:i/>
                <w:color w:val="000000"/>
                <w:lang w:eastAsia="en-AU"/>
              </w:rPr>
              <w:t xml:space="preserve">-0.4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
                <w:color w:val="000000"/>
                <w:sz w:val="24"/>
                <w:szCs w:val="24"/>
                <w:lang w:eastAsia="en-AU"/>
              </w:rPr>
            </w:pPr>
            <w:r w:rsidRPr="001A7ACA">
              <w:rPr>
                <w:rFonts w:asciiTheme="minorHAnsi" w:eastAsia="Calibri" w:hAnsiTheme="minorHAnsi"/>
                <w:bCs/>
                <w:i/>
                <w:color w:val="000000"/>
                <w:lang w:eastAsia="en-AU"/>
              </w:rPr>
              <w:t xml:space="preserve">-0.2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
                <w:color w:val="000000"/>
                <w:sz w:val="24"/>
                <w:szCs w:val="24"/>
                <w:lang w:eastAsia="en-AU"/>
              </w:rPr>
            </w:pPr>
            <w:r w:rsidRPr="001A7ACA">
              <w:rPr>
                <w:rFonts w:asciiTheme="minorHAnsi" w:eastAsia="Calibri" w:hAnsiTheme="minorHAnsi"/>
                <w:bCs/>
                <w:i/>
                <w:color w:val="000000"/>
                <w:lang w:eastAsia="en-AU"/>
              </w:rPr>
              <w:t xml:space="preserve">-0.2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
                <w:color w:val="000000"/>
                <w:sz w:val="24"/>
                <w:szCs w:val="24"/>
                <w:lang w:eastAsia="en-AU"/>
              </w:rPr>
            </w:pPr>
            <w:r w:rsidRPr="001A7ACA">
              <w:rPr>
                <w:rFonts w:asciiTheme="minorHAnsi" w:eastAsia="Calibri" w:hAnsiTheme="minorHAnsi"/>
                <w:bCs/>
                <w:i/>
                <w:color w:val="000000"/>
                <w:lang w:eastAsia="en-AU"/>
              </w:rPr>
              <w:t xml:space="preserve">-0.2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1A7AC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bCs/>
                <w:i/>
                <w:color w:val="000000"/>
                <w:sz w:val="24"/>
                <w:szCs w:val="24"/>
                <w:lang w:eastAsia="en-AU"/>
              </w:rPr>
            </w:pPr>
            <w:r w:rsidRPr="001A7ACA">
              <w:rPr>
                <w:rFonts w:asciiTheme="minorHAnsi" w:eastAsia="Calibri" w:hAnsiTheme="minorHAnsi"/>
                <w:b/>
                <w:bCs/>
                <w:i/>
                <w:color w:val="000000"/>
                <w:lang w:eastAsia="en-AU"/>
              </w:rPr>
              <w:t xml:space="preserve">-1.0 </w:t>
            </w:r>
          </w:p>
        </w:tc>
      </w:tr>
      <w:tr w:rsidR="000B5C96" w:rsidRPr="001A7ACA"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1A7ACA" w:rsidRDefault="000B5C96" w:rsidP="003F606A">
            <w:pPr>
              <w:rPr>
                <w:rFonts w:asciiTheme="minorHAnsi" w:eastAsia="Calibri" w:hAnsiTheme="minorHAnsi"/>
                <w:b/>
                <w:lang w:eastAsia="en-AU"/>
              </w:rPr>
            </w:pPr>
            <w:r w:rsidRPr="001A7ACA">
              <w:rPr>
                <w:rFonts w:asciiTheme="minorHAnsi" w:eastAsia="Calibri" w:hAnsiTheme="minorHAnsi"/>
                <w:b/>
                <w:lang w:eastAsia="en-AU"/>
              </w:rPr>
              <w:t>Total</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1A7AC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1A7ACA">
              <w:rPr>
                <w:rFonts w:asciiTheme="minorHAnsi" w:eastAsia="Calibri" w:hAnsiTheme="minorHAnsi"/>
                <w:b/>
                <w:szCs w:val="20"/>
                <w:lang w:eastAsia="en-AU"/>
              </w:rPr>
              <w:t>-6.0</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1A7AC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1A7ACA">
              <w:rPr>
                <w:rFonts w:asciiTheme="minorHAnsi" w:eastAsia="Calibri" w:hAnsiTheme="minorHAnsi"/>
                <w:b/>
                <w:szCs w:val="20"/>
                <w:lang w:eastAsia="en-AU"/>
              </w:rPr>
              <w:t>-6.0</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1A7AC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1A7ACA">
              <w:rPr>
                <w:rFonts w:asciiTheme="minorHAnsi" w:eastAsia="Calibri" w:hAnsiTheme="minorHAnsi"/>
                <w:b/>
                <w:szCs w:val="20"/>
                <w:lang w:eastAsia="en-AU"/>
              </w:rPr>
              <w:t>-6.0</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1A7AC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1A7ACA">
              <w:rPr>
                <w:rFonts w:asciiTheme="minorHAnsi" w:eastAsia="Calibri" w:hAnsiTheme="minorHAnsi"/>
                <w:b/>
                <w:szCs w:val="20"/>
                <w:lang w:eastAsia="en-AU"/>
              </w:rPr>
              <w:t>-6.0</w:t>
            </w:r>
          </w:p>
        </w:tc>
        <w:tc>
          <w:tcPr>
            <w:tcW w:w="68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1A7AC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1A7ACA">
              <w:rPr>
                <w:rFonts w:asciiTheme="minorHAnsi" w:eastAsia="Calibri" w:hAnsiTheme="minorHAnsi"/>
                <w:b/>
                <w:szCs w:val="20"/>
                <w:lang w:eastAsia="en-AU"/>
              </w:rPr>
              <w:t>-24.0</w:t>
            </w:r>
          </w:p>
        </w:tc>
      </w:tr>
    </w:tbl>
    <w:p w:rsidR="000B5C96" w:rsidRDefault="000B5C96" w:rsidP="00E54AEC">
      <w:pPr>
        <w:pStyle w:val="Footnotes"/>
        <w:numPr>
          <w:ilvl w:val="0"/>
          <w:numId w:val="298"/>
        </w:numPr>
        <w:ind w:left="284" w:hanging="284"/>
      </w:pPr>
      <w:r w:rsidRPr="001A7ACA">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F833CF" w:rsidRDefault="000B5C96" w:rsidP="000B5C96">
      <w:pPr>
        <w:pStyle w:val="Footnotes"/>
        <w:numPr>
          <w:ilvl w:val="0"/>
          <w:numId w:val="7"/>
        </w:numPr>
        <w:ind w:left="284" w:hanging="284"/>
      </w:pPr>
      <w:r w:rsidRPr="001A7ACA">
        <w:t>Figures may not sum to totals due to rounding.</w:t>
      </w:r>
    </w:p>
    <w:p w:rsidR="000B5C96" w:rsidRPr="001A7ACA" w:rsidRDefault="000B5C96" w:rsidP="003F606A">
      <w:pPr>
        <w:pStyle w:val="Caption"/>
      </w:pPr>
      <w:r w:rsidRPr="001A7ACA">
        <w:t>Table A2: Component 1: Community Sports—Financial implications</w:t>
      </w:r>
      <w:r w:rsidRPr="001A7ACA">
        <w:rPr>
          <w:vertAlign w:val="superscript"/>
        </w:rPr>
        <w:t>(a)(b)</w:t>
      </w:r>
    </w:p>
    <w:tbl>
      <w:tblPr>
        <w:tblStyle w:val="TableGrid56"/>
        <w:tblW w:w="4993" w:type="pct"/>
        <w:tblInd w:w="0" w:type="dxa"/>
        <w:tblLook w:val="04A0" w:firstRow="1" w:lastRow="0" w:firstColumn="1" w:lastColumn="0" w:noHBand="0" w:noVBand="1"/>
      </w:tblPr>
      <w:tblGrid>
        <w:gridCol w:w="2644"/>
        <w:gridCol w:w="1133"/>
        <w:gridCol w:w="1134"/>
        <w:gridCol w:w="1134"/>
        <w:gridCol w:w="1134"/>
        <w:gridCol w:w="1132"/>
      </w:tblGrid>
      <w:tr w:rsidR="000B5C96" w:rsidRPr="00762F57"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vAlign w:val="center"/>
            <w:hideMark/>
          </w:tcPr>
          <w:p w:rsidR="000B5C96" w:rsidRPr="00762F57" w:rsidRDefault="000B5C96" w:rsidP="003F606A">
            <w:pPr>
              <w:keepNext/>
              <w:keepLines/>
              <w:spacing w:before="70" w:after="70" w:line="240" w:lineRule="auto"/>
              <w:rPr>
                <w:rFonts w:eastAsia="Calibri"/>
                <w:lang w:eastAsia="en-AU"/>
              </w:rPr>
            </w:pPr>
            <w:r w:rsidRPr="00762F57">
              <w:rPr>
                <w:rFonts w:eastAsia="Calibri"/>
                <w:lang w:eastAsia="en-AU"/>
              </w:rPr>
              <w:t>($m)</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762F57"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eastAsia="Calibri"/>
                <w:lang w:eastAsia="en-AU"/>
              </w:rPr>
            </w:pPr>
            <w:r w:rsidRPr="00762F57">
              <w:rPr>
                <w:rFonts w:eastAsia="Calibri"/>
                <w:lang w:eastAsia="en-AU"/>
              </w:rPr>
              <w:t>2016–17</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762F57"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eastAsia="Calibri"/>
                <w:lang w:eastAsia="en-AU"/>
              </w:rPr>
            </w:pPr>
            <w:r w:rsidRPr="00762F57">
              <w:rPr>
                <w:rFonts w:eastAsia="Calibri"/>
                <w:lang w:eastAsia="en-AU"/>
              </w:rPr>
              <w:t>2017–18</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762F57"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eastAsia="Calibri"/>
                <w:lang w:eastAsia="en-AU"/>
              </w:rPr>
            </w:pPr>
            <w:r w:rsidRPr="00762F57">
              <w:rPr>
                <w:rFonts w:eastAsia="Calibri"/>
                <w:lang w:eastAsia="en-AU"/>
              </w:rPr>
              <w:t>2018–19</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762F57"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eastAsia="Calibri"/>
                <w:b/>
                <w:lang w:eastAsia="en-AU"/>
              </w:rPr>
            </w:pPr>
            <w:r w:rsidRPr="00762F57">
              <w:rPr>
                <w:rFonts w:eastAsia="Calibri"/>
                <w:lang w:eastAsia="en-AU"/>
              </w:rPr>
              <w:t>2019–20</w:t>
            </w:r>
          </w:p>
        </w:tc>
        <w:tc>
          <w:tcPr>
            <w:tcW w:w="681" w:type="pct"/>
            <w:tcBorders>
              <w:top w:val="single" w:sz="4" w:space="0" w:color="808080"/>
              <w:left w:val="single" w:sz="4" w:space="0" w:color="808080"/>
              <w:bottom w:val="single" w:sz="4" w:space="0" w:color="808080"/>
              <w:right w:val="single" w:sz="4" w:space="0" w:color="808080"/>
            </w:tcBorders>
            <w:vAlign w:val="center"/>
            <w:hideMark/>
          </w:tcPr>
          <w:p w:rsidR="000B5C96" w:rsidRPr="00762F57"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eastAsia="Calibri"/>
                <w:b/>
                <w:lang w:eastAsia="en-AU"/>
              </w:rPr>
            </w:pPr>
            <w:r w:rsidRPr="00762F57">
              <w:rPr>
                <w:rFonts w:eastAsia="Calibri"/>
                <w:b/>
                <w:lang w:eastAsia="en-AU"/>
              </w:rPr>
              <w:t>Total to 2019–20</w:t>
            </w:r>
          </w:p>
        </w:tc>
      </w:tr>
      <w:tr w:rsidR="000B5C96" w:rsidRPr="00762F5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808080"/>
              <w:left w:val="single" w:sz="4" w:space="0" w:color="808080"/>
              <w:bottom w:val="single" w:sz="4" w:space="0" w:color="808080"/>
              <w:right w:val="single" w:sz="4" w:space="0" w:color="808080"/>
            </w:tcBorders>
            <w:shd w:val="clear" w:color="auto" w:fill="D7DDE9"/>
            <w:hideMark/>
          </w:tcPr>
          <w:p w:rsidR="000B5C96" w:rsidRPr="00762F57" w:rsidRDefault="000B5C96" w:rsidP="003F606A">
            <w:pPr>
              <w:keepNext/>
              <w:keepLines/>
              <w:rPr>
                <w:b/>
                <w:lang w:eastAsia="en-AU"/>
              </w:rPr>
            </w:pPr>
            <w:r w:rsidRPr="00762F57">
              <w:rPr>
                <w:b/>
                <w:lang w:eastAsia="en-AU"/>
              </w:rPr>
              <w:t>Impact on fiscal and underlying cash balances</w:t>
            </w:r>
          </w:p>
        </w:tc>
      </w:tr>
      <w:tr w:rsidR="000B5C96" w:rsidRPr="00762F57" w:rsidTr="003F606A">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808080"/>
              <w:left w:val="single" w:sz="4" w:space="0" w:color="808080"/>
              <w:bottom w:val="single" w:sz="4" w:space="0" w:color="808080"/>
              <w:right w:val="single" w:sz="4" w:space="0" w:color="808080"/>
            </w:tcBorders>
            <w:shd w:val="clear" w:color="auto" w:fill="E9ECF3"/>
            <w:hideMark/>
          </w:tcPr>
          <w:p w:rsidR="000B5C96" w:rsidRPr="00762F57" w:rsidRDefault="000B5C96" w:rsidP="003F606A">
            <w:pPr>
              <w:keepNext/>
              <w:keepLines/>
              <w:rPr>
                <w:b/>
                <w:lang w:eastAsia="en-AU"/>
              </w:rPr>
            </w:pPr>
            <w:r w:rsidRPr="00762F57">
              <w:rPr>
                <w:b/>
                <w:lang w:eastAsia="en-AU"/>
              </w:rPr>
              <w:t>Administered</w:t>
            </w:r>
          </w:p>
        </w:tc>
      </w:tr>
      <w:tr w:rsidR="000B5C96" w:rsidRPr="00762F5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rPr>
                <w:rFonts w:eastAsia="Calibri"/>
                <w:i/>
                <w:lang w:eastAsia="en-AU"/>
              </w:rPr>
            </w:pPr>
            <w:r w:rsidRPr="00762F57">
              <w:rPr>
                <w:rFonts w:eastAsia="Calibri"/>
                <w:i/>
                <w:lang w:eastAsia="en-AU"/>
              </w:rPr>
              <w:t>Direct financial support to families</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-2.2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-2.4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-2.4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-2.4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i/>
                <w:iCs/>
                <w:color w:val="000000"/>
                <w:sz w:val="24"/>
                <w:szCs w:val="24"/>
                <w:lang w:eastAsia="en-AU"/>
              </w:rPr>
            </w:pPr>
            <w:r w:rsidRPr="00762F57">
              <w:rPr>
                <w:rFonts w:eastAsia="Calibri"/>
                <w:b/>
                <w:i/>
                <w:iCs/>
                <w:color w:val="000000"/>
                <w:lang w:eastAsia="en-AU"/>
              </w:rPr>
              <w:t xml:space="preserve">-9.5 </w:t>
            </w:r>
          </w:p>
        </w:tc>
      </w:tr>
      <w:tr w:rsidR="000B5C96" w:rsidRPr="00762F57"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rPr>
                <w:rFonts w:eastAsia="Calibri"/>
                <w:i/>
                <w:lang w:eastAsia="en-AU"/>
              </w:rPr>
            </w:pPr>
            <w:r w:rsidRPr="00762F57">
              <w:rPr>
                <w:rFonts w:eastAsia="Calibri"/>
                <w:i/>
                <w:lang w:eastAsia="en-AU"/>
              </w:rPr>
              <w:t>Local sport libraries grants</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-2.2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-2.2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-2.2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-2.2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i/>
                <w:iCs/>
                <w:color w:val="000000"/>
                <w:sz w:val="24"/>
                <w:szCs w:val="24"/>
                <w:lang w:eastAsia="en-AU"/>
              </w:rPr>
            </w:pPr>
            <w:r w:rsidRPr="00762F57">
              <w:rPr>
                <w:rFonts w:eastAsia="Calibri"/>
                <w:b/>
                <w:i/>
                <w:iCs/>
                <w:color w:val="000000"/>
                <w:lang w:eastAsia="en-AU"/>
              </w:rPr>
              <w:t xml:space="preserve">-9.0 </w:t>
            </w:r>
          </w:p>
        </w:tc>
      </w:tr>
      <w:tr w:rsidR="000B5C96" w:rsidRPr="00762F5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rPr>
                <w:rFonts w:eastAsia="Calibri"/>
                <w:i/>
                <w:lang w:eastAsia="en-AU"/>
              </w:rPr>
            </w:pPr>
            <w:r w:rsidRPr="00762F57">
              <w:rPr>
                <w:rFonts w:eastAsia="Calibri"/>
                <w:i/>
                <w:lang w:eastAsia="en-AU"/>
              </w:rPr>
              <w:t>Volunteers assistance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-0.1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-0.1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-0.1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-0.1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i/>
                <w:iCs/>
                <w:color w:val="000000"/>
                <w:sz w:val="24"/>
                <w:szCs w:val="24"/>
                <w:lang w:eastAsia="en-AU"/>
              </w:rPr>
            </w:pPr>
            <w:r w:rsidRPr="00762F57">
              <w:rPr>
                <w:rFonts w:eastAsia="Calibri"/>
                <w:b/>
                <w:i/>
                <w:iCs/>
                <w:color w:val="000000"/>
                <w:lang w:eastAsia="en-AU"/>
              </w:rPr>
              <w:t xml:space="preserve">-0.5 </w:t>
            </w:r>
          </w:p>
        </w:tc>
      </w:tr>
      <w:tr w:rsidR="000B5C96" w:rsidRPr="00762F57"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rPr>
                <w:rFonts w:eastAsia="Calibri"/>
                <w:lang w:eastAsia="en-AU"/>
              </w:rPr>
            </w:pPr>
            <w:r w:rsidRPr="00762F57">
              <w:rPr>
                <w:rFonts w:eastAsia="Calibri"/>
                <w:lang w:eastAsia="en-AU"/>
              </w:rPr>
              <w:t>Total Administered</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bCs/>
                <w:color w:val="000000"/>
                <w:sz w:val="24"/>
                <w:szCs w:val="24"/>
                <w:lang w:eastAsia="en-AU"/>
              </w:rPr>
            </w:pPr>
            <w:r w:rsidRPr="00762F57">
              <w:rPr>
                <w:rFonts w:eastAsia="Calibri"/>
                <w:b/>
                <w:bCs/>
                <w:color w:val="000000"/>
                <w:lang w:eastAsia="en-AU"/>
              </w:rPr>
              <w:t xml:space="preserve">-4.5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bCs/>
                <w:color w:val="000000"/>
                <w:sz w:val="24"/>
                <w:szCs w:val="24"/>
                <w:lang w:eastAsia="en-AU"/>
              </w:rPr>
            </w:pPr>
            <w:r w:rsidRPr="00762F57">
              <w:rPr>
                <w:rFonts w:eastAsia="Calibri"/>
                <w:b/>
                <w:bCs/>
                <w:color w:val="000000"/>
                <w:lang w:eastAsia="en-AU"/>
              </w:rPr>
              <w:t xml:space="preserve">-4.7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bCs/>
                <w:color w:val="000000"/>
                <w:sz w:val="24"/>
                <w:szCs w:val="24"/>
                <w:lang w:eastAsia="en-AU"/>
              </w:rPr>
            </w:pPr>
            <w:r w:rsidRPr="00762F57">
              <w:rPr>
                <w:rFonts w:eastAsia="Calibri"/>
                <w:b/>
                <w:bCs/>
                <w:color w:val="000000"/>
                <w:lang w:eastAsia="en-AU"/>
              </w:rPr>
              <w:t xml:space="preserve">-4.7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bCs/>
                <w:color w:val="000000"/>
                <w:sz w:val="24"/>
                <w:szCs w:val="24"/>
                <w:lang w:eastAsia="en-AU"/>
              </w:rPr>
            </w:pPr>
            <w:r w:rsidRPr="00762F57">
              <w:rPr>
                <w:rFonts w:eastAsia="Calibri"/>
                <w:b/>
                <w:bCs/>
                <w:color w:val="000000"/>
                <w:lang w:eastAsia="en-AU"/>
              </w:rPr>
              <w:t xml:space="preserve">-4.7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bCs/>
                <w:color w:val="000000"/>
                <w:sz w:val="24"/>
                <w:szCs w:val="24"/>
                <w:lang w:eastAsia="en-AU"/>
              </w:rPr>
            </w:pPr>
            <w:r w:rsidRPr="00762F57">
              <w:rPr>
                <w:rFonts w:eastAsia="Calibri"/>
                <w:b/>
                <w:bCs/>
                <w:color w:val="000000"/>
                <w:lang w:eastAsia="en-AU"/>
              </w:rPr>
              <w:t xml:space="preserve">-19.0 </w:t>
            </w:r>
          </w:p>
        </w:tc>
      </w:tr>
      <w:tr w:rsidR="000B5C96" w:rsidRPr="00762F5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808080"/>
              <w:left w:val="single" w:sz="4" w:space="0" w:color="808080"/>
              <w:bottom w:val="single" w:sz="4" w:space="0" w:color="808080"/>
              <w:right w:val="single" w:sz="4" w:space="0" w:color="808080"/>
            </w:tcBorders>
            <w:shd w:val="clear" w:color="auto" w:fill="E9ECF3"/>
            <w:hideMark/>
          </w:tcPr>
          <w:p w:rsidR="000B5C96" w:rsidRPr="00762F57" w:rsidRDefault="000B5C96" w:rsidP="003F606A">
            <w:pPr>
              <w:keepNext/>
              <w:keepLines/>
              <w:rPr>
                <w:b/>
                <w:lang w:eastAsia="en-AU"/>
              </w:rPr>
            </w:pPr>
            <w:r w:rsidRPr="00762F57">
              <w:rPr>
                <w:b/>
                <w:lang w:eastAsia="en-AU"/>
              </w:rPr>
              <w:t>Departmental</w:t>
            </w:r>
          </w:p>
        </w:tc>
      </w:tr>
      <w:tr w:rsidR="000B5C96" w:rsidRPr="00762F57"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rPr>
                <w:rFonts w:eastAsia="Calibri"/>
                <w:i/>
                <w:lang w:eastAsia="en-AU"/>
              </w:rPr>
            </w:pPr>
            <w:r w:rsidRPr="00762F57">
              <w:rPr>
                <w:rFonts w:eastAsia="Calibri"/>
                <w:i/>
                <w:lang w:eastAsia="en-AU"/>
              </w:rPr>
              <w:t>Direct financial support to families</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-0.3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-0.1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-0.1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-0.1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000000" w:firstRow="0" w:lastRow="0" w:firstColumn="0" w:lastColumn="0" w:oddVBand="0" w:evenVBand="0" w:oddHBand="0" w:evenHBand="0" w:firstRowFirstColumn="0" w:firstRowLastColumn="0" w:lastRowFirstColumn="0" w:lastRowLastColumn="0"/>
              <w:rPr>
                <w:rFonts w:eastAsia="Calibri"/>
                <w:b/>
                <w:i/>
                <w:iCs/>
                <w:color w:val="000000"/>
                <w:sz w:val="24"/>
                <w:szCs w:val="24"/>
                <w:lang w:eastAsia="en-AU"/>
              </w:rPr>
            </w:pPr>
            <w:r w:rsidRPr="00762F57">
              <w:rPr>
                <w:rFonts w:eastAsia="Calibri"/>
                <w:b/>
                <w:i/>
                <w:iCs/>
                <w:color w:val="000000"/>
                <w:lang w:eastAsia="en-AU"/>
              </w:rPr>
              <w:t xml:space="preserve">-0.5 </w:t>
            </w:r>
          </w:p>
        </w:tc>
      </w:tr>
      <w:tr w:rsidR="000B5C96" w:rsidRPr="00762F5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rPr>
                <w:rFonts w:eastAsia="Calibri"/>
                <w:i/>
                <w:lang w:eastAsia="en-AU"/>
              </w:rPr>
            </w:pPr>
            <w:r w:rsidRPr="00762F57">
              <w:rPr>
                <w:rFonts w:eastAsia="Calibri"/>
                <w:i/>
                <w:lang w:eastAsia="en-AU"/>
              </w:rPr>
              <w:t>Local sport libraries grants</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-0.1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-0.1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-0.1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i/>
                <w:iCs/>
                <w:color w:val="000000"/>
                <w:sz w:val="24"/>
                <w:szCs w:val="24"/>
                <w:lang w:eastAsia="en-AU"/>
              </w:rPr>
            </w:pPr>
            <w:r w:rsidRPr="00762F57">
              <w:rPr>
                <w:rFonts w:eastAsia="Calibri"/>
                <w:i/>
                <w:iCs/>
                <w:color w:val="000000"/>
                <w:lang w:eastAsia="en-AU"/>
              </w:rPr>
              <w:t xml:space="preserve">-0.1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i/>
                <w:iCs/>
                <w:color w:val="000000"/>
                <w:sz w:val="24"/>
                <w:szCs w:val="24"/>
                <w:lang w:eastAsia="en-AU"/>
              </w:rPr>
            </w:pPr>
            <w:r w:rsidRPr="00762F57">
              <w:rPr>
                <w:rFonts w:eastAsia="Calibri"/>
                <w:b/>
                <w:i/>
                <w:iCs/>
                <w:color w:val="000000"/>
                <w:lang w:eastAsia="en-AU"/>
              </w:rPr>
              <w:t xml:space="preserve">-0.5 </w:t>
            </w:r>
          </w:p>
        </w:tc>
      </w:tr>
      <w:tr w:rsidR="000B5C96" w:rsidRPr="00762F57"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rPr>
                <w:rFonts w:eastAsia="Calibri"/>
                <w:i/>
                <w:lang w:eastAsia="en-AU"/>
              </w:rPr>
            </w:pPr>
            <w:r w:rsidRPr="00762F57">
              <w:rPr>
                <w:rFonts w:eastAsia="Calibri"/>
                <w:i/>
                <w:lang w:eastAsia="en-AU"/>
              </w:rPr>
              <w:t>Volunteers assistance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i/>
                <w:szCs w:val="20"/>
                <w:lang w:eastAsia="en-AU"/>
              </w:rPr>
            </w:pPr>
            <w:r w:rsidRPr="00762F57">
              <w:rPr>
                <w:i/>
                <w:szCs w:val="20"/>
                <w:lang w:eastAsia="en-AU"/>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i/>
                <w:szCs w:val="20"/>
                <w:lang w:eastAsia="en-AU"/>
              </w:rPr>
            </w:pPr>
            <w:r w:rsidRPr="00762F57">
              <w:rPr>
                <w:i/>
                <w:szCs w:val="20"/>
                <w:lang w:eastAsia="en-AU"/>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i/>
                <w:szCs w:val="20"/>
                <w:lang w:eastAsia="en-AU"/>
              </w:rPr>
            </w:pPr>
            <w:r w:rsidRPr="00762F57">
              <w:rPr>
                <w:i/>
                <w:szCs w:val="20"/>
                <w:lang w:eastAsia="en-AU"/>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i/>
                <w:szCs w:val="20"/>
                <w:lang w:eastAsia="en-AU"/>
              </w:rPr>
            </w:pPr>
            <w:r w:rsidRPr="00762F57">
              <w:rPr>
                <w:i/>
                <w:szCs w:val="20"/>
                <w:lang w:eastAsia="en-AU"/>
              </w:rPr>
              <w:t>..</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b/>
                <w:i/>
                <w:szCs w:val="20"/>
                <w:lang w:eastAsia="en-AU"/>
              </w:rPr>
            </w:pPr>
            <w:r w:rsidRPr="00762F57">
              <w:rPr>
                <w:b/>
                <w:i/>
                <w:szCs w:val="20"/>
                <w:lang w:eastAsia="en-AU"/>
              </w:rPr>
              <w:t>..</w:t>
            </w:r>
          </w:p>
        </w:tc>
      </w:tr>
      <w:tr w:rsidR="000B5C96" w:rsidRPr="00762F5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rPr>
                <w:rFonts w:eastAsia="Calibri"/>
                <w:lang w:eastAsia="en-AU"/>
              </w:rPr>
            </w:pPr>
            <w:r w:rsidRPr="00762F57">
              <w:rPr>
                <w:rFonts w:eastAsia="Calibri"/>
                <w:lang w:eastAsia="en-AU"/>
              </w:rPr>
              <w:t>Total Departmental</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bCs/>
                <w:color w:val="000000"/>
                <w:sz w:val="24"/>
                <w:szCs w:val="24"/>
                <w:lang w:eastAsia="en-AU"/>
              </w:rPr>
            </w:pPr>
            <w:r w:rsidRPr="00762F57">
              <w:rPr>
                <w:rFonts w:eastAsia="Calibri"/>
                <w:b/>
                <w:bCs/>
                <w:color w:val="000000"/>
                <w:lang w:eastAsia="en-AU"/>
              </w:rPr>
              <w:t xml:space="preserve">-0.4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bCs/>
                <w:color w:val="000000"/>
                <w:sz w:val="24"/>
                <w:szCs w:val="24"/>
                <w:lang w:eastAsia="en-AU"/>
              </w:rPr>
            </w:pPr>
            <w:r w:rsidRPr="00762F57">
              <w:rPr>
                <w:rFonts w:eastAsia="Calibri"/>
                <w:b/>
                <w:bCs/>
                <w:color w:val="000000"/>
                <w:lang w:eastAsia="en-AU"/>
              </w:rPr>
              <w:t xml:space="preserve">-0.2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bCs/>
                <w:color w:val="000000"/>
                <w:sz w:val="24"/>
                <w:szCs w:val="24"/>
                <w:lang w:eastAsia="en-AU"/>
              </w:rPr>
            </w:pPr>
            <w:r w:rsidRPr="00762F57">
              <w:rPr>
                <w:rFonts w:eastAsia="Calibri"/>
                <w:b/>
                <w:bCs/>
                <w:color w:val="000000"/>
                <w:lang w:eastAsia="en-AU"/>
              </w:rPr>
              <w:t xml:space="preserve">-0.2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bCs/>
                <w:color w:val="000000"/>
                <w:sz w:val="24"/>
                <w:szCs w:val="24"/>
                <w:lang w:eastAsia="en-AU"/>
              </w:rPr>
            </w:pPr>
            <w:r w:rsidRPr="00762F57">
              <w:rPr>
                <w:rFonts w:eastAsia="Calibri"/>
                <w:b/>
                <w:bCs/>
                <w:color w:val="000000"/>
                <w:lang w:eastAsia="en-AU"/>
              </w:rPr>
              <w:t xml:space="preserve">-0.2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762F57" w:rsidRDefault="000B5C96" w:rsidP="003F606A">
            <w:pPr>
              <w:jc w:val="right"/>
              <w:cnfStyle w:val="000000100000" w:firstRow="0" w:lastRow="0" w:firstColumn="0" w:lastColumn="0" w:oddVBand="0" w:evenVBand="0" w:oddHBand="1" w:evenHBand="0" w:firstRowFirstColumn="0" w:firstRowLastColumn="0" w:lastRowFirstColumn="0" w:lastRowLastColumn="0"/>
              <w:rPr>
                <w:rFonts w:eastAsia="Calibri"/>
                <w:b/>
                <w:bCs/>
                <w:color w:val="000000"/>
                <w:sz w:val="24"/>
                <w:szCs w:val="24"/>
                <w:lang w:eastAsia="en-AU"/>
              </w:rPr>
            </w:pPr>
            <w:r w:rsidRPr="00762F57">
              <w:rPr>
                <w:rFonts w:eastAsia="Calibri"/>
                <w:b/>
                <w:bCs/>
                <w:color w:val="000000"/>
                <w:lang w:eastAsia="en-AU"/>
              </w:rPr>
              <w:t xml:space="preserve">-1.0 </w:t>
            </w:r>
          </w:p>
        </w:tc>
      </w:tr>
      <w:tr w:rsidR="000B5C96" w:rsidRPr="00762F57"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762F57" w:rsidRDefault="000B5C96" w:rsidP="003F606A">
            <w:pPr>
              <w:rPr>
                <w:rFonts w:eastAsia="Calibri"/>
                <w:b/>
                <w:lang w:eastAsia="en-AU"/>
              </w:rPr>
            </w:pPr>
            <w:r w:rsidRPr="00762F57">
              <w:rPr>
                <w:rFonts w:eastAsia="Calibri"/>
                <w:b/>
                <w:lang w:eastAsia="en-AU"/>
              </w:rPr>
              <w:t>Total</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762F57"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b/>
                <w:szCs w:val="20"/>
                <w:lang w:eastAsia="en-AU"/>
              </w:rPr>
            </w:pPr>
            <w:r w:rsidRPr="00762F57">
              <w:rPr>
                <w:b/>
                <w:szCs w:val="20"/>
                <w:lang w:eastAsia="en-AU"/>
              </w:rPr>
              <w:t>-5.0</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762F57"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b/>
                <w:szCs w:val="20"/>
                <w:lang w:eastAsia="en-AU"/>
              </w:rPr>
            </w:pPr>
            <w:r w:rsidRPr="00762F57">
              <w:rPr>
                <w:b/>
                <w:szCs w:val="20"/>
                <w:lang w:eastAsia="en-AU"/>
              </w:rPr>
              <w:t>-5.0</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762F57"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b/>
                <w:szCs w:val="20"/>
                <w:lang w:eastAsia="en-AU"/>
              </w:rPr>
            </w:pPr>
            <w:r w:rsidRPr="00762F57">
              <w:rPr>
                <w:b/>
                <w:szCs w:val="20"/>
                <w:lang w:eastAsia="en-AU"/>
              </w:rPr>
              <w:t>-5.0</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762F57"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b/>
                <w:szCs w:val="20"/>
                <w:lang w:eastAsia="en-AU"/>
              </w:rPr>
            </w:pPr>
            <w:r w:rsidRPr="00762F57">
              <w:rPr>
                <w:b/>
                <w:szCs w:val="20"/>
                <w:lang w:eastAsia="en-AU"/>
              </w:rPr>
              <w:t>-5.0</w:t>
            </w:r>
          </w:p>
        </w:tc>
        <w:tc>
          <w:tcPr>
            <w:tcW w:w="68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762F57"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b/>
                <w:szCs w:val="20"/>
                <w:lang w:eastAsia="en-AU"/>
              </w:rPr>
            </w:pPr>
            <w:r w:rsidRPr="00762F57">
              <w:rPr>
                <w:b/>
                <w:szCs w:val="20"/>
                <w:lang w:eastAsia="en-AU"/>
              </w:rPr>
              <w:t>-20.0</w:t>
            </w:r>
          </w:p>
        </w:tc>
      </w:tr>
    </w:tbl>
    <w:p w:rsidR="000B5C96" w:rsidRDefault="000B5C96" w:rsidP="00E54AEC">
      <w:pPr>
        <w:pStyle w:val="Footnotes"/>
        <w:numPr>
          <w:ilvl w:val="0"/>
          <w:numId w:val="299"/>
        </w:numPr>
        <w:ind w:left="284" w:hanging="284"/>
      </w:pPr>
      <w:r w:rsidRPr="00A15D53">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A15D53" w:rsidRDefault="000B5C96" w:rsidP="000B5C96">
      <w:pPr>
        <w:pStyle w:val="Footnotes"/>
        <w:numPr>
          <w:ilvl w:val="0"/>
          <w:numId w:val="7"/>
        </w:numPr>
        <w:ind w:left="284" w:hanging="284"/>
      </w:pPr>
      <w:r w:rsidRPr="00A15D53">
        <w:t>Figures may not sum to totals due to rounding.</w:t>
      </w:r>
    </w:p>
    <w:p w:rsidR="000B5C96" w:rsidRPr="001A7ACA" w:rsidRDefault="000B5C96" w:rsidP="003F606A">
      <w:pPr>
        <w:pStyle w:val="Footnotes"/>
        <w:numPr>
          <w:ilvl w:val="0"/>
          <w:numId w:val="0"/>
        </w:numPr>
        <w:ind w:left="284" w:hanging="284"/>
      </w:pPr>
      <w:r w:rsidRPr="001A7ACA">
        <w:t>..</w:t>
      </w:r>
      <w:r>
        <w:tab/>
      </w:r>
      <w:r w:rsidRPr="001A7ACA">
        <w:tab/>
        <w:t>Not zero but rounded to zero.</w:t>
      </w:r>
    </w:p>
    <w:p w:rsidR="000B5C96" w:rsidRPr="001A7ACA" w:rsidRDefault="000B5C96" w:rsidP="003F606A">
      <w:pPr>
        <w:pStyle w:val="Caption"/>
      </w:pPr>
      <w:r w:rsidRPr="001A7ACA">
        <w:t>Table A3: Component 2: Reclink National Program—Financial implications</w:t>
      </w:r>
      <w:r w:rsidRPr="001A7ACA">
        <w:rPr>
          <w:vertAlign w:val="superscript"/>
        </w:rPr>
        <w:t>(a)(b)</w:t>
      </w:r>
    </w:p>
    <w:tbl>
      <w:tblPr>
        <w:tblStyle w:val="TableGrid56"/>
        <w:tblW w:w="4993" w:type="pct"/>
        <w:tblInd w:w="0" w:type="dxa"/>
        <w:tblLook w:val="04A0" w:firstRow="1" w:lastRow="0" w:firstColumn="1" w:lastColumn="0" w:noHBand="0" w:noVBand="1"/>
      </w:tblPr>
      <w:tblGrid>
        <w:gridCol w:w="2644"/>
        <w:gridCol w:w="1133"/>
        <w:gridCol w:w="1134"/>
        <w:gridCol w:w="1134"/>
        <w:gridCol w:w="1134"/>
        <w:gridCol w:w="1132"/>
      </w:tblGrid>
      <w:tr w:rsidR="000B5C96" w:rsidRPr="00A15D53"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vAlign w:val="center"/>
            <w:hideMark/>
          </w:tcPr>
          <w:p w:rsidR="000B5C96" w:rsidRPr="00A15D53" w:rsidRDefault="000B5C96" w:rsidP="003F606A">
            <w:pPr>
              <w:keepNext/>
              <w:keepLines/>
              <w:spacing w:before="70" w:after="70" w:line="240" w:lineRule="auto"/>
              <w:rPr>
                <w:rFonts w:asciiTheme="minorHAnsi" w:eastAsia="Calibri" w:hAnsiTheme="minorHAnsi"/>
                <w:lang w:eastAsia="en-AU"/>
              </w:rPr>
            </w:pPr>
            <w:r w:rsidRPr="00A15D53">
              <w:rPr>
                <w:rFonts w:asciiTheme="minorHAnsi" w:eastAsia="Calibri" w:hAnsiTheme="minorHAnsi"/>
                <w:lang w:eastAsia="en-AU"/>
              </w:rPr>
              <w:t>($m)</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A15D53"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15D53">
              <w:rPr>
                <w:rFonts w:asciiTheme="minorHAnsi" w:eastAsia="Calibri" w:hAnsiTheme="minorHAnsi"/>
                <w:lang w:eastAsia="en-AU"/>
              </w:rPr>
              <w:t>2016–17</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A15D53"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15D53">
              <w:rPr>
                <w:rFonts w:asciiTheme="minorHAnsi" w:eastAsia="Calibri" w:hAnsiTheme="minorHAnsi"/>
                <w:lang w:eastAsia="en-AU"/>
              </w:rPr>
              <w:t>2017–18</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A15D53"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15D53">
              <w:rPr>
                <w:rFonts w:asciiTheme="minorHAnsi" w:eastAsia="Calibri" w:hAnsiTheme="minorHAnsi"/>
                <w:lang w:eastAsia="en-AU"/>
              </w:rPr>
              <w:t>2018–19</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A15D53"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A15D53">
              <w:rPr>
                <w:rFonts w:asciiTheme="minorHAnsi" w:eastAsia="Calibri" w:hAnsiTheme="minorHAnsi"/>
                <w:lang w:eastAsia="en-AU"/>
              </w:rPr>
              <w:t>2019–20</w:t>
            </w:r>
          </w:p>
        </w:tc>
        <w:tc>
          <w:tcPr>
            <w:tcW w:w="681" w:type="pct"/>
            <w:tcBorders>
              <w:top w:val="single" w:sz="4" w:space="0" w:color="808080"/>
              <w:left w:val="single" w:sz="4" w:space="0" w:color="808080"/>
              <w:bottom w:val="single" w:sz="4" w:space="0" w:color="808080"/>
              <w:right w:val="single" w:sz="4" w:space="0" w:color="808080"/>
            </w:tcBorders>
            <w:vAlign w:val="center"/>
            <w:hideMark/>
          </w:tcPr>
          <w:p w:rsidR="000B5C96" w:rsidRPr="00A15D53"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A15D53">
              <w:rPr>
                <w:rFonts w:asciiTheme="minorHAnsi" w:eastAsia="Calibri" w:hAnsiTheme="minorHAnsi"/>
                <w:b/>
                <w:lang w:eastAsia="en-AU"/>
              </w:rPr>
              <w:t>Total to 2019–20</w:t>
            </w:r>
          </w:p>
        </w:tc>
      </w:tr>
      <w:tr w:rsidR="000B5C96" w:rsidRPr="00A15D53"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808080"/>
              <w:left w:val="single" w:sz="4" w:space="0" w:color="808080"/>
              <w:bottom w:val="single" w:sz="4" w:space="0" w:color="808080"/>
              <w:right w:val="single" w:sz="4" w:space="0" w:color="808080"/>
            </w:tcBorders>
            <w:shd w:val="clear" w:color="auto" w:fill="D7DDE9"/>
            <w:hideMark/>
          </w:tcPr>
          <w:p w:rsidR="000B5C96" w:rsidRPr="00A15D53" w:rsidRDefault="000B5C96" w:rsidP="003F606A">
            <w:pPr>
              <w:keepNext/>
              <w:keepLines/>
              <w:rPr>
                <w:rFonts w:asciiTheme="minorHAnsi" w:hAnsiTheme="minorHAnsi"/>
                <w:b/>
                <w:lang w:eastAsia="en-AU"/>
              </w:rPr>
            </w:pPr>
            <w:r w:rsidRPr="00A15D53">
              <w:rPr>
                <w:rFonts w:asciiTheme="minorHAnsi" w:hAnsiTheme="minorHAnsi"/>
                <w:b/>
                <w:lang w:eastAsia="en-AU"/>
              </w:rPr>
              <w:t>Impact on fiscal and underlying cash balances</w:t>
            </w:r>
          </w:p>
        </w:tc>
      </w:tr>
      <w:tr w:rsidR="000B5C96" w:rsidRPr="00A15D53" w:rsidTr="003F606A">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808080"/>
              <w:left w:val="single" w:sz="4" w:space="0" w:color="808080"/>
              <w:bottom w:val="single" w:sz="4" w:space="0" w:color="808080"/>
              <w:right w:val="single" w:sz="4" w:space="0" w:color="808080"/>
            </w:tcBorders>
            <w:shd w:val="clear" w:color="auto" w:fill="E9ECF3"/>
            <w:hideMark/>
          </w:tcPr>
          <w:p w:rsidR="000B5C96" w:rsidRPr="00A15D53" w:rsidRDefault="000B5C96" w:rsidP="003F606A">
            <w:pPr>
              <w:keepNext/>
              <w:keepLines/>
              <w:rPr>
                <w:rFonts w:asciiTheme="minorHAnsi" w:hAnsiTheme="minorHAnsi"/>
                <w:b/>
                <w:lang w:eastAsia="en-AU"/>
              </w:rPr>
            </w:pPr>
            <w:r w:rsidRPr="00A15D53">
              <w:rPr>
                <w:rFonts w:asciiTheme="minorHAnsi" w:hAnsiTheme="minorHAnsi"/>
                <w:b/>
                <w:lang w:eastAsia="en-AU"/>
              </w:rPr>
              <w:t>Administered</w:t>
            </w:r>
          </w:p>
        </w:tc>
      </w:tr>
      <w:tr w:rsidR="000B5C96" w:rsidRPr="00A15D53"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A15D53" w:rsidRDefault="000B5C96" w:rsidP="003F606A">
            <w:pPr>
              <w:keepNext/>
              <w:keepLines/>
              <w:rPr>
                <w:rFonts w:asciiTheme="minorHAnsi" w:eastAsia="Calibri" w:hAnsiTheme="minorHAnsi"/>
                <w:lang w:eastAsia="en-AU"/>
              </w:rPr>
            </w:pPr>
            <w:r w:rsidRPr="00A15D53">
              <w:rPr>
                <w:rFonts w:asciiTheme="minorHAnsi" w:eastAsia="Calibri" w:hAnsiTheme="minorHAnsi"/>
                <w:lang w:eastAsia="en-AU"/>
              </w:rPr>
              <w:t>Reclink National Program</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15D53"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A15D53">
              <w:rPr>
                <w:rFonts w:asciiTheme="minorHAnsi" w:hAnsiTheme="minorHAnsi"/>
                <w:szCs w:val="20"/>
                <w:lang w:eastAsia="en-AU"/>
              </w:rPr>
              <w:t>-1.0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15D53"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A15D53">
              <w:rPr>
                <w:rFonts w:asciiTheme="minorHAnsi" w:hAnsiTheme="minorHAnsi"/>
                <w:szCs w:val="20"/>
                <w:lang w:eastAsia="en-AU"/>
              </w:rPr>
              <w:t>-1.0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15D53"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A15D53">
              <w:rPr>
                <w:rFonts w:asciiTheme="minorHAnsi" w:hAnsiTheme="minorHAnsi"/>
                <w:szCs w:val="20"/>
                <w:lang w:eastAsia="en-AU"/>
              </w:rPr>
              <w:t>-1.0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A15D53"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A15D53">
              <w:rPr>
                <w:rFonts w:asciiTheme="minorHAnsi" w:hAnsiTheme="minorHAnsi"/>
                <w:szCs w:val="20"/>
                <w:lang w:eastAsia="en-AU"/>
              </w:rPr>
              <w:t>-1.0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A15D53"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Cs w:val="20"/>
                <w:lang w:eastAsia="en-AU"/>
              </w:rPr>
            </w:pPr>
            <w:r w:rsidRPr="00A15D53">
              <w:rPr>
                <w:rFonts w:asciiTheme="minorHAnsi" w:hAnsiTheme="minorHAnsi"/>
                <w:b/>
                <w:szCs w:val="20"/>
                <w:lang w:eastAsia="en-AU"/>
              </w:rPr>
              <w:t>-4.0</w:t>
            </w:r>
          </w:p>
        </w:tc>
      </w:tr>
      <w:tr w:rsidR="000B5C96" w:rsidRPr="00A15D53"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A15D53" w:rsidRDefault="000B5C96" w:rsidP="003F606A">
            <w:pPr>
              <w:keepNext/>
              <w:keepLines/>
              <w:rPr>
                <w:rFonts w:asciiTheme="minorHAnsi" w:eastAsia="Calibri" w:hAnsiTheme="minorHAnsi"/>
                <w:b/>
                <w:lang w:eastAsia="en-AU"/>
              </w:rPr>
            </w:pPr>
            <w:r w:rsidRPr="00A15D53">
              <w:rPr>
                <w:rFonts w:asciiTheme="minorHAnsi" w:eastAsia="Calibri" w:hAnsiTheme="minorHAnsi"/>
                <w:b/>
                <w:lang w:eastAsia="en-AU"/>
              </w:rPr>
              <w:t>Total</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A15D53"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eastAsia="en-AU"/>
              </w:rPr>
            </w:pPr>
            <w:r w:rsidRPr="00A15D53">
              <w:rPr>
                <w:rFonts w:asciiTheme="minorHAnsi" w:hAnsiTheme="minorHAnsi"/>
                <w:b/>
                <w:szCs w:val="20"/>
                <w:lang w:eastAsia="en-AU"/>
              </w:rPr>
              <w:t>-1.0</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A15D53"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eastAsia="en-AU"/>
              </w:rPr>
            </w:pPr>
            <w:r w:rsidRPr="00A15D53">
              <w:rPr>
                <w:rFonts w:asciiTheme="minorHAnsi" w:hAnsiTheme="minorHAnsi"/>
                <w:b/>
                <w:szCs w:val="20"/>
                <w:lang w:eastAsia="en-AU"/>
              </w:rPr>
              <w:t>-1.0</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A15D53"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eastAsia="en-AU"/>
              </w:rPr>
            </w:pPr>
            <w:r w:rsidRPr="00A15D53">
              <w:rPr>
                <w:rFonts w:asciiTheme="minorHAnsi" w:hAnsiTheme="minorHAnsi"/>
                <w:b/>
                <w:szCs w:val="20"/>
                <w:lang w:eastAsia="en-AU"/>
              </w:rPr>
              <w:t>-1.0</w:t>
            </w:r>
          </w:p>
        </w:tc>
        <w:tc>
          <w:tcPr>
            <w:tcW w:w="682"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A15D53"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eastAsia="en-AU"/>
              </w:rPr>
            </w:pPr>
            <w:r w:rsidRPr="00A15D53">
              <w:rPr>
                <w:rFonts w:asciiTheme="minorHAnsi" w:hAnsiTheme="minorHAnsi"/>
                <w:b/>
                <w:szCs w:val="20"/>
                <w:lang w:eastAsia="en-AU"/>
              </w:rPr>
              <w:t>-1.0</w:t>
            </w:r>
          </w:p>
        </w:tc>
        <w:tc>
          <w:tcPr>
            <w:tcW w:w="681" w:type="pct"/>
            <w:tcBorders>
              <w:top w:val="single" w:sz="4" w:space="0" w:color="808080"/>
              <w:left w:val="single" w:sz="4" w:space="0" w:color="808080"/>
              <w:bottom w:val="single" w:sz="4" w:space="0" w:color="808080"/>
              <w:right w:val="single" w:sz="4" w:space="0" w:color="808080"/>
            </w:tcBorders>
            <w:shd w:val="clear" w:color="auto" w:fill="D7DDE9"/>
            <w:hideMark/>
          </w:tcPr>
          <w:p w:rsidR="000B5C96" w:rsidRPr="00A15D53"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eastAsia="en-AU"/>
              </w:rPr>
            </w:pPr>
            <w:r w:rsidRPr="00A15D53">
              <w:rPr>
                <w:rFonts w:asciiTheme="minorHAnsi" w:hAnsiTheme="minorHAnsi"/>
                <w:b/>
                <w:szCs w:val="20"/>
                <w:lang w:eastAsia="en-AU"/>
              </w:rPr>
              <w:t>-4.0</w:t>
            </w:r>
          </w:p>
        </w:tc>
      </w:tr>
    </w:tbl>
    <w:p w:rsidR="000B5C96" w:rsidRDefault="000B5C96" w:rsidP="00E54AEC">
      <w:pPr>
        <w:pStyle w:val="Footnotes"/>
        <w:numPr>
          <w:ilvl w:val="0"/>
          <w:numId w:val="300"/>
        </w:numPr>
        <w:ind w:left="284" w:hanging="284"/>
      </w:pPr>
      <w:r w:rsidRPr="00A15D53">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A15D53" w:rsidRDefault="000B5C96" w:rsidP="000B5C96">
      <w:pPr>
        <w:pStyle w:val="Footnotes"/>
        <w:numPr>
          <w:ilvl w:val="0"/>
          <w:numId w:val="7"/>
        </w:numPr>
        <w:ind w:left="284" w:hanging="284"/>
      </w:pPr>
      <w:r w:rsidRPr="00A15D53">
        <w:t>Figures may not sum to totals due to rounding.</w:t>
      </w:r>
    </w:p>
    <w:p w:rsidR="000B5C96" w:rsidRPr="001A7ACA" w:rsidRDefault="000B5C96" w:rsidP="000B5C96">
      <w:pPr>
        <w:pStyle w:val="Footnotes"/>
        <w:numPr>
          <w:ilvl w:val="0"/>
          <w:numId w:val="7"/>
        </w:numPr>
        <w:ind w:left="284" w:hanging="284"/>
        <w:sectPr w:rsidR="000B5C96" w:rsidRPr="001A7ACA"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01" w:name="_Toc458001980"/>
      <w:bookmarkStart w:id="202" w:name="_Toc458069465"/>
      <w:r>
        <w:t>GRN074: Migrant Communities Employment Fund</w:t>
      </w:r>
      <w:bookmarkEnd w:id="201"/>
      <w:bookmarkEnd w:id="202"/>
    </w:p>
    <w:p w:rsidR="000B5C96" w:rsidRPr="008A0AE1" w:rsidRDefault="000B5C96" w:rsidP="003F606A">
      <w:pPr>
        <w:pStyle w:val="BodyText"/>
      </w:pPr>
      <w:r>
        <w:rPr>
          <w:noProof/>
          <w:lang w:eastAsia="en-AU"/>
        </w:rPr>
        <w:drawing>
          <wp:inline distT="0" distB="0" distL="0" distR="0" wp14:anchorId="4116C2B6" wp14:editId="21388DF8">
            <wp:extent cx="2696845" cy="572135"/>
            <wp:effectExtent l="0" t="0" r="8255" b="0"/>
            <wp:docPr id="484" name="Picture 48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E20A0E" w:rsidRDefault="000B5C96" w:rsidP="000B5C96">
      <w:pPr>
        <w:pStyle w:val="Heading6"/>
        <w:numPr>
          <w:ilvl w:val="0"/>
          <w:numId w:val="5"/>
        </w:numPr>
        <w:tabs>
          <w:tab w:val="right" w:pos="1418"/>
          <w:tab w:val="right" w:pos="1701"/>
          <w:tab w:val="right" w:pos="1985"/>
        </w:tabs>
      </w:pPr>
      <w:r w:rsidRPr="00E20A0E">
        <w:t>Policy costing—during the caretaker period for the 2016 general election</w:t>
      </w:r>
    </w:p>
    <w:tbl>
      <w:tblPr>
        <w:tblStyle w:val="TableGrid57"/>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EA7F7A" w:rsidRDefault="000B5C96" w:rsidP="003F606A">
            <w:pPr>
              <w:pStyle w:val="PullOutBoxHeading"/>
              <w:rPr>
                <w:b/>
              </w:rPr>
            </w:pPr>
            <w:r w:rsidRPr="00EA7F7A">
              <w:rPr>
                <w:b/>
              </w:rPr>
              <w:t>Name of proposal:</w:t>
            </w:r>
          </w:p>
        </w:tc>
        <w:tc>
          <w:tcPr>
            <w:tcW w:w="5335" w:type="dxa"/>
          </w:tcPr>
          <w:p w:rsidR="000B5C96" w:rsidRPr="00EA7F7A" w:rsidRDefault="000B5C96" w:rsidP="003F606A">
            <w:pPr>
              <w:pStyle w:val="PullOutBoxHeading"/>
              <w:cnfStyle w:val="100000000000" w:firstRow="1" w:lastRow="0" w:firstColumn="0" w:lastColumn="0" w:oddVBand="0" w:evenVBand="0" w:oddHBand="0" w:evenHBand="0" w:firstRowFirstColumn="0" w:firstRowLastColumn="0" w:lastRowFirstColumn="0" w:lastRowLastColumn="0"/>
              <w:rPr>
                <w:b/>
              </w:rPr>
            </w:pPr>
            <w:r w:rsidRPr="00EA7F7A">
              <w:rPr>
                <w:b/>
              </w:rPr>
              <w:t>Migrant Communities Employment Fund</w:t>
            </w:r>
          </w:p>
        </w:tc>
      </w:tr>
      <w:tr w:rsidR="000B5C96" w:rsidRPr="00E20A0E"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E20A0E" w:rsidRDefault="000B5C96" w:rsidP="003F606A">
            <w:pPr>
              <w:pStyle w:val="PullOutBoxBodyText"/>
            </w:pPr>
            <w:r w:rsidRPr="00E20A0E">
              <w:t>Summary of proposal:</w:t>
            </w:r>
          </w:p>
        </w:tc>
        <w:tc>
          <w:tcPr>
            <w:tcW w:w="5335" w:type="dxa"/>
          </w:tcPr>
          <w:p w:rsidR="000B5C96" w:rsidRPr="00E20A0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E20A0E">
              <w:t>The proposal would re-establish the Migrant Communities Employment Fund with $22 million in funding over the Budget 2016</w:t>
            </w:r>
            <w:r w:rsidRPr="00E20A0E">
              <w:noBreakHyphen/>
              <w:t>17 forward estimates.</w:t>
            </w:r>
          </w:p>
          <w:p w:rsidR="000B5C96" w:rsidRPr="00E20A0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E20A0E">
              <w:t>Funding would be evenly distributed across each of the 2016</w:t>
            </w:r>
            <w:r w:rsidRPr="00E20A0E">
              <w:noBreakHyphen/>
              <w:t>17 Budget forward estimate years.  Administration costs would be in addition to the capped funding amount specified above.</w:t>
            </w:r>
          </w:p>
          <w:p w:rsidR="000B5C96" w:rsidRPr="00E20A0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E20A0E">
              <w:t>This proposal would commence on 1 September 2016.</w:t>
            </w:r>
          </w:p>
        </w:tc>
      </w:tr>
      <w:tr w:rsidR="000B5C96" w:rsidRPr="00E20A0E"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E20A0E" w:rsidRDefault="000B5C96" w:rsidP="003F606A">
            <w:pPr>
              <w:pStyle w:val="PullOutBoxBodyText"/>
            </w:pPr>
            <w:r w:rsidRPr="00E20A0E">
              <w:t>Person/party requesting costing:</w:t>
            </w:r>
          </w:p>
        </w:tc>
        <w:tc>
          <w:tcPr>
            <w:tcW w:w="5335" w:type="dxa"/>
          </w:tcPr>
          <w:p w:rsidR="000B5C96" w:rsidRPr="00E20A0E"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E20A0E">
              <w:t>Senator Richard Di Natale, Australian Greens</w:t>
            </w:r>
          </w:p>
        </w:tc>
      </w:tr>
      <w:tr w:rsidR="000B5C96" w:rsidRPr="00E20A0E"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E20A0E" w:rsidRDefault="000B5C96" w:rsidP="003F606A">
            <w:pPr>
              <w:pStyle w:val="PullOutBoxBodyText"/>
            </w:pPr>
            <w:r w:rsidRPr="00E20A0E">
              <w:t>Date of public release of policy:</w:t>
            </w:r>
          </w:p>
        </w:tc>
        <w:tc>
          <w:tcPr>
            <w:tcW w:w="5335" w:type="dxa"/>
          </w:tcPr>
          <w:p w:rsidR="000B5C96" w:rsidRPr="00E20A0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E20A0E">
              <w:t xml:space="preserve">29 June 2016  </w:t>
            </w:r>
          </w:p>
          <w:p w:rsidR="000B5C96" w:rsidRPr="00E20A0E" w:rsidRDefault="00E46526" w:rsidP="003F606A">
            <w:pPr>
              <w:pStyle w:val="PullOutBoxBodyText"/>
              <w:cnfStyle w:val="000000100000" w:firstRow="0" w:lastRow="0" w:firstColumn="0" w:lastColumn="0" w:oddVBand="0" w:evenVBand="0" w:oddHBand="1" w:evenHBand="0" w:firstRowFirstColumn="0" w:firstRowLastColumn="0" w:lastRowFirstColumn="0" w:lastRowLastColumn="0"/>
            </w:pPr>
            <w:hyperlink r:id="rId573" w:history="1">
              <w:r w:rsidR="000B5C96" w:rsidRPr="00E20A0E">
                <w:rPr>
                  <w:color w:val="2398C9"/>
                  <w:u w:val="single"/>
                  <w:bdr w:val="none" w:sz="0" w:space="0" w:color="auto" w:frame="1"/>
                  <w:shd w:val="clear" w:color="auto" w:fill="FFFFFF"/>
                </w:rPr>
                <w:t>http://www.adambandt.com/160629</w:t>
              </w:r>
            </w:hyperlink>
          </w:p>
        </w:tc>
      </w:tr>
      <w:tr w:rsidR="000B5C96" w:rsidRPr="00E20A0E"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E20A0E" w:rsidRDefault="000B5C96" w:rsidP="003F606A">
            <w:pPr>
              <w:pStyle w:val="PullOutBoxBodyText"/>
            </w:pPr>
            <w:r w:rsidRPr="00E20A0E">
              <w:t>Date costing request received:</w:t>
            </w:r>
          </w:p>
        </w:tc>
        <w:tc>
          <w:tcPr>
            <w:tcW w:w="5335" w:type="dxa"/>
          </w:tcPr>
          <w:p w:rsidR="000B5C96" w:rsidRPr="00E20A0E"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E20A0E">
              <w:t>30 June 2016</w:t>
            </w:r>
          </w:p>
        </w:tc>
      </w:tr>
      <w:tr w:rsidR="000B5C96" w:rsidRPr="00E20A0E"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E20A0E" w:rsidRDefault="000B5C96" w:rsidP="003F606A">
            <w:pPr>
              <w:pStyle w:val="PullOutBoxBodyText"/>
            </w:pPr>
            <w:r w:rsidRPr="00E20A0E">
              <w:t>Date costing completed:</w:t>
            </w:r>
          </w:p>
        </w:tc>
        <w:tc>
          <w:tcPr>
            <w:tcW w:w="5335" w:type="dxa"/>
          </w:tcPr>
          <w:p w:rsidR="000B5C96" w:rsidRPr="00E20A0E"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E20A0E">
              <w:t>30 June 2016</w:t>
            </w:r>
          </w:p>
        </w:tc>
      </w:tr>
      <w:tr w:rsidR="000B5C96" w:rsidRPr="00E20A0E"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E20A0E" w:rsidRDefault="000B5C96" w:rsidP="003F606A">
            <w:pPr>
              <w:pStyle w:val="PullOutBoxBodyText"/>
            </w:pPr>
            <w:r w:rsidRPr="00E20A0E">
              <w:t>Expiry date for the costing:</w:t>
            </w:r>
          </w:p>
        </w:tc>
        <w:tc>
          <w:tcPr>
            <w:tcW w:w="5335" w:type="dxa"/>
          </w:tcPr>
          <w:p w:rsidR="000B5C96" w:rsidRPr="00E20A0E"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E20A0E">
              <w:t>Release of the next economic and fiscal outlook report</w:t>
            </w:r>
          </w:p>
        </w:tc>
      </w:tr>
    </w:tbl>
    <w:p w:rsidR="000B5C96" w:rsidRPr="00146561" w:rsidRDefault="000B5C96" w:rsidP="003F606A">
      <w:pPr>
        <w:pStyle w:val="CostingsH7"/>
      </w:pPr>
      <w:r w:rsidRPr="00146561">
        <w:t>Costing overview</w:t>
      </w:r>
    </w:p>
    <w:p w:rsidR="000B5C96" w:rsidRPr="00E20A0E" w:rsidRDefault="000B5C96" w:rsidP="003F606A">
      <w:pPr>
        <w:pStyle w:val="BodyText"/>
      </w:pPr>
      <w:r w:rsidRPr="00E20A0E">
        <w:t xml:space="preserve">This proposal would be expected to decrease both the fiscal and underlying cash balances by $22.7 million over the 2016-17 Budget forward estimates period.  This reflects an increase in administered expenses of $22.0 million and an increase in departmental expenses of $0.7 million.  A breakdown of the financial implications is provided at </w:t>
      </w:r>
      <w:r w:rsidRPr="00E20A0E">
        <w:rPr>
          <w:u w:val="single"/>
        </w:rPr>
        <w:t>Attachment A</w:t>
      </w:r>
      <w:r w:rsidRPr="00E20A0E">
        <w:t>.</w:t>
      </w:r>
    </w:p>
    <w:p w:rsidR="000B5C96" w:rsidRPr="00E20A0E" w:rsidRDefault="000B5C96" w:rsidP="003F606A">
      <w:pPr>
        <w:pStyle w:val="BodyText"/>
      </w:pPr>
      <w:r w:rsidRPr="00E20A0E">
        <w:t>The proposal would not be expected to have an impact beyond the 2016</w:t>
      </w:r>
      <w:r w:rsidRPr="00E20A0E">
        <w:noBreakHyphen/>
        <w:t>17 Budget forward estimates as funding for the proposal would terminate on 30 June 2020.</w:t>
      </w:r>
    </w:p>
    <w:p w:rsidR="000B5C96" w:rsidRPr="00E20A0E" w:rsidRDefault="000B5C96" w:rsidP="003F606A">
      <w:pPr>
        <w:pStyle w:val="BodyText"/>
      </w:pPr>
      <w:r w:rsidRPr="00E20A0E">
        <w:t>The costing is considered to be of high reliability as it is based on specified capped amounts and the application of administrative costs based on similar programs.</w:t>
      </w:r>
    </w:p>
    <w:p w:rsidR="000B5C96" w:rsidRPr="00E20A0E" w:rsidRDefault="000B5C96" w:rsidP="003F606A">
      <w:pPr>
        <w:pStyle w:val="Caption"/>
      </w:pPr>
      <w:r w:rsidRPr="00E20A0E">
        <w:t>Table 1: Financial implications (outturn prices)</w:t>
      </w:r>
      <w:r w:rsidRPr="00E20A0E">
        <w:rPr>
          <w:vertAlign w:val="superscript"/>
        </w:rPr>
        <w:t>(a)(b)</w:t>
      </w:r>
    </w:p>
    <w:tbl>
      <w:tblPr>
        <w:tblStyle w:val="TableGrid58"/>
        <w:tblW w:w="4993" w:type="pct"/>
        <w:tblLook w:val="04A0" w:firstRow="1" w:lastRow="0" w:firstColumn="1" w:lastColumn="0" w:noHBand="0" w:noVBand="1"/>
      </w:tblPr>
      <w:tblGrid>
        <w:gridCol w:w="2644"/>
        <w:gridCol w:w="1133"/>
        <w:gridCol w:w="1134"/>
        <w:gridCol w:w="1134"/>
        <w:gridCol w:w="1134"/>
        <w:gridCol w:w="1132"/>
      </w:tblGrid>
      <w:tr w:rsidR="000B5C96" w:rsidRPr="00E20A0E"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E20A0E" w:rsidRDefault="000B5C96" w:rsidP="003F606A">
            <w:pPr>
              <w:keepNext/>
              <w:keepLines/>
              <w:spacing w:line="240" w:lineRule="auto"/>
              <w:ind w:left="57" w:right="57"/>
              <w:rPr>
                <w:sz w:val="20"/>
                <w:szCs w:val="20"/>
              </w:rPr>
            </w:pPr>
            <w:r w:rsidRPr="00E20A0E">
              <w:rPr>
                <w:sz w:val="20"/>
                <w:szCs w:val="20"/>
              </w:rPr>
              <w:t>Impact on ($m)</w:t>
            </w:r>
          </w:p>
        </w:tc>
        <w:tc>
          <w:tcPr>
            <w:tcW w:w="682" w:type="pct"/>
          </w:tcPr>
          <w:p w:rsidR="000B5C96" w:rsidRPr="00E20A0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20A0E">
              <w:rPr>
                <w:sz w:val="20"/>
                <w:szCs w:val="20"/>
              </w:rPr>
              <w:t>2016–17</w:t>
            </w:r>
          </w:p>
        </w:tc>
        <w:tc>
          <w:tcPr>
            <w:tcW w:w="682" w:type="pct"/>
          </w:tcPr>
          <w:p w:rsidR="000B5C96" w:rsidRPr="00E20A0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20A0E">
              <w:rPr>
                <w:sz w:val="20"/>
                <w:szCs w:val="20"/>
              </w:rPr>
              <w:t>2017–18</w:t>
            </w:r>
          </w:p>
        </w:tc>
        <w:tc>
          <w:tcPr>
            <w:tcW w:w="682" w:type="pct"/>
          </w:tcPr>
          <w:p w:rsidR="000B5C96" w:rsidRPr="00E20A0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20A0E">
              <w:rPr>
                <w:sz w:val="20"/>
                <w:szCs w:val="20"/>
              </w:rPr>
              <w:t>2018–19</w:t>
            </w:r>
          </w:p>
        </w:tc>
        <w:tc>
          <w:tcPr>
            <w:tcW w:w="682" w:type="pct"/>
          </w:tcPr>
          <w:p w:rsidR="000B5C96" w:rsidRPr="00E20A0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20A0E">
              <w:rPr>
                <w:sz w:val="20"/>
                <w:szCs w:val="20"/>
              </w:rPr>
              <w:t>2019–20</w:t>
            </w:r>
          </w:p>
        </w:tc>
        <w:tc>
          <w:tcPr>
            <w:tcW w:w="681" w:type="pct"/>
          </w:tcPr>
          <w:p w:rsidR="000B5C96" w:rsidRPr="00E20A0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20A0E">
              <w:rPr>
                <w:sz w:val="20"/>
                <w:szCs w:val="20"/>
              </w:rPr>
              <w:t>Total</w:t>
            </w:r>
          </w:p>
        </w:tc>
      </w:tr>
      <w:tr w:rsidR="000B5C96" w:rsidRPr="00E20A0E"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E20A0E" w:rsidRDefault="000B5C96" w:rsidP="003F606A">
            <w:pPr>
              <w:keepNext/>
              <w:keepLines/>
              <w:spacing w:line="240" w:lineRule="auto"/>
              <w:ind w:left="57" w:right="57"/>
              <w:rPr>
                <w:rFonts w:ascii="Calibri" w:hAnsi="Calibri"/>
                <w:sz w:val="20"/>
                <w:szCs w:val="20"/>
              </w:rPr>
            </w:pPr>
            <w:r w:rsidRPr="00E20A0E">
              <w:rPr>
                <w:rFonts w:ascii="Calibri" w:hAnsi="Calibri"/>
                <w:sz w:val="20"/>
                <w:szCs w:val="20"/>
              </w:rPr>
              <w:t>Fiscal balance</w:t>
            </w:r>
          </w:p>
        </w:tc>
        <w:tc>
          <w:tcPr>
            <w:tcW w:w="682" w:type="pct"/>
          </w:tcPr>
          <w:p w:rsidR="000B5C96" w:rsidRPr="00E20A0E"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20A0E">
              <w:rPr>
                <w:rFonts w:ascii="Calibri" w:hAnsi="Calibri"/>
                <w:sz w:val="20"/>
                <w:szCs w:val="20"/>
              </w:rPr>
              <w:t>-5.7</w:t>
            </w:r>
          </w:p>
        </w:tc>
        <w:tc>
          <w:tcPr>
            <w:tcW w:w="682" w:type="pct"/>
          </w:tcPr>
          <w:p w:rsidR="000B5C96" w:rsidRPr="00E20A0E"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20A0E">
              <w:rPr>
                <w:rFonts w:ascii="Calibri" w:hAnsi="Calibri"/>
                <w:sz w:val="20"/>
                <w:szCs w:val="20"/>
              </w:rPr>
              <w:t>-5.7</w:t>
            </w:r>
          </w:p>
        </w:tc>
        <w:tc>
          <w:tcPr>
            <w:tcW w:w="682" w:type="pct"/>
          </w:tcPr>
          <w:p w:rsidR="000B5C96" w:rsidRPr="00E20A0E"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20A0E">
              <w:rPr>
                <w:rFonts w:ascii="Calibri" w:hAnsi="Calibri"/>
                <w:sz w:val="20"/>
                <w:szCs w:val="20"/>
              </w:rPr>
              <w:t>-5.7</w:t>
            </w:r>
          </w:p>
        </w:tc>
        <w:tc>
          <w:tcPr>
            <w:tcW w:w="682" w:type="pct"/>
          </w:tcPr>
          <w:p w:rsidR="000B5C96" w:rsidRPr="00E20A0E"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20A0E">
              <w:rPr>
                <w:rFonts w:ascii="Calibri" w:hAnsi="Calibri"/>
                <w:sz w:val="20"/>
                <w:szCs w:val="20"/>
              </w:rPr>
              <w:t>-5.7</w:t>
            </w:r>
          </w:p>
        </w:tc>
        <w:tc>
          <w:tcPr>
            <w:tcW w:w="681" w:type="pct"/>
          </w:tcPr>
          <w:p w:rsidR="000B5C96" w:rsidRPr="00E20A0E"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E20A0E">
              <w:rPr>
                <w:rFonts w:ascii="Calibri" w:hAnsi="Calibri"/>
                <w:b/>
                <w:sz w:val="20"/>
                <w:szCs w:val="20"/>
              </w:rPr>
              <w:t>-22.7</w:t>
            </w:r>
          </w:p>
        </w:tc>
      </w:tr>
      <w:tr w:rsidR="000B5C96" w:rsidRPr="00E20A0E"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E20A0E" w:rsidRDefault="000B5C96" w:rsidP="003F606A">
            <w:pPr>
              <w:keepNext/>
              <w:keepLines/>
              <w:spacing w:line="240" w:lineRule="auto"/>
              <w:ind w:left="57" w:right="57"/>
              <w:rPr>
                <w:rFonts w:ascii="Calibri" w:hAnsi="Calibri"/>
                <w:sz w:val="20"/>
                <w:szCs w:val="20"/>
              </w:rPr>
            </w:pPr>
            <w:r w:rsidRPr="00E20A0E">
              <w:rPr>
                <w:rFonts w:ascii="Calibri" w:hAnsi="Calibri"/>
                <w:sz w:val="20"/>
                <w:szCs w:val="20"/>
              </w:rPr>
              <w:t>Underlying cash balance</w:t>
            </w:r>
          </w:p>
        </w:tc>
        <w:tc>
          <w:tcPr>
            <w:tcW w:w="682" w:type="pct"/>
          </w:tcPr>
          <w:p w:rsidR="000B5C96" w:rsidRPr="00E20A0E"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20A0E">
              <w:rPr>
                <w:rFonts w:ascii="Calibri" w:hAnsi="Calibri"/>
                <w:sz w:val="20"/>
                <w:szCs w:val="20"/>
              </w:rPr>
              <w:t>-5.7</w:t>
            </w:r>
          </w:p>
        </w:tc>
        <w:tc>
          <w:tcPr>
            <w:tcW w:w="682" w:type="pct"/>
          </w:tcPr>
          <w:p w:rsidR="000B5C96" w:rsidRPr="00E20A0E"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20A0E">
              <w:rPr>
                <w:rFonts w:ascii="Calibri" w:hAnsi="Calibri"/>
                <w:sz w:val="20"/>
                <w:szCs w:val="20"/>
              </w:rPr>
              <w:t>-5.7</w:t>
            </w:r>
          </w:p>
        </w:tc>
        <w:tc>
          <w:tcPr>
            <w:tcW w:w="682" w:type="pct"/>
          </w:tcPr>
          <w:p w:rsidR="000B5C96" w:rsidRPr="00E20A0E"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20A0E">
              <w:rPr>
                <w:rFonts w:ascii="Calibri" w:hAnsi="Calibri"/>
                <w:sz w:val="20"/>
                <w:szCs w:val="20"/>
              </w:rPr>
              <w:t>-5.7</w:t>
            </w:r>
          </w:p>
        </w:tc>
        <w:tc>
          <w:tcPr>
            <w:tcW w:w="682" w:type="pct"/>
          </w:tcPr>
          <w:p w:rsidR="000B5C96" w:rsidRPr="00E20A0E"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20A0E">
              <w:rPr>
                <w:rFonts w:ascii="Calibri" w:hAnsi="Calibri"/>
                <w:sz w:val="20"/>
                <w:szCs w:val="20"/>
              </w:rPr>
              <w:t>-5.7</w:t>
            </w:r>
          </w:p>
        </w:tc>
        <w:tc>
          <w:tcPr>
            <w:tcW w:w="681" w:type="pct"/>
          </w:tcPr>
          <w:p w:rsidR="000B5C96" w:rsidRPr="00E20A0E"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20A0E">
              <w:rPr>
                <w:rFonts w:ascii="Calibri" w:hAnsi="Calibri"/>
                <w:b/>
                <w:sz w:val="20"/>
                <w:szCs w:val="20"/>
              </w:rPr>
              <w:t>-22.7</w:t>
            </w:r>
          </w:p>
        </w:tc>
      </w:tr>
    </w:tbl>
    <w:p w:rsidR="000B5C96" w:rsidRDefault="000B5C96" w:rsidP="00E54AEC">
      <w:pPr>
        <w:pStyle w:val="Footnotes"/>
        <w:numPr>
          <w:ilvl w:val="0"/>
          <w:numId w:val="301"/>
        </w:numPr>
        <w:ind w:left="284" w:hanging="284"/>
      </w:pPr>
      <w:r w:rsidRPr="00E20A0E">
        <w:t>A positive number indicates an increase in the relevant budget balance, a negative number a decrease.</w:t>
      </w:r>
    </w:p>
    <w:p w:rsidR="000B5C96" w:rsidRPr="00E20A0E" w:rsidRDefault="000B5C96" w:rsidP="000B5C96">
      <w:pPr>
        <w:pStyle w:val="Footnotes"/>
        <w:numPr>
          <w:ilvl w:val="0"/>
          <w:numId w:val="7"/>
        </w:numPr>
        <w:ind w:left="284" w:hanging="284"/>
      </w:pPr>
      <w:r>
        <w:t>Figures may not sum to totals due to rounding.</w:t>
      </w:r>
    </w:p>
    <w:p w:rsidR="000B5C96" w:rsidRPr="00E20A0E" w:rsidRDefault="000B5C96" w:rsidP="003F606A">
      <w:pPr>
        <w:pStyle w:val="CostingsH7"/>
      </w:pPr>
      <w:r w:rsidRPr="00E20A0E">
        <w:t>Key assumptions</w:t>
      </w:r>
    </w:p>
    <w:p w:rsidR="000B5C96" w:rsidRPr="00E20A0E" w:rsidRDefault="000B5C96" w:rsidP="003F606A">
      <w:pPr>
        <w:pStyle w:val="BodyText"/>
      </w:pPr>
      <w:r w:rsidRPr="00E20A0E">
        <w:t>It has been assumed that a full year of funding would be provided in 2016-17.</w:t>
      </w:r>
    </w:p>
    <w:p w:rsidR="000B5C96" w:rsidRPr="00E20A0E" w:rsidRDefault="000B5C96" w:rsidP="003F606A">
      <w:pPr>
        <w:pStyle w:val="CostingsH7"/>
      </w:pPr>
      <w:r w:rsidRPr="00E20A0E">
        <w:t>Methodology</w:t>
      </w:r>
    </w:p>
    <w:p w:rsidR="000B5C96" w:rsidRPr="00E20A0E" w:rsidRDefault="000B5C96" w:rsidP="003F606A">
      <w:pPr>
        <w:pStyle w:val="BodyText"/>
      </w:pPr>
      <w:r w:rsidRPr="00E20A0E">
        <w:t>Administered expense estimates are as specified in the request.  The departmental expense estimates are in addition to capped amounts, as specified, and are based on other like initiatives and estimates account for the net effect of indexation parameters and the efficiency dividend, in accordance with the Department of Finance’s costing practices.</w:t>
      </w:r>
    </w:p>
    <w:p w:rsidR="000B5C96" w:rsidRPr="00E20A0E" w:rsidRDefault="000B5C96" w:rsidP="003F606A">
      <w:pPr>
        <w:pStyle w:val="CostingsH7"/>
      </w:pPr>
      <w:r w:rsidRPr="00E20A0E">
        <w:t>Data sources</w:t>
      </w:r>
    </w:p>
    <w:p w:rsidR="000B5C96" w:rsidRPr="00E20A0E" w:rsidRDefault="000B5C96" w:rsidP="003F606A">
      <w:pPr>
        <w:pStyle w:val="BodyText"/>
      </w:pPr>
      <w:r w:rsidRPr="00E20A0E">
        <w:t>Department of Finance provided indexation and efficiency dividend parameters.</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Pr="00E20A0E" w:rsidRDefault="000B5C96" w:rsidP="000B5C96">
      <w:pPr>
        <w:pStyle w:val="Heading6"/>
        <w:numPr>
          <w:ilvl w:val="0"/>
          <w:numId w:val="5"/>
        </w:numPr>
        <w:tabs>
          <w:tab w:val="right" w:pos="1418"/>
          <w:tab w:val="right" w:pos="1701"/>
          <w:tab w:val="right" w:pos="1985"/>
        </w:tabs>
      </w:pPr>
      <w:r w:rsidRPr="00E20A0E">
        <w:t>Attachment A: Migrant Communities Employment Fund—financial implications</w:t>
      </w:r>
    </w:p>
    <w:p w:rsidR="000B5C96" w:rsidRPr="00E20A0E" w:rsidRDefault="000B5C96" w:rsidP="003F606A">
      <w:pPr>
        <w:pStyle w:val="Caption"/>
        <w:rPr>
          <w:vertAlign w:val="superscript"/>
        </w:rPr>
      </w:pPr>
      <w:r w:rsidRPr="00E20A0E">
        <w:t>Table A1: Migrant Communities Employment Fund—Financial implications (outturn prices)</w:t>
      </w:r>
      <w:r w:rsidRPr="00E20A0E">
        <w:rPr>
          <w:vertAlign w:val="superscript"/>
        </w:rPr>
        <w:t>(a)(b)</w:t>
      </w:r>
    </w:p>
    <w:tbl>
      <w:tblPr>
        <w:tblStyle w:val="TableGrid59"/>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E20A0E"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keepNext/>
              <w:keepLines/>
              <w:spacing w:line="240" w:lineRule="auto"/>
              <w:ind w:left="57" w:right="57"/>
              <w:rPr>
                <w:sz w:val="20"/>
                <w:szCs w:val="20"/>
              </w:rPr>
            </w:pPr>
            <w:r w:rsidRPr="00E20A0E">
              <w:rPr>
                <w:sz w:val="20"/>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20A0E">
              <w:rPr>
                <w:sz w:val="20"/>
              </w:rPr>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20A0E">
              <w:rPr>
                <w:sz w:val="20"/>
              </w:rPr>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20A0E">
              <w:rPr>
                <w:sz w:val="20"/>
              </w:rPr>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E20A0E">
              <w:rPr>
                <w:sz w:val="20"/>
              </w:rPr>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E20A0E">
              <w:rPr>
                <w:sz w:val="20"/>
              </w:rPr>
              <w:t>Total</w:t>
            </w:r>
            <w:r w:rsidRPr="00E20A0E">
              <w:rPr>
                <w:sz w:val="20"/>
                <w:szCs w:val="20"/>
              </w:rPr>
              <w:t xml:space="preserve"> to 2019–20</w:t>
            </w:r>
          </w:p>
        </w:tc>
      </w:tr>
      <w:tr w:rsidR="000B5C96" w:rsidRPr="00E20A0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E20A0E" w:rsidRDefault="000B5C96" w:rsidP="003F606A">
            <w:pPr>
              <w:keepNext/>
              <w:keepLines/>
              <w:spacing w:line="240" w:lineRule="auto"/>
              <w:ind w:left="57" w:right="57"/>
              <w:rPr>
                <w:rFonts w:ascii="Calibri" w:hAnsi="Calibri"/>
                <w:b/>
                <w:sz w:val="20"/>
              </w:rPr>
            </w:pPr>
            <w:r w:rsidRPr="00E20A0E">
              <w:rPr>
                <w:rFonts w:ascii="Calibri" w:hAnsi="Calibri"/>
                <w:b/>
                <w:sz w:val="20"/>
              </w:rPr>
              <w:t>Impact on fiscal and underlying cash balances</w:t>
            </w:r>
          </w:p>
        </w:tc>
      </w:tr>
      <w:tr w:rsidR="000B5C96" w:rsidRPr="00E20A0E"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20A0E" w:rsidRDefault="000B5C96" w:rsidP="003F606A">
            <w:pPr>
              <w:keepNext/>
              <w:keepLines/>
              <w:spacing w:line="240" w:lineRule="auto"/>
              <w:ind w:left="57" w:right="57"/>
              <w:rPr>
                <w:rFonts w:ascii="Calibri" w:hAnsi="Calibri"/>
                <w:sz w:val="20"/>
                <w:szCs w:val="20"/>
              </w:rPr>
            </w:pPr>
            <w:r w:rsidRPr="00E20A0E">
              <w:rPr>
                <w:rFonts w:ascii="Calibri" w:hAnsi="Calibri"/>
                <w:sz w:val="20"/>
                <w:szCs w:val="20"/>
              </w:rPr>
              <w:t>Administered</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20A0E">
              <w:rPr>
                <w:rFonts w:ascii="Calibri" w:hAnsi="Calibri"/>
                <w:sz w:val="20"/>
                <w:szCs w:val="20"/>
              </w:rPr>
              <w:t xml:space="preserve">-5.5 </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20A0E">
              <w:rPr>
                <w:rFonts w:ascii="Calibri" w:hAnsi="Calibri"/>
                <w:sz w:val="20"/>
                <w:szCs w:val="20"/>
              </w:rPr>
              <w:t xml:space="preserve">-5.5 </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20A0E">
              <w:rPr>
                <w:rFonts w:ascii="Calibri" w:hAnsi="Calibri"/>
                <w:sz w:val="20"/>
                <w:szCs w:val="20"/>
              </w:rPr>
              <w:t xml:space="preserve">-5.5 </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20A0E">
              <w:rPr>
                <w:rFonts w:ascii="Calibri" w:hAnsi="Calibri"/>
                <w:sz w:val="20"/>
                <w:szCs w:val="20"/>
              </w:rPr>
              <w:t xml:space="preserve">-5.5 </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20A0E">
              <w:rPr>
                <w:rFonts w:ascii="Calibri" w:hAnsi="Calibri"/>
                <w:b/>
                <w:sz w:val="20"/>
                <w:szCs w:val="20"/>
              </w:rPr>
              <w:t xml:space="preserve">-22.0 </w:t>
            </w:r>
          </w:p>
        </w:tc>
      </w:tr>
      <w:tr w:rsidR="000B5C96" w:rsidRPr="00E20A0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20A0E" w:rsidRDefault="000B5C96" w:rsidP="003F606A">
            <w:pPr>
              <w:keepNext/>
              <w:keepLines/>
              <w:spacing w:line="240" w:lineRule="auto"/>
              <w:ind w:left="57" w:right="57"/>
              <w:rPr>
                <w:rFonts w:ascii="Calibri" w:hAnsi="Calibri"/>
                <w:sz w:val="20"/>
                <w:szCs w:val="20"/>
              </w:rPr>
            </w:pPr>
            <w:r w:rsidRPr="00E20A0E">
              <w:rPr>
                <w:rFonts w:ascii="Calibri" w:hAnsi="Calibri"/>
                <w:sz w:val="20"/>
                <w:szCs w:val="20"/>
              </w:rPr>
              <w:t>Departmental</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20A0E">
              <w:rPr>
                <w:rFonts w:ascii="Calibri" w:hAnsi="Calibri"/>
                <w:sz w:val="20"/>
                <w:szCs w:val="20"/>
              </w:rPr>
              <w:t xml:space="preserve">-0.2 </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20A0E">
              <w:rPr>
                <w:rFonts w:ascii="Calibri" w:hAnsi="Calibri"/>
                <w:sz w:val="20"/>
                <w:szCs w:val="20"/>
              </w:rPr>
              <w:t xml:space="preserve">-0.2 </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20A0E">
              <w:rPr>
                <w:rFonts w:ascii="Calibri" w:hAnsi="Calibri"/>
                <w:sz w:val="20"/>
                <w:szCs w:val="20"/>
              </w:rPr>
              <w:t xml:space="preserve">-0.2 </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20A0E">
              <w:rPr>
                <w:rFonts w:ascii="Calibri" w:hAnsi="Calibri"/>
                <w:sz w:val="20"/>
                <w:szCs w:val="20"/>
              </w:rPr>
              <w:t xml:space="preserve">-0.2 </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E20A0E"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E20A0E">
              <w:rPr>
                <w:rFonts w:ascii="Calibri" w:hAnsi="Calibri"/>
                <w:b/>
                <w:sz w:val="20"/>
                <w:szCs w:val="20"/>
              </w:rPr>
              <w:t xml:space="preserve">-0.7 </w:t>
            </w:r>
          </w:p>
        </w:tc>
      </w:tr>
      <w:tr w:rsidR="000B5C96" w:rsidRPr="00E20A0E"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E20A0E" w:rsidRDefault="000B5C96" w:rsidP="003F606A">
            <w:pPr>
              <w:keepNext/>
              <w:keepLines/>
              <w:spacing w:line="240" w:lineRule="auto"/>
              <w:ind w:left="57" w:right="57"/>
              <w:rPr>
                <w:rFonts w:ascii="Calibri" w:hAnsi="Calibri"/>
                <w:b/>
                <w:sz w:val="20"/>
                <w:szCs w:val="20"/>
              </w:rPr>
            </w:pPr>
            <w:r w:rsidRPr="00E20A0E">
              <w:rPr>
                <w:rFonts w:ascii="Calibri" w:hAnsi="Calibri"/>
                <w:b/>
                <w:sz w:val="20"/>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0B5C96" w:rsidRPr="00E20A0E"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20A0E">
              <w:rPr>
                <w:rFonts w:ascii="Calibri" w:hAnsi="Calibri"/>
                <w:b/>
                <w:sz w:val="20"/>
                <w:szCs w:val="20"/>
              </w:rPr>
              <w:t xml:space="preserve">-5.7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0B5C96" w:rsidRPr="00E20A0E"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20A0E">
              <w:rPr>
                <w:rFonts w:ascii="Calibri" w:hAnsi="Calibri"/>
                <w:b/>
                <w:sz w:val="20"/>
                <w:szCs w:val="20"/>
              </w:rPr>
              <w:t xml:space="preserve">-5.7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0B5C96" w:rsidRPr="00E20A0E"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20A0E">
              <w:rPr>
                <w:rFonts w:ascii="Calibri" w:hAnsi="Calibri"/>
                <w:b/>
                <w:sz w:val="20"/>
                <w:szCs w:val="20"/>
              </w:rPr>
              <w:t xml:space="preserve">-5.7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0B5C96" w:rsidRPr="00E20A0E"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20A0E">
              <w:rPr>
                <w:rFonts w:ascii="Calibri" w:hAnsi="Calibri"/>
                <w:b/>
                <w:sz w:val="20"/>
                <w:szCs w:val="20"/>
              </w:rPr>
              <w:t xml:space="preserve">-5.7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0B5C96" w:rsidRPr="00E20A0E"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20A0E">
              <w:rPr>
                <w:rFonts w:ascii="Calibri" w:hAnsi="Calibri"/>
                <w:b/>
                <w:sz w:val="20"/>
                <w:szCs w:val="20"/>
              </w:rPr>
              <w:t xml:space="preserve">-22.7 </w:t>
            </w:r>
          </w:p>
        </w:tc>
      </w:tr>
    </w:tbl>
    <w:p w:rsidR="000B5C96" w:rsidRDefault="000B5C96" w:rsidP="00E54AEC">
      <w:pPr>
        <w:pStyle w:val="Footnotes"/>
        <w:numPr>
          <w:ilvl w:val="0"/>
          <w:numId w:val="302"/>
        </w:numPr>
        <w:ind w:left="284" w:hanging="284"/>
      </w:pPr>
      <w:r w:rsidRPr="00E20A0E">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E20A0E" w:rsidRDefault="000B5C96" w:rsidP="000B5C96">
      <w:pPr>
        <w:pStyle w:val="Footnotes"/>
        <w:numPr>
          <w:ilvl w:val="0"/>
          <w:numId w:val="7"/>
        </w:numPr>
        <w:ind w:left="284" w:hanging="284"/>
      </w:pPr>
      <w:r w:rsidRPr="00E20A0E">
        <w:t>Figures may not sum to totals due to rounding.</w:t>
      </w:r>
    </w:p>
    <w:p w:rsidR="000B5C96" w:rsidRPr="00E20A0E" w:rsidRDefault="000B5C96" w:rsidP="000B5C96">
      <w:pPr>
        <w:pStyle w:val="Footnotes"/>
        <w:numPr>
          <w:ilvl w:val="0"/>
          <w:numId w:val="7"/>
        </w:numPr>
        <w:ind w:left="284" w:hanging="284"/>
        <w:sectPr w:rsidR="000B5C96" w:rsidRPr="00E20A0E"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03" w:name="_Toc458001981"/>
      <w:bookmarkStart w:id="204" w:name="_Toc458069466"/>
      <w:r>
        <w:t>GRN075: PrEP</w:t>
      </w:r>
      <w:bookmarkEnd w:id="203"/>
      <w:bookmarkEnd w:id="204"/>
    </w:p>
    <w:p w:rsidR="000B5C96" w:rsidRDefault="000B5C96" w:rsidP="003F606A">
      <w:pPr>
        <w:pStyle w:val="BodyText"/>
      </w:pPr>
      <w:r>
        <w:rPr>
          <w:noProof/>
          <w:lang w:eastAsia="en-AU"/>
        </w:rPr>
        <w:drawing>
          <wp:inline distT="0" distB="0" distL="0" distR="0" wp14:anchorId="11AB325F" wp14:editId="6FB820BA">
            <wp:extent cx="2696845" cy="572135"/>
            <wp:effectExtent l="0" t="0" r="8255" b="0"/>
            <wp:docPr id="486" name="Picture 48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491BFE" w:rsidRDefault="000B5C96" w:rsidP="000B5C96">
      <w:pPr>
        <w:pStyle w:val="Heading6"/>
        <w:numPr>
          <w:ilvl w:val="0"/>
          <w:numId w:val="5"/>
        </w:numPr>
        <w:tabs>
          <w:tab w:val="right" w:pos="1418"/>
          <w:tab w:val="right" w:pos="1701"/>
          <w:tab w:val="right" w:pos="1985"/>
        </w:tabs>
      </w:pPr>
      <w:r w:rsidRPr="00491BFE">
        <w:t>Policy costing—during the caretaker period for the 2016 general election</w:t>
      </w:r>
    </w:p>
    <w:tbl>
      <w:tblPr>
        <w:tblStyle w:val="Style112"/>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Name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Guaranteed access to pre-exposure prophylaxis (PrEP)</w:t>
            </w:r>
          </w:p>
        </w:tc>
      </w:tr>
      <w:tr w:rsidR="000B5C96" w:rsidRPr="00491BF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Summary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 xml:space="preserve">The proposal would provide funding to: </w:t>
            </w:r>
          </w:p>
          <w:p w:rsidR="000B5C96" w:rsidRPr="00491BFE" w:rsidRDefault="000B5C96" w:rsidP="000B5C96">
            <w:pPr>
              <w:pStyle w:val="PullOutBoxBullet"/>
              <w:numPr>
                <w:ilvl w:val="0"/>
                <w:numId w:val="2"/>
              </w:numPr>
              <w:ind w:left="397"/>
            </w:pPr>
            <w:r w:rsidRPr="00491BFE">
              <w:t>supply PrEP over the next two years (2016-17 and 2017</w:t>
            </w:r>
            <w:r w:rsidRPr="00491BFE">
              <w:noBreakHyphen/>
              <w:t>18) to up to 3,000 high</w:t>
            </w:r>
            <w:r w:rsidRPr="00491BFE">
              <w:noBreakHyphen/>
              <w:t xml:space="preserve">risk Australians who are not currently participating in PrEP clinical trials  </w:t>
            </w:r>
          </w:p>
          <w:p w:rsidR="000B5C96" w:rsidRPr="00491BFE" w:rsidRDefault="000B5C96" w:rsidP="000B5C96">
            <w:pPr>
              <w:pStyle w:val="PullOutBoxBullet"/>
              <w:numPr>
                <w:ilvl w:val="0"/>
                <w:numId w:val="2"/>
              </w:numPr>
              <w:ind w:left="397"/>
            </w:pPr>
            <w:r w:rsidRPr="00491BFE">
              <w:t>supply PrEP over the following two years (2018</w:t>
            </w:r>
            <w:r w:rsidRPr="00491BFE">
              <w:noBreakHyphen/>
              <w:t>19 and 2019-20) to up to 11,000 people as a safety net for high</w:t>
            </w:r>
            <w:r w:rsidRPr="00491BFE">
              <w:noBreakHyphen/>
              <w:t xml:space="preserve">risk users of PrEP should PrEP medication not be listed on the Pharmaceutical Benefits Scheme (PBS). </w:t>
            </w:r>
          </w:p>
          <w:p w:rsidR="000B5C96" w:rsidRPr="00491BFE" w:rsidRDefault="000B5C96" w:rsidP="003F606A">
            <w:pPr>
              <w:pStyle w:val="PullOutBoxBodyText"/>
              <w:rPr>
                <w:rFonts w:eastAsia="Times New Roman"/>
              </w:rPr>
            </w:pPr>
            <w:r w:rsidRPr="00491BFE">
              <w:rPr>
                <w:rFonts w:eastAsia="Times New Roman"/>
              </w:rPr>
              <w:t>The proposal would have effect from 1 September 2016.</w:t>
            </w:r>
          </w:p>
        </w:tc>
      </w:tr>
      <w:tr w:rsidR="000B5C96" w:rsidRPr="00491BF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Person/party requesting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Senator Richard Di Natale, Australian Greens</w:t>
            </w:r>
          </w:p>
        </w:tc>
      </w:tr>
      <w:tr w:rsidR="000B5C96" w:rsidRPr="00491BF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Date of public release of policy:</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27 May 2016</w:t>
            </w:r>
          </w:p>
          <w:p w:rsidR="000B5C96" w:rsidRPr="00491BFE" w:rsidRDefault="00E46526" w:rsidP="003F606A">
            <w:pPr>
              <w:pStyle w:val="PullOutBoxBodyText"/>
              <w:rPr>
                <w:rFonts w:eastAsia="Times New Roman"/>
              </w:rPr>
            </w:pPr>
            <w:hyperlink r:id="rId574" w:history="1">
              <w:r w:rsidR="000B5C96" w:rsidRPr="00491BFE">
                <w:rPr>
                  <w:rFonts w:eastAsia="Times New Roman"/>
                  <w:color w:val="0000FF"/>
                  <w:u w:val="single"/>
                </w:rPr>
                <w:t>http://greens.org.au/prep</w:t>
              </w:r>
            </w:hyperlink>
          </w:p>
        </w:tc>
      </w:tr>
      <w:tr w:rsidR="000B5C96" w:rsidRPr="00491BF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Date costing request received: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30 June 2016</w:t>
            </w:r>
          </w:p>
        </w:tc>
      </w:tr>
      <w:tr w:rsidR="000B5C96" w:rsidRPr="00491BF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Date costing completed: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30 June 2016</w:t>
            </w:r>
          </w:p>
        </w:tc>
      </w:tr>
      <w:tr w:rsidR="000B5C96" w:rsidRPr="00491BFE"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Expiry date for the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491BFE" w:rsidRDefault="000B5C96" w:rsidP="003F606A">
            <w:pPr>
              <w:pStyle w:val="PullOutBoxBodyText"/>
            </w:pPr>
            <w:r w:rsidRPr="00491BFE">
              <w:t>Release of the next economic and fiscal outlook report</w:t>
            </w:r>
          </w:p>
        </w:tc>
      </w:tr>
    </w:tbl>
    <w:p w:rsidR="000B5C96" w:rsidRPr="00491BFE" w:rsidRDefault="000B5C96" w:rsidP="003F606A">
      <w:pPr>
        <w:pStyle w:val="CostingsH7"/>
        <w:rPr>
          <w:rFonts w:eastAsia="Calibri"/>
        </w:rPr>
      </w:pPr>
      <w:r w:rsidRPr="00491BFE">
        <w:rPr>
          <w:rFonts w:eastAsia="Calibri"/>
        </w:rPr>
        <w:t>Costing overview</w:t>
      </w:r>
    </w:p>
    <w:p w:rsidR="000B5C96" w:rsidRPr="00491BFE" w:rsidRDefault="000B5C96" w:rsidP="003F606A">
      <w:pPr>
        <w:pStyle w:val="BodyText"/>
      </w:pPr>
      <w:r w:rsidRPr="00491BFE">
        <w:t>This proposal would be expected to decrease both the fiscal and underlying cash balances by $40.2 million over the 2016-17 Budget forward estimates period.  This reflects an increase in administered expenses of $36.4 million and an increase in departmental expenses of $3.8 million over this period.</w:t>
      </w:r>
    </w:p>
    <w:p w:rsidR="000B5C96" w:rsidRPr="00491BFE" w:rsidRDefault="000B5C96" w:rsidP="003F606A">
      <w:pPr>
        <w:pStyle w:val="BodyText"/>
      </w:pPr>
      <w:r w:rsidRPr="00491BFE">
        <w:t xml:space="preserve">There would be no financial implications beyond the 2016-17 Budget forward estimates period as the duration of the proposal would end on 1 July 2020.  Detailed financial implications of this proposal are provided at </w:t>
      </w:r>
      <w:r w:rsidRPr="00491BFE">
        <w:rPr>
          <w:u w:val="single"/>
        </w:rPr>
        <w:t>Attachment A</w:t>
      </w:r>
      <w:r w:rsidRPr="00491BFE">
        <w:t>.</w:t>
      </w:r>
    </w:p>
    <w:p w:rsidR="000B5C96" w:rsidRPr="00491BFE" w:rsidRDefault="000B5C96" w:rsidP="003F606A">
      <w:pPr>
        <w:pStyle w:val="BodyText"/>
      </w:pPr>
      <w:r w:rsidRPr="00491BFE">
        <w:t>The administered expense estimates of this costing are considered to be of medium reliability.  While the number of participants is capped the future price of PrEP medication is subject to change.</w:t>
      </w:r>
    </w:p>
    <w:p w:rsidR="000B5C96" w:rsidRPr="00491BFE" w:rsidRDefault="000B5C96" w:rsidP="003F606A">
      <w:pPr>
        <w:pStyle w:val="BodyText"/>
      </w:pPr>
      <w:r w:rsidRPr="00491BFE">
        <w:t>The departmental expense estimates of this costing are considered to be of high reliability as they are based on the cost of similar programs.</w:t>
      </w:r>
    </w:p>
    <w:p w:rsidR="000B5C96" w:rsidRPr="00491BFE" w:rsidRDefault="000B5C96" w:rsidP="003F606A">
      <w:pPr>
        <w:pStyle w:val="Caption"/>
      </w:pPr>
      <w:r w:rsidRPr="00491BFE">
        <w:t>Table 1: Financial implications (outturn prices)</w:t>
      </w:r>
      <w:r w:rsidRPr="00491BFE">
        <w:rPr>
          <w:vertAlign w:val="superscript"/>
        </w:rPr>
        <w:t>(a)(b)</w:t>
      </w:r>
    </w:p>
    <w:tbl>
      <w:tblPr>
        <w:tblStyle w:val="TableGrid60"/>
        <w:tblW w:w="4993" w:type="pct"/>
        <w:tblInd w:w="0" w:type="dxa"/>
        <w:tblLook w:val="04A0" w:firstRow="1" w:lastRow="0" w:firstColumn="1" w:lastColumn="0" w:noHBand="0" w:noVBand="1"/>
      </w:tblPr>
      <w:tblGrid>
        <w:gridCol w:w="2644"/>
        <w:gridCol w:w="1133"/>
        <w:gridCol w:w="1134"/>
        <w:gridCol w:w="1134"/>
        <w:gridCol w:w="1134"/>
        <w:gridCol w:w="1132"/>
      </w:tblGrid>
      <w:tr w:rsidR="000B5C96" w:rsidRPr="00491BFE"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vAlign w:val="center"/>
            <w:hideMark/>
          </w:tcPr>
          <w:p w:rsidR="000B5C96" w:rsidRPr="00491BFE" w:rsidRDefault="000B5C96" w:rsidP="000B5C96">
            <w:pPr>
              <w:numPr>
                <w:ilvl w:val="0"/>
                <w:numId w:val="116"/>
              </w:numPr>
              <w:spacing w:before="70" w:beforeAutospacing="0" w:after="70" w:afterAutospacing="0" w:line="300" w:lineRule="auto"/>
              <w:ind w:left="57" w:right="57"/>
              <w:rPr>
                <w:rFonts w:asciiTheme="minorHAnsi" w:eastAsia="Calibri" w:hAnsiTheme="minorHAnsi"/>
                <w:lang w:eastAsia="en-AU"/>
              </w:rPr>
            </w:pPr>
            <w:r w:rsidRPr="00491BFE">
              <w:rPr>
                <w:rFonts w:asciiTheme="minorHAnsi" w:eastAsia="Calibri" w:hAnsiTheme="minorHAnsi"/>
                <w:lang w:eastAsia="en-AU"/>
              </w:rPr>
              <w:t>Impact on ($m)</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491BFE" w:rsidRDefault="000B5C96" w:rsidP="000B5C96">
            <w:pPr>
              <w:numPr>
                <w:ilvl w:val="0"/>
                <w:numId w:val="116"/>
              </w:numPr>
              <w:spacing w:before="70" w:beforeAutospacing="0" w:after="70" w:afterAutospacing="0"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2016–17</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491BFE" w:rsidRDefault="000B5C96" w:rsidP="000B5C96">
            <w:pPr>
              <w:numPr>
                <w:ilvl w:val="0"/>
                <w:numId w:val="116"/>
              </w:numPr>
              <w:spacing w:before="70" w:beforeAutospacing="0" w:after="70" w:afterAutospacing="0"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2017–18</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491BFE" w:rsidRDefault="000B5C96" w:rsidP="000B5C96">
            <w:pPr>
              <w:numPr>
                <w:ilvl w:val="0"/>
                <w:numId w:val="116"/>
              </w:numPr>
              <w:spacing w:before="70" w:beforeAutospacing="0" w:after="70" w:afterAutospacing="0"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2018–19</w:t>
            </w:r>
          </w:p>
        </w:tc>
        <w:tc>
          <w:tcPr>
            <w:tcW w:w="682" w:type="pct"/>
            <w:tcBorders>
              <w:top w:val="single" w:sz="4" w:space="0" w:color="808080"/>
              <w:left w:val="single" w:sz="4" w:space="0" w:color="808080"/>
              <w:bottom w:val="single" w:sz="4" w:space="0" w:color="808080"/>
              <w:right w:val="single" w:sz="4" w:space="0" w:color="808080"/>
            </w:tcBorders>
            <w:vAlign w:val="center"/>
            <w:hideMark/>
          </w:tcPr>
          <w:p w:rsidR="000B5C96" w:rsidRPr="00491BFE" w:rsidRDefault="000B5C96" w:rsidP="000B5C96">
            <w:pPr>
              <w:numPr>
                <w:ilvl w:val="0"/>
                <w:numId w:val="116"/>
              </w:numPr>
              <w:spacing w:before="70" w:beforeAutospacing="0" w:after="70" w:afterAutospacing="0"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2019–20</w:t>
            </w:r>
          </w:p>
        </w:tc>
        <w:tc>
          <w:tcPr>
            <w:tcW w:w="681" w:type="pct"/>
            <w:tcBorders>
              <w:top w:val="single" w:sz="4" w:space="0" w:color="808080"/>
              <w:left w:val="single" w:sz="4" w:space="0" w:color="808080"/>
              <w:bottom w:val="single" w:sz="4" w:space="0" w:color="808080"/>
              <w:right w:val="single" w:sz="4" w:space="0" w:color="808080"/>
            </w:tcBorders>
            <w:vAlign w:val="center"/>
            <w:hideMark/>
          </w:tcPr>
          <w:p w:rsidR="000B5C96" w:rsidRPr="008E2B8B" w:rsidRDefault="000B5C96" w:rsidP="000B5C96">
            <w:pPr>
              <w:numPr>
                <w:ilvl w:val="0"/>
                <w:numId w:val="116"/>
              </w:numPr>
              <w:spacing w:before="70" w:beforeAutospacing="0" w:after="70" w:afterAutospacing="0" w:line="300" w:lineRule="auto"/>
              <w:ind w:left="57" w:righ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8E2B8B">
              <w:rPr>
                <w:rFonts w:asciiTheme="minorHAnsi" w:eastAsia="Calibri" w:hAnsiTheme="minorHAnsi"/>
                <w:b/>
                <w:lang w:eastAsia="en-AU"/>
              </w:rPr>
              <w:t>Total</w:t>
            </w:r>
          </w:p>
        </w:tc>
      </w:tr>
      <w:tr w:rsidR="000B5C96" w:rsidRPr="0099740D"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491BFE" w:rsidRDefault="000B5C96" w:rsidP="000B5C96">
            <w:pPr>
              <w:numPr>
                <w:ilvl w:val="0"/>
                <w:numId w:val="116"/>
              </w:numPr>
              <w:spacing w:line="300" w:lineRule="auto"/>
              <w:ind w:left="57" w:right="57"/>
              <w:rPr>
                <w:rFonts w:asciiTheme="minorHAnsi" w:hAnsiTheme="minorHAnsi"/>
                <w:lang w:eastAsia="en-AU"/>
              </w:rPr>
            </w:pPr>
            <w:r w:rsidRPr="00491BFE">
              <w:rPr>
                <w:rFonts w:asciiTheme="minorHAnsi" w:hAnsiTheme="minorHAnsi"/>
                <w:lang w:eastAsia="en-AU"/>
              </w:rPr>
              <w:t>Fiscal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491BFE" w:rsidRDefault="000B5C96" w:rsidP="000B5C96">
            <w:pPr>
              <w:numPr>
                <w:ilvl w:val="0"/>
                <w:numId w:val="116"/>
              </w:numPr>
              <w:spacing w:line="30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 xml:space="preserve">-4.5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491BFE" w:rsidRDefault="000B5C96" w:rsidP="000B5C96">
            <w:pPr>
              <w:numPr>
                <w:ilvl w:val="0"/>
                <w:numId w:val="116"/>
              </w:numPr>
              <w:spacing w:line="30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 xml:space="preserve">-4.5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491BFE" w:rsidRDefault="000B5C96" w:rsidP="000B5C96">
            <w:pPr>
              <w:numPr>
                <w:ilvl w:val="0"/>
                <w:numId w:val="116"/>
              </w:numPr>
              <w:spacing w:line="30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 xml:space="preserve">-15.6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491BFE" w:rsidRDefault="000B5C96" w:rsidP="000B5C96">
            <w:pPr>
              <w:numPr>
                <w:ilvl w:val="0"/>
                <w:numId w:val="116"/>
              </w:numPr>
              <w:spacing w:line="30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 xml:space="preserve">-15.6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lang w:eastAsia="en-AU"/>
              </w:rPr>
            </w:pPr>
            <w:r w:rsidRPr="008E2B8B">
              <w:rPr>
                <w:rFonts w:asciiTheme="minorHAnsi" w:eastAsia="Calibri" w:hAnsiTheme="minorHAnsi"/>
                <w:b/>
                <w:lang w:eastAsia="en-AU"/>
              </w:rPr>
              <w:t xml:space="preserve">-40.2 </w:t>
            </w:r>
          </w:p>
        </w:tc>
      </w:tr>
      <w:tr w:rsidR="000B5C96" w:rsidRPr="00491BFE"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491BFE" w:rsidRDefault="000B5C96" w:rsidP="000B5C96">
            <w:pPr>
              <w:numPr>
                <w:ilvl w:val="0"/>
                <w:numId w:val="116"/>
              </w:numPr>
              <w:spacing w:line="300" w:lineRule="auto"/>
              <w:ind w:left="57" w:right="57"/>
              <w:rPr>
                <w:rFonts w:asciiTheme="minorHAnsi" w:hAnsiTheme="minorHAnsi"/>
                <w:lang w:eastAsia="en-AU"/>
              </w:rPr>
            </w:pPr>
            <w:r w:rsidRPr="00491BFE">
              <w:rPr>
                <w:rFonts w:asciiTheme="minorHAnsi" w:hAnsiTheme="minorHAnsi"/>
                <w:lang w:eastAsia="en-AU"/>
              </w:rPr>
              <w:t>Underlying cash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491BFE" w:rsidRDefault="000B5C96" w:rsidP="000B5C96">
            <w:pPr>
              <w:numPr>
                <w:ilvl w:val="0"/>
                <w:numId w:val="116"/>
              </w:numPr>
              <w:spacing w:line="30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 xml:space="preserve">-4.5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491BFE" w:rsidRDefault="000B5C96" w:rsidP="000B5C96">
            <w:pPr>
              <w:numPr>
                <w:ilvl w:val="0"/>
                <w:numId w:val="116"/>
              </w:numPr>
              <w:spacing w:line="30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 xml:space="preserve">-4.5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491BFE" w:rsidRDefault="000B5C96" w:rsidP="000B5C96">
            <w:pPr>
              <w:numPr>
                <w:ilvl w:val="0"/>
                <w:numId w:val="116"/>
              </w:numPr>
              <w:spacing w:line="30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 xml:space="preserve">-15.6 </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491BFE" w:rsidRDefault="000B5C96" w:rsidP="000B5C96">
            <w:pPr>
              <w:numPr>
                <w:ilvl w:val="0"/>
                <w:numId w:val="116"/>
              </w:numPr>
              <w:spacing w:line="30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491BFE">
              <w:rPr>
                <w:rFonts w:asciiTheme="minorHAnsi" w:eastAsia="Calibri" w:hAnsiTheme="minorHAnsi"/>
                <w:lang w:eastAsia="en-AU"/>
              </w:rPr>
              <w:t xml:space="preserve">-15.6 </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8E2B8B" w:rsidRDefault="000B5C96" w:rsidP="000B5C96">
            <w:pPr>
              <w:numPr>
                <w:ilvl w:val="0"/>
                <w:numId w:val="116"/>
              </w:numPr>
              <w:spacing w:line="30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8E2B8B">
              <w:rPr>
                <w:rFonts w:asciiTheme="minorHAnsi" w:eastAsia="Calibri" w:hAnsiTheme="minorHAnsi"/>
                <w:b/>
                <w:lang w:eastAsia="en-AU"/>
              </w:rPr>
              <w:t xml:space="preserve">-40.2 </w:t>
            </w:r>
          </w:p>
        </w:tc>
      </w:tr>
    </w:tbl>
    <w:p w:rsidR="000B5C96" w:rsidRPr="0099740D" w:rsidRDefault="000B5C96" w:rsidP="00E54AEC">
      <w:pPr>
        <w:pStyle w:val="Footnotes"/>
        <w:numPr>
          <w:ilvl w:val="0"/>
          <w:numId w:val="303"/>
        </w:numPr>
        <w:ind w:left="284" w:hanging="284"/>
      </w:pPr>
      <w:r w:rsidRPr="0099740D">
        <w:t>A positive number indicates an increase in the relevant budget balance, a negative number represents a decrease.</w:t>
      </w:r>
    </w:p>
    <w:p w:rsidR="000B5C96" w:rsidRPr="00491BFE" w:rsidRDefault="000B5C96" w:rsidP="000B5C96">
      <w:pPr>
        <w:pStyle w:val="Footnotes"/>
        <w:numPr>
          <w:ilvl w:val="0"/>
          <w:numId w:val="7"/>
        </w:numPr>
        <w:ind w:left="284" w:hanging="284"/>
      </w:pPr>
      <w:r w:rsidRPr="00491BFE">
        <w:t>Figures may not sum to totals due to rounding.</w:t>
      </w:r>
    </w:p>
    <w:p w:rsidR="000B5C96" w:rsidRPr="00491BFE" w:rsidRDefault="000B5C96" w:rsidP="003F606A">
      <w:pPr>
        <w:pStyle w:val="CostingsH7"/>
      </w:pPr>
      <w:r w:rsidRPr="00491BFE">
        <w:t>Key assumptions</w:t>
      </w:r>
    </w:p>
    <w:p w:rsidR="000B5C96" w:rsidRPr="00491BFE" w:rsidRDefault="000B5C96" w:rsidP="000B5C96">
      <w:pPr>
        <w:pStyle w:val="BodyText"/>
        <w:numPr>
          <w:ilvl w:val="0"/>
          <w:numId w:val="118"/>
        </w:numPr>
        <w:rPr>
          <w:lang w:eastAsia="en-AU"/>
        </w:rPr>
      </w:pPr>
      <w:r w:rsidRPr="00491BFE">
        <w:rPr>
          <w:lang w:eastAsia="en-AU"/>
        </w:rPr>
        <w:t>The expected cost of PrEP per person per year is $1,300, based on the current cost of importing generic PrEP medicines.</w:t>
      </w:r>
    </w:p>
    <w:p w:rsidR="000B5C96" w:rsidRPr="00491BFE" w:rsidRDefault="000B5C96" w:rsidP="000B5C96">
      <w:pPr>
        <w:pStyle w:val="BodyText"/>
        <w:numPr>
          <w:ilvl w:val="0"/>
          <w:numId w:val="118"/>
        </w:numPr>
        <w:rPr>
          <w:lang w:eastAsia="en-AU"/>
        </w:rPr>
      </w:pPr>
      <w:r w:rsidRPr="00491BFE">
        <w:rPr>
          <w:lang w:eastAsia="en-AU"/>
        </w:rPr>
        <w:t xml:space="preserve">The number of participants would equal the cap in each year. </w:t>
      </w:r>
    </w:p>
    <w:p w:rsidR="000B5C96" w:rsidRPr="00491BFE" w:rsidRDefault="000B5C96" w:rsidP="003F606A">
      <w:pPr>
        <w:pStyle w:val="CostingsH7"/>
      </w:pPr>
      <w:r w:rsidRPr="00491BFE">
        <w:t>Methodology</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r w:rsidRPr="00491BFE">
        <w:t>The cost of providing access to PrEP is calculated by multiplying the capped number of participants with the expected price of PrEP for each year over the 2016-17 Budget forward estimates period.  The cost of program administration is based on the cost of similar programs and increases with the number of participants.</w:t>
      </w:r>
    </w:p>
    <w:p w:rsidR="000B5C96" w:rsidRPr="00CB274A" w:rsidRDefault="000B5C96" w:rsidP="000B5C96">
      <w:pPr>
        <w:pStyle w:val="Heading6"/>
        <w:numPr>
          <w:ilvl w:val="0"/>
          <w:numId w:val="5"/>
        </w:numPr>
        <w:tabs>
          <w:tab w:val="right" w:pos="1418"/>
          <w:tab w:val="right" w:pos="1701"/>
          <w:tab w:val="right" w:pos="1985"/>
        </w:tabs>
      </w:pPr>
      <w:r w:rsidRPr="00CB274A">
        <w:t>Attachment A: Guaranteed access to pre-exposure prophylaxis—financial implications</w:t>
      </w:r>
    </w:p>
    <w:p w:rsidR="000B5C96" w:rsidRPr="00CB274A" w:rsidRDefault="000B5C96" w:rsidP="003F606A">
      <w:pPr>
        <w:pStyle w:val="Caption"/>
        <w:rPr>
          <w:vertAlign w:val="superscript"/>
        </w:rPr>
      </w:pPr>
      <w:r w:rsidRPr="00CB274A">
        <w:t>Table A1: Guaranteed access to PrEP—Financial implications (outturn prices)</w:t>
      </w:r>
      <w:r w:rsidRPr="00CB274A">
        <w:rPr>
          <w:vertAlign w:val="superscript"/>
        </w:rPr>
        <w:t>(a)(b)</w:t>
      </w:r>
    </w:p>
    <w:tbl>
      <w:tblPr>
        <w:tblStyle w:val="TableGrid61"/>
        <w:tblW w:w="4995" w:type="pct"/>
        <w:tblInd w:w="0"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CB274A"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hideMark/>
          </w:tcPr>
          <w:p w:rsidR="000B5C96" w:rsidRPr="00CB274A" w:rsidRDefault="000B5C96" w:rsidP="003F606A">
            <w:pPr>
              <w:keepNext/>
              <w:keepLines/>
              <w:spacing w:before="70" w:after="70" w:line="240" w:lineRule="auto"/>
              <w:rPr>
                <w:rFonts w:asciiTheme="minorHAnsi" w:eastAsia="Calibri" w:hAnsiTheme="minorHAnsi"/>
                <w:b/>
                <w:lang w:eastAsia="en-AU"/>
              </w:rPr>
            </w:pPr>
            <w:r w:rsidRPr="00CB274A">
              <w:rPr>
                <w:rFonts w:asciiTheme="minorHAnsi" w:eastAsia="Calibri" w:hAnsiTheme="minorHAnsi"/>
                <w:lang w:eastAsia="en-AU"/>
              </w:rPr>
              <w:t>($m)</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B274A"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B274A">
              <w:rPr>
                <w:rFonts w:asciiTheme="minorHAnsi" w:hAnsiTheme="minorHAnsi"/>
                <w:lang w:eastAsia="en-AU"/>
              </w:rPr>
              <w:t>2016–17</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B274A"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B274A">
              <w:rPr>
                <w:rFonts w:asciiTheme="minorHAnsi" w:hAnsiTheme="minorHAnsi"/>
                <w:lang w:eastAsia="en-AU"/>
              </w:rPr>
              <w:t>2017–18</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B274A"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B274A">
              <w:rPr>
                <w:rFonts w:asciiTheme="minorHAnsi" w:hAnsiTheme="minorHAnsi"/>
                <w:lang w:eastAsia="en-AU"/>
              </w:rPr>
              <w:t>2018–19</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B274A"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CB274A">
              <w:rPr>
                <w:rFonts w:asciiTheme="minorHAnsi" w:hAnsiTheme="minorHAnsi"/>
                <w:lang w:eastAsia="en-AU"/>
              </w:rPr>
              <w:t>2019–20</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CB274A"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ertAlign w:val="superscript"/>
                <w:lang w:eastAsia="en-AU"/>
              </w:rPr>
            </w:pPr>
            <w:r w:rsidRPr="00CB274A">
              <w:rPr>
                <w:rFonts w:asciiTheme="minorHAnsi" w:hAnsiTheme="minorHAnsi"/>
                <w:b/>
                <w:lang w:eastAsia="en-AU"/>
              </w:rPr>
              <w:t>Total to 2019–20</w:t>
            </w:r>
          </w:p>
        </w:tc>
      </w:tr>
      <w:tr w:rsidR="000B5C96" w:rsidRPr="00CB274A"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CB274A" w:rsidRDefault="000B5C96" w:rsidP="003F606A">
            <w:pPr>
              <w:keepNext/>
              <w:keepLines/>
              <w:rPr>
                <w:rFonts w:asciiTheme="minorHAnsi" w:hAnsiTheme="minorHAnsi"/>
                <w:b/>
                <w:lang w:eastAsia="en-AU"/>
              </w:rPr>
            </w:pPr>
            <w:r w:rsidRPr="00CB274A">
              <w:rPr>
                <w:rFonts w:asciiTheme="minorHAnsi" w:hAnsiTheme="minorHAnsi"/>
                <w:b/>
                <w:lang w:eastAsia="en-AU"/>
              </w:rPr>
              <w:t>Impact on fiscal and underlying cash balances</w:t>
            </w:r>
          </w:p>
        </w:tc>
      </w:tr>
      <w:tr w:rsidR="000B5C96" w:rsidRPr="00CB274A"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keepNext/>
              <w:keepLines/>
              <w:rPr>
                <w:rFonts w:asciiTheme="minorHAnsi" w:hAnsiTheme="minorHAnsi"/>
                <w:lang w:eastAsia="en-AU"/>
              </w:rPr>
            </w:pPr>
            <w:r w:rsidRPr="00CB274A">
              <w:rPr>
                <w:rFonts w:asciiTheme="minorHAnsi" w:hAnsiTheme="minorHAnsi"/>
                <w:lang w:eastAsia="en-AU"/>
              </w:rPr>
              <w:t>Administered</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CB274A">
              <w:rPr>
                <w:rFonts w:asciiTheme="minorHAnsi" w:eastAsia="Calibri" w:hAnsiTheme="minorHAnsi"/>
                <w:lang w:eastAsia="en-AU"/>
              </w:rPr>
              <w:t xml:space="preserve">-3.9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CB274A">
              <w:rPr>
                <w:rFonts w:asciiTheme="minorHAnsi" w:eastAsia="Calibri" w:hAnsiTheme="minorHAnsi"/>
                <w:lang w:eastAsia="en-AU"/>
              </w:rPr>
              <w:t xml:space="preserve">-3.9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CB274A">
              <w:rPr>
                <w:rFonts w:asciiTheme="minorHAnsi" w:eastAsia="Calibri" w:hAnsiTheme="minorHAnsi"/>
                <w:lang w:eastAsia="en-AU"/>
              </w:rPr>
              <w:t xml:space="preserve">-14.3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CB274A">
              <w:rPr>
                <w:rFonts w:asciiTheme="minorHAnsi" w:eastAsia="Calibri" w:hAnsiTheme="minorHAnsi"/>
                <w:lang w:eastAsia="en-AU"/>
              </w:rPr>
              <w:t xml:space="preserve">-14.3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B274A">
              <w:rPr>
                <w:rFonts w:asciiTheme="minorHAnsi" w:eastAsia="Calibri" w:hAnsiTheme="minorHAnsi"/>
                <w:b/>
                <w:lang w:eastAsia="en-AU"/>
              </w:rPr>
              <w:t xml:space="preserve">-36.4 </w:t>
            </w:r>
          </w:p>
        </w:tc>
      </w:tr>
      <w:tr w:rsidR="000B5C96" w:rsidRPr="00CB274A"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keepNext/>
              <w:keepLines/>
              <w:rPr>
                <w:rFonts w:asciiTheme="minorHAnsi" w:hAnsiTheme="minorHAnsi"/>
                <w:lang w:eastAsia="en-AU"/>
              </w:rPr>
            </w:pPr>
            <w:r w:rsidRPr="00CB274A">
              <w:rPr>
                <w:rFonts w:asciiTheme="minorHAnsi" w:hAnsiTheme="minorHAnsi"/>
                <w:lang w:eastAsia="en-AU"/>
              </w:rPr>
              <w:t>Departmental – Department of Health</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CB274A">
              <w:rPr>
                <w:rFonts w:asciiTheme="minorHAnsi" w:eastAsia="Calibri" w:hAnsiTheme="minorHAnsi"/>
                <w:lang w:eastAsia="en-AU"/>
              </w:rPr>
              <w:t xml:space="preserve">-0.6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CB274A">
              <w:rPr>
                <w:rFonts w:asciiTheme="minorHAnsi" w:eastAsia="Calibri" w:hAnsiTheme="minorHAnsi"/>
                <w:lang w:eastAsia="en-AU"/>
              </w:rPr>
              <w:t xml:space="preserve">-0.6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CB274A">
              <w:rPr>
                <w:rFonts w:asciiTheme="minorHAnsi" w:eastAsia="Calibri" w:hAnsiTheme="minorHAnsi"/>
                <w:lang w:eastAsia="en-AU"/>
              </w:rPr>
              <w:t xml:space="preserve">-1.3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CB274A">
              <w:rPr>
                <w:rFonts w:asciiTheme="minorHAnsi" w:eastAsia="Calibri" w:hAnsiTheme="minorHAnsi"/>
                <w:lang w:eastAsia="en-AU"/>
              </w:rPr>
              <w:t xml:space="preserve">-1.3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CB274A"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lang w:eastAsia="en-AU"/>
              </w:rPr>
            </w:pPr>
            <w:r w:rsidRPr="00CB274A">
              <w:rPr>
                <w:rFonts w:asciiTheme="minorHAnsi" w:eastAsia="Calibri" w:hAnsiTheme="minorHAnsi"/>
                <w:b/>
                <w:lang w:eastAsia="en-AU"/>
              </w:rPr>
              <w:t xml:space="preserve">-3.8 </w:t>
            </w:r>
          </w:p>
        </w:tc>
      </w:tr>
      <w:tr w:rsidR="000B5C96" w:rsidRPr="00CB274A"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B274A" w:rsidRDefault="000B5C96" w:rsidP="003F606A">
            <w:pPr>
              <w:keepNext/>
              <w:keepLines/>
              <w:rPr>
                <w:rFonts w:asciiTheme="minorHAnsi" w:hAnsiTheme="minorHAnsi"/>
                <w:b/>
                <w:lang w:eastAsia="en-AU"/>
              </w:rPr>
            </w:pPr>
            <w:r w:rsidRPr="00CB274A">
              <w:rPr>
                <w:rFonts w:asciiTheme="minorHAnsi" w:hAnsiTheme="minorHAnsi"/>
                <w:b/>
                <w:lang w:eastAsia="en-AU"/>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B274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B274A">
              <w:rPr>
                <w:rFonts w:asciiTheme="minorHAnsi" w:eastAsia="Calibri" w:hAnsiTheme="minorHAnsi"/>
                <w:b/>
                <w:lang w:eastAsia="en-AU"/>
              </w:rPr>
              <w:t xml:space="preserve">-4.5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B274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B274A">
              <w:rPr>
                <w:rFonts w:asciiTheme="minorHAnsi" w:eastAsia="Calibri" w:hAnsiTheme="minorHAnsi"/>
                <w:b/>
                <w:lang w:eastAsia="en-AU"/>
              </w:rPr>
              <w:t xml:space="preserve">-4.5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B274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B274A">
              <w:rPr>
                <w:rFonts w:asciiTheme="minorHAnsi" w:eastAsia="Calibri" w:hAnsiTheme="minorHAnsi"/>
                <w:b/>
                <w:lang w:eastAsia="en-AU"/>
              </w:rPr>
              <w:t xml:space="preserve">-15.6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B274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B274A">
              <w:rPr>
                <w:rFonts w:asciiTheme="minorHAnsi" w:eastAsia="Calibri" w:hAnsiTheme="minorHAnsi"/>
                <w:b/>
                <w:lang w:eastAsia="en-AU"/>
              </w:rPr>
              <w:t xml:space="preserve">-15.6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CB274A"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CB274A">
              <w:rPr>
                <w:rFonts w:asciiTheme="minorHAnsi" w:eastAsia="Calibri" w:hAnsiTheme="minorHAnsi"/>
                <w:b/>
                <w:lang w:eastAsia="en-AU"/>
              </w:rPr>
              <w:t xml:space="preserve">-40.2 </w:t>
            </w:r>
          </w:p>
        </w:tc>
      </w:tr>
    </w:tbl>
    <w:p w:rsidR="000B5C96" w:rsidRDefault="000B5C96" w:rsidP="00E54AEC">
      <w:pPr>
        <w:pStyle w:val="Footnotes"/>
        <w:numPr>
          <w:ilvl w:val="0"/>
          <w:numId w:val="304"/>
        </w:numPr>
        <w:ind w:left="284" w:hanging="284"/>
      </w:pPr>
      <w:r w:rsidRPr="0024141A">
        <w:t>A negative number indicates an increase in expenses in accrual and cash terms.</w:t>
      </w:r>
    </w:p>
    <w:p w:rsidR="000B5C96" w:rsidRPr="0024141A" w:rsidRDefault="000B5C96" w:rsidP="000B5C96">
      <w:pPr>
        <w:pStyle w:val="Footnotes"/>
        <w:numPr>
          <w:ilvl w:val="0"/>
          <w:numId w:val="7"/>
        </w:numPr>
        <w:ind w:left="284" w:hanging="284"/>
      </w:pPr>
      <w:r w:rsidRPr="0024141A">
        <w:t>Figures may not sum to totals due to rounding.</w:t>
      </w:r>
    </w:p>
    <w:p w:rsidR="000B5C96" w:rsidRDefault="000B5C96" w:rsidP="003F606A">
      <w:pPr>
        <w:pStyle w:val="BodyText"/>
      </w:pP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05" w:name="_Toc458001982"/>
      <w:bookmarkStart w:id="206" w:name="_Toc458069467"/>
      <w:r>
        <w:t>GRN076: Digital Rights Abolish Data Retention</w:t>
      </w:r>
      <w:bookmarkEnd w:id="205"/>
      <w:bookmarkEnd w:id="206"/>
      <w:r>
        <w:t xml:space="preserve"> </w:t>
      </w:r>
    </w:p>
    <w:p w:rsidR="000B5C96" w:rsidRDefault="000B5C96" w:rsidP="003F606A">
      <w:pPr>
        <w:pStyle w:val="BodyText"/>
      </w:pPr>
      <w:r>
        <w:rPr>
          <w:noProof/>
          <w:lang w:eastAsia="en-AU"/>
        </w:rPr>
        <w:drawing>
          <wp:inline distT="0" distB="0" distL="0" distR="0" wp14:anchorId="05CC84F2" wp14:editId="1214F7AE">
            <wp:extent cx="2696845" cy="572135"/>
            <wp:effectExtent l="0" t="0" r="8255" b="0"/>
            <wp:docPr id="487" name="Picture 48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Default="000B5C96" w:rsidP="000B5C96">
      <w:pPr>
        <w:pStyle w:val="Heading6"/>
        <w:numPr>
          <w:ilvl w:val="0"/>
          <w:numId w:val="5"/>
        </w:numPr>
        <w:tabs>
          <w:tab w:val="right" w:pos="1418"/>
          <w:tab w:val="right" w:pos="1701"/>
          <w:tab w:val="right" w:pos="1985"/>
        </w:tabs>
      </w:pPr>
      <w:r>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Name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Digital Rights: Abolish Data Retention</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Summary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This proposal has two components:</w:t>
            </w:r>
          </w:p>
          <w:p w:rsidR="000B5C96" w:rsidRDefault="000B5C96" w:rsidP="003F606A">
            <w:pPr>
              <w:pStyle w:val="PullOutBoxBodyText"/>
              <w:rPr>
                <w:u w:val="single"/>
              </w:rPr>
            </w:pPr>
            <w:r>
              <w:rPr>
                <w:u w:val="single"/>
              </w:rPr>
              <w:t>Component 1: Abolish Data Retention</w:t>
            </w:r>
          </w:p>
          <w:p w:rsidR="000B5C96" w:rsidRDefault="000B5C96" w:rsidP="000B5C96">
            <w:pPr>
              <w:pStyle w:val="PullOutBoxBullet"/>
              <w:numPr>
                <w:ilvl w:val="0"/>
                <w:numId w:val="2"/>
              </w:numPr>
              <w:ind w:left="397"/>
            </w:pPr>
            <w:r>
              <w:t>The proposal would abolish the Mandatory Data Retention Scheme announced in the 2015-16 Budget.</w:t>
            </w:r>
          </w:p>
          <w:p w:rsidR="000B5C96" w:rsidRDefault="000B5C96" w:rsidP="003F606A">
            <w:pPr>
              <w:pStyle w:val="PullOutBoxBodyText"/>
              <w:rPr>
                <w:u w:val="single"/>
              </w:rPr>
            </w:pPr>
            <w:r>
              <w:rPr>
                <w:u w:val="single"/>
              </w:rPr>
              <w:t>Component 2: Commissioner for digital rights</w:t>
            </w:r>
          </w:p>
          <w:p w:rsidR="000B5C96" w:rsidRDefault="000B5C96" w:rsidP="000B5C96">
            <w:pPr>
              <w:pStyle w:val="PullOutBoxBullet"/>
              <w:numPr>
                <w:ilvl w:val="0"/>
                <w:numId w:val="2"/>
              </w:numPr>
              <w:ind w:left="397"/>
            </w:pPr>
            <w:r>
              <w:t>The proposal would create an additional commissioner position at the Human Rights Commission that would be responsible for digital rights.</w:t>
            </w:r>
          </w:p>
          <w:p w:rsidR="000B5C96" w:rsidRDefault="000B5C96" w:rsidP="003F606A">
            <w:pPr>
              <w:pStyle w:val="PullOutBoxBodyText"/>
            </w:pPr>
            <w:r>
              <w:t>The proposal would have effect from 1 September 2016.</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Person/party requesting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Senator Richard Di Natale, Australian Greens</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Date of public release of policy:</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30 June 2016</w:t>
            </w:r>
          </w:p>
          <w:p w:rsidR="000B5C96" w:rsidRDefault="00E46526" w:rsidP="003F606A">
            <w:pPr>
              <w:pStyle w:val="PullOutBoxBodyText"/>
            </w:pPr>
            <w:hyperlink r:id="rId575" w:history="1">
              <w:r w:rsidR="000B5C96">
                <w:rPr>
                  <w:rStyle w:val="Hyperlink"/>
                </w:rPr>
                <w:t>http://greens.org.au/digital-rights-commissioner</w:t>
              </w:r>
            </w:hyperlink>
            <w:r w:rsidR="000B5C96">
              <w:t xml:space="preserve"> </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Date costing request received: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1 July 2016</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Date costing completed: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1 July 2016</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Expiry date for the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Release of the next economic and fiscal outlook report</w:t>
            </w:r>
          </w:p>
        </w:tc>
      </w:tr>
    </w:tbl>
    <w:p w:rsidR="000B5C96" w:rsidRDefault="000B5C96" w:rsidP="003F606A">
      <w:pPr>
        <w:pStyle w:val="CostingsH7"/>
        <w:rPr>
          <w:rFonts w:cs="Times New Roman"/>
        </w:rPr>
      </w:pPr>
      <w:r>
        <w:t>Costing overview</w:t>
      </w:r>
    </w:p>
    <w:p w:rsidR="000B5C96" w:rsidRDefault="000B5C96" w:rsidP="003F606A">
      <w:pPr>
        <w:pStyle w:val="BodyText"/>
      </w:pPr>
      <w:r>
        <w:t>This proposal would be expected to increase both the fiscal and underlying cash balances by $54 million over the 2016-17 Budget forward estimates period.  These financial implications are due to a net decrease in expenses and reflect a decrease in administered expenses of $56 million and a net increase in departmental expenses of $2 million over the 2016</w:t>
      </w:r>
      <w:r>
        <w:noBreakHyphen/>
        <w:t>17 Budget forward estimates period.</w:t>
      </w:r>
    </w:p>
    <w:p w:rsidR="000B5C96" w:rsidRDefault="000B5C96" w:rsidP="003F606A">
      <w:pPr>
        <w:pStyle w:val="BodyText"/>
      </w:pPr>
      <w:r>
        <w:t xml:space="preserve">Detailed financial implications are provided at </w:t>
      </w:r>
      <w:r>
        <w:rPr>
          <w:u w:val="single"/>
        </w:rPr>
        <w:t>Attachment A</w:t>
      </w:r>
      <w:r>
        <w:t>.</w:t>
      </w:r>
    </w:p>
    <w:p w:rsidR="000B5C96" w:rsidRPr="00E85003" w:rsidRDefault="000B5C96" w:rsidP="003F606A">
      <w:pPr>
        <w:pStyle w:val="BodyText"/>
      </w:pPr>
      <w:r w:rsidRPr="00E85003">
        <w:t>This proposal would be expected to have an ongoing impact beyond the 2016-17 Budget forward estimates period at a similar level to the 2019-20 estimates.  The ongoing impact relates only to the proposed commissioner for digital rights (Component 2).</w:t>
      </w:r>
    </w:p>
    <w:p w:rsidR="000B5C96" w:rsidRPr="00E85003" w:rsidRDefault="000B5C96" w:rsidP="003F606A">
      <w:pPr>
        <w:pStyle w:val="BodyText"/>
        <w:rPr>
          <w:lang w:eastAsia="en-AU"/>
        </w:rPr>
      </w:pPr>
      <w:r w:rsidRPr="00E85003">
        <w:t xml:space="preserve">Component 1 of this </w:t>
      </w:r>
      <w:r w:rsidRPr="00E85003">
        <w:rPr>
          <w:lang w:eastAsia="en-AU"/>
        </w:rPr>
        <w:t>costing is considered to be of high reliability as it is based on estimates provided by the Attorney-General’s Department.</w:t>
      </w:r>
    </w:p>
    <w:p w:rsidR="000B5C96" w:rsidRPr="00E85003" w:rsidRDefault="000B5C96" w:rsidP="003F606A">
      <w:pPr>
        <w:pStyle w:val="BodyText"/>
        <w:rPr>
          <w:highlight w:val="yellow"/>
        </w:rPr>
      </w:pPr>
      <w:r w:rsidRPr="00E85003">
        <w:rPr>
          <w:lang w:eastAsia="en-AU"/>
        </w:rPr>
        <w:t xml:space="preserve">Component 2 of this costing is considered to </w:t>
      </w:r>
      <w:r w:rsidRPr="00E85003">
        <w:t>be of high reliability as it is based on the financial implications of removing the previous Disability Commissioner in the 2014</w:t>
      </w:r>
      <w:r w:rsidRPr="00E85003">
        <w:noBreakHyphen/>
        <w:t>15 Budget.</w:t>
      </w:r>
    </w:p>
    <w:p w:rsidR="000B5C96" w:rsidRPr="00E85003" w:rsidRDefault="000B5C96" w:rsidP="003F606A">
      <w:pPr>
        <w:pStyle w:val="Caption"/>
      </w:pPr>
      <w:r w:rsidRPr="00E85003">
        <w:t>Table 1: Financial implications (outturn prices)</w:t>
      </w:r>
      <w:r w:rsidRPr="00E85003">
        <w:rPr>
          <w:vertAlign w:val="superscript"/>
        </w:rPr>
        <w:t>(a)(b)</w:t>
      </w:r>
    </w:p>
    <w:tbl>
      <w:tblPr>
        <w:tblStyle w:val="TableGrid62"/>
        <w:tblW w:w="4993" w:type="pct"/>
        <w:tblInd w:w="0" w:type="dxa"/>
        <w:tblLook w:val="04A0" w:firstRow="1" w:lastRow="0" w:firstColumn="1" w:lastColumn="0" w:noHBand="0" w:noVBand="1"/>
      </w:tblPr>
      <w:tblGrid>
        <w:gridCol w:w="2644"/>
        <w:gridCol w:w="1133"/>
        <w:gridCol w:w="1134"/>
        <w:gridCol w:w="1134"/>
        <w:gridCol w:w="1134"/>
        <w:gridCol w:w="1132"/>
      </w:tblGrid>
      <w:tr w:rsidR="000B5C96" w:rsidRPr="00E85003"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before="70" w:after="70" w:line="240" w:lineRule="auto"/>
              <w:ind w:left="57"/>
              <w:rPr>
                <w:rFonts w:asciiTheme="minorHAnsi" w:eastAsia="Calibri" w:hAnsiTheme="minorHAnsi"/>
                <w:lang w:eastAsia="en-AU"/>
              </w:rPr>
            </w:pPr>
            <w:r w:rsidRPr="00E85003">
              <w:rPr>
                <w:rFonts w:asciiTheme="minorHAnsi" w:eastAsia="Calibri" w:hAnsiTheme="minorHAnsi"/>
                <w:lang w:eastAsia="en-AU"/>
              </w:rPr>
              <w:t>Impact on ($m)</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before="70" w:after="70" w:line="240" w:lineRule="auto"/>
              <w:ind w:lef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E85003">
              <w:rPr>
                <w:rFonts w:asciiTheme="minorHAnsi" w:eastAsia="Calibri" w:hAnsiTheme="minorHAnsi"/>
                <w:lang w:eastAsia="en-AU"/>
              </w:rPr>
              <w:t>2016–17</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before="70" w:after="70" w:line="240" w:lineRule="auto"/>
              <w:ind w:lef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E85003">
              <w:rPr>
                <w:rFonts w:asciiTheme="minorHAnsi" w:eastAsia="Calibri" w:hAnsiTheme="minorHAnsi"/>
                <w:lang w:eastAsia="en-AU"/>
              </w:rPr>
              <w:t>2017–18</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before="70" w:after="70" w:line="240" w:lineRule="auto"/>
              <w:ind w:lef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E85003">
              <w:rPr>
                <w:rFonts w:asciiTheme="minorHAnsi" w:eastAsia="Calibri" w:hAnsiTheme="minorHAnsi"/>
                <w:lang w:eastAsia="en-AU"/>
              </w:rPr>
              <w:t>2018–19</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before="70" w:after="70" w:line="240" w:lineRule="auto"/>
              <w:ind w:lef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E85003">
              <w:rPr>
                <w:rFonts w:asciiTheme="minorHAnsi" w:eastAsia="Calibri" w:hAnsiTheme="minorHAnsi"/>
                <w:lang w:eastAsia="en-AU"/>
              </w:rPr>
              <w:t>2019–20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before="70" w:after="70" w:line="240" w:lineRule="auto"/>
              <w:ind w:left="5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E85003">
              <w:rPr>
                <w:rFonts w:asciiTheme="minorHAnsi" w:eastAsia="Calibri" w:hAnsiTheme="minorHAnsi"/>
                <w:b/>
                <w:lang w:eastAsia="en-AU"/>
              </w:rPr>
              <w:t>Total</w:t>
            </w:r>
          </w:p>
        </w:tc>
      </w:tr>
      <w:tr w:rsidR="000B5C96" w:rsidRPr="00E85003"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rPr>
                <w:rFonts w:asciiTheme="minorHAnsi" w:hAnsiTheme="minorHAnsi"/>
                <w:lang w:eastAsia="en-AU"/>
              </w:rPr>
            </w:pPr>
            <w:r w:rsidRPr="00E85003">
              <w:rPr>
                <w:rFonts w:asciiTheme="minorHAnsi" w:hAnsiTheme="minorHAnsi"/>
                <w:lang w:eastAsia="en-AU"/>
              </w:rPr>
              <w:t>Fiscal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E85003">
              <w:rPr>
                <w:rFonts w:asciiTheme="minorHAnsi" w:eastAsia="Calibri" w:hAnsiTheme="minorHAnsi"/>
                <w:lang w:eastAsia="en-AU"/>
              </w:rPr>
              <w:t>43.2</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E85003">
              <w:rPr>
                <w:rFonts w:asciiTheme="minorHAnsi" w:eastAsia="Calibri" w:hAnsiTheme="minorHAnsi"/>
                <w:lang w:eastAsia="en-AU"/>
              </w:rPr>
              <w:t>12.9</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E85003">
              <w:rPr>
                <w:rFonts w:asciiTheme="minorHAnsi" w:eastAsia="Calibri" w:hAnsiTheme="minorHAnsi"/>
                <w:lang w:eastAsia="en-AU"/>
              </w:rPr>
              <w:t>-1.0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lang w:eastAsia="en-AU"/>
              </w:rPr>
            </w:pPr>
            <w:r w:rsidRPr="00E85003">
              <w:rPr>
                <w:rFonts w:asciiTheme="minorHAnsi" w:eastAsia="Calibri" w:hAnsiTheme="minorHAnsi"/>
                <w:lang w:eastAsia="en-AU"/>
              </w:rPr>
              <w:t>-1.0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lang w:eastAsia="en-AU"/>
              </w:rPr>
            </w:pPr>
            <w:r w:rsidRPr="00E85003">
              <w:rPr>
                <w:rFonts w:asciiTheme="minorHAnsi" w:eastAsia="Calibri" w:hAnsiTheme="minorHAnsi"/>
                <w:b/>
                <w:lang w:eastAsia="en-AU"/>
              </w:rPr>
              <w:t>54.0</w:t>
            </w:r>
          </w:p>
        </w:tc>
      </w:tr>
      <w:tr w:rsidR="000B5C96" w:rsidRPr="00E85003"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rPr>
                <w:rFonts w:asciiTheme="minorHAnsi" w:hAnsiTheme="minorHAnsi"/>
                <w:lang w:eastAsia="en-AU"/>
              </w:rPr>
            </w:pPr>
            <w:r w:rsidRPr="00E85003">
              <w:rPr>
                <w:rFonts w:asciiTheme="minorHAnsi" w:hAnsiTheme="minorHAnsi"/>
                <w:lang w:eastAsia="en-AU"/>
              </w:rPr>
              <w:t>Underlying cash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E85003">
              <w:rPr>
                <w:rFonts w:asciiTheme="minorHAnsi" w:eastAsia="Calibri" w:hAnsiTheme="minorHAnsi"/>
                <w:lang w:eastAsia="en-AU"/>
              </w:rPr>
              <w:t>43.2</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E85003">
              <w:rPr>
                <w:rFonts w:asciiTheme="minorHAnsi" w:eastAsia="Calibri" w:hAnsiTheme="minorHAnsi"/>
                <w:lang w:eastAsia="en-AU"/>
              </w:rPr>
              <w:t>12.9</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E85003">
              <w:rPr>
                <w:rFonts w:asciiTheme="minorHAnsi" w:eastAsia="Calibri" w:hAnsiTheme="minorHAnsi"/>
                <w:lang w:eastAsia="en-AU"/>
              </w:rPr>
              <w:t>-1.0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E85003">
              <w:rPr>
                <w:rFonts w:asciiTheme="minorHAnsi" w:eastAsia="Calibri" w:hAnsiTheme="minorHAnsi"/>
                <w:lang w:eastAsia="en-AU"/>
              </w:rPr>
              <w:t>-1.0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E85003" w:rsidRDefault="000B5C96" w:rsidP="000B5C96">
            <w:pPr>
              <w:numPr>
                <w:ilvl w:val="0"/>
                <w:numId w:val="116"/>
              </w:num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E85003">
              <w:rPr>
                <w:rFonts w:asciiTheme="minorHAnsi" w:eastAsia="Calibri" w:hAnsiTheme="minorHAnsi"/>
                <w:b/>
                <w:lang w:eastAsia="en-AU"/>
              </w:rPr>
              <w:t>54.0</w:t>
            </w:r>
          </w:p>
        </w:tc>
      </w:tr>
    </w:tbl>
    <w:p w:rsidR="000B5C96" w:rsidRPr="00E85003" w:rsidRDefault="000B5C96" w:rsidP="00E54AEC">
      <w:pPr>
        <w:pStyle w:val="Footnotes"/>
        <w:numPr>
          <w:ilvl w:val="0"/>
          <w:numId w:val="305"/>
        </w:numPr>
        <w:ind w:left="284" w:hanging="284"/>
      </w:pPr>
      <w:r w:rsidRPr="00E85003">
        <w:t>A positive number represents an increase in the relevant budget balance, a negative number a decrease.</w:t>
      </w:r>
    </w:p>
    <w:p w:rsidR="000B5C96" w:rsidRPr="00E85003" w:rsidRDefault="000B5C96" w:rsidP="000B5C96">
      <w:pPr>
        <w:pStyle w:val="Footnotes"/>
        <w:numPr>
          <w:ilvl w:val="0"/>
          <w:numId w:val="7"/>
        </w:numPr>
        <w:ind w:left="284" w:hanging="284"/>
      </w:pPr>
      <w:r w:rsidRPr="00E85003">
        <w:t>Figures may not sum to totals due to rounding.</w:t>
      </w:r>
    </w:p>
    <w:p w:rsidR="000B5C96" w:rsidRPr="00E85003" w:rsidRDefault="000B5C96" w:rsidP="003F606A">
      <w:pPr>
        <w:pStyle w:val="CostingsH7"/>
      </w:pPr>
      <w:r w:rsidRPr="00E85003">
        <w:t>Key assumptions</w:t>
      </w:r>
    </w:p>
    <w:p w:rsidR="000B5C96" w:rsidRPr="00E85003" w:rsidRDefault="000B5C96" w:rsidP="003F606A">
      <w:pPr>
        <w:pStyle w:val="BodyText"/>
      </w:pPr>
      <w:r w:rsidRPr="00E85003">
        <w:t>The Parliamentary Budget Office has made the following assumptions regarding this proposal:</w:t>
      </w:r>
    </w:p>
    <w:p w:rsidR="000B5C96" w:rsidRPr="00E85003" w:rsidRDefault="000B5C96" w:rsidP="000B5C96">
      <w:pPr>
        <w:pStyle w:val="ListBullet"/>
        <w:numPr>
          <w:ilvl w:val="0"/>
          <w:numId w:val="123"/>
        </w:numPr>
        <w:ind w:left="454" w:hanging="454"/>
        <w:rPr>
          <w:lang w:eastAsia="en-AU"/>
        </w:rPr>
      </w:pPr>
      <w:r w:rsidRPr="00E85003">
        <w:rPr>
          <w:lang w:eastAsia="en-AU"/>
        </w:rPr>
        <w:t xml:space="preserve">For Component 1, it was assumed that funding for the 2016-17 Budget year would be spread evenly throughout the year to account for the 1 September 2016 start date. </w:t>
      </w:r>
    </w:p>
    <w:p w:rsidR="000B5C96" w:rsidRPr="00E85003" w:rsidRDefault="000B5C96" w:rsidP="000B5C96">
      <w:pPr>
        <w:pStyle w:val="ListBullet"/>
        <w:numPr>
          <w:ilvl w:val="0"/>
          <w:numId w:val="123"/>
        </w:numPr>
        <w:ind w:left="454" w:hanging="454"/>
        <w:rPr>
          <w:lang w:eastAsia="en-AU"/>
        </w:rPr>
      </w:pPr>
      <w:r w:rsidRPr="00E85003">
        <w:rPr>
          <w:lang w:eastAsia="en-AU"/>
        </w:rPr>
        <w:t xml:space="preserve">For component 2, it has been assumed that the introduction of a commissioner responsible for digital rights would be consistent with costs associated with the removal of the previous Disability Commissioner.  Support staff costs are assumed to be consistent with the National Wind Farm Commissioner. </w:t>
      </w:r>
    </w:p>
    <w:p w:rsidR="000B5C96" w:rsidRPr="00E85003" w:rsidRDefault="000B5C96" w:rsidP="003F606A">
      <w:pPr>
        <w:pStyle w:val="CostingsH7"/>
      </w:pPr>
      <w:r w:rsidRPr="00E85003">
        <w:t>Methodology</w:t>
      </w:r>
    </w:p>
    <w:p w:rsidR="000B5C96" w:rsidRDefault="000B5C96" w:rsidP="003F606A">
      <w:pPr>
        <w:pStyle w:val="BodyText"/>
      </w:pPr>
      <w:r w:rsidRPr="00E85003">
        <w:t>Estimates for Component 1 of the proposal are based on estimates provided by the Attorney-General’s Department relating to the implementation of mandatory telecommunications data retention.  The estimates provided by the Attorney-General’s Department were adjusted to allow for the proposal’s 1 September 2016 start date.</w:t>
      </w:r>
    </w:p>
    <w:p w:rsidR="000B5C96" w:rsidRDefault="000B5C96" w:rsidP="003F606A">
      <w:pPr>
        <w:pStyle w:val="CostingsH7"/>
      </w:pPr>
      <w:r>
        <w:t>Data sources</w:t>
      </w:r>
    </w:p>
    <w:p w:rsidR="000B5C96" w:rsidRDefault="000B5C96" w:rsidP="000B5C96">
      <w:pPr>
        <w:pStyle w:val="ListBullet"/>
        <w:numPr>
          <w:ilvl w:val="0"/>
          <w:numId w:val="123"/>
        </w:numPr>
        <w:ind w:left="454" w:hanging="454"/>
      </w:pPr>
      <w:r>
        <w:t>The Attorney-General’s Department provided cost estimates for the National Security Implementation of mandatory telecommunications data retention measure.</w:t>
      </w:r>
    </w:p>
    <w:p w:rsidR="000B5C96" w:rsidRDefault="000B5C96" w:rsidP="000B5C96">
      <w:pPr>
        <w:pStyle w:val="ListBullet"/>
        <w:numPr>
          <w:ilvl w:val="0"/>
          <w:numId w:val="123"/>
        </w:numPr>
        <w:ind w:left="454" w:hanging="454"/>
      </w:pPr>
      <w:r>
        <w:t>2015-16 Budget Paper No. 2, page 63.</w:t>
      </w:r>
    </w:p>
    <w:p w:rsidR="000B5C96" w:rsidRDefault="000B5C96" w:rsidP="000B5C96">
      <w:pPr>
        <w:pStyle w:val="ListBullet"/>
        <w:numPr>
          <w:ilvl w:val="0"/>
          <w:numId w:val="123"/>
        </w:numPr>
        <w:ind w:left="454" w:hanging="454"/>
        <w:sectPr w:rsidR="000B5C96" w:rsidSect="008430E8">
          <w:pgSz w:w="11907" w:h="16839" w:code="9"/>
          <w:pgMar w:top="1361" w:right="1797" w:bottom="1474" w:left="1797" w:header="283" w:footer="454" w:gutter="0"/>
          <w:cols w:space="708"/>
          <w:docGrid w:linePitch="360"/>
        </w:sectPr>
      </w:pPr>
      <w:r>
        <w:t>2014-15 Budget Paper No. 2, page 57.</w:t>
      </w:r>
    </w:p>
    <w:p w:rsidR="000B5C96" w:rsidRPr="00AE7CA6" w:rsidRDefault="000B5C96" w:rsidP="000B5C96">
      <w:pPr>
        <w:pStyle w:val="Heading6"/>
        <w:numPr>
          <w:ilvl w:val="0"/>
          <w:numId w:val="5"/>
        </w:numPr>
        <w:tabs>
          <w:tab w:val="right" w:pos="1418"/>
          <w:tab w:val="right" w:pos="1701"/>
          <w:tab w:val="right" w:pos="1985"/>
        </w:tabs>
      </w:pPr>
      <w:r w:rsidRPr="00AE7CA6">
        <w:t>Attachment A: Digital Rights: Abolish Data Retention—financial implications</w:t>
      </w:r>
    </w:p>
    <w:p w:rsidR="000B5C96" w:rsidRPr="00AE7CA6" w:rsidRDefault="000B5C96" w:rsidP="003F606A">
      <w:pPr>
        <w:pStyle w:val="Caption"/>
        <w:rPr>
          <w:vertAlign w:val="superscript"/>
        </w:rPr>
      </w:pPr>
      <w:r w:rsidRPr="00AE7CA6">
        <w:t>Table A1: Digital Rights: Abolish Data Retention—Financial implications (outturn prices)</w:t>
      </w:r>
      <w:r w:rsidRPr="00AE7CA6">
        <w:rPr>
          <w:vertAlign w:val="superscript"/>
        </w:rPr>
        <w:t>(a)(b)</w:t>
      </w:r>
    </w:p>
    <w:tbl>
      <w:tblPr>
        <w:tblStyle w:val="TableGrid63"/>
        <w:tblW w:w="4995" w:type="pct"/>
        <w:tblInd w:w="0" w:type="dxa"/>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AE7CA6"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hideMark/>
          </w:tcPr>
          <w:p w:rsidR="000B5C96" w:rsidRPr="00AE7CA6" w:rsidRDefault="000B5C96" w:rsidP="003F606A">
            <w:pPr>
              <w:keepNext/>
              <w:keepLines/>
              <w:spacing w:before="70" w:after="70" w:line="240" w:lineRule="auto"/>
              <w:rPr>
                <w:rFonts w:asciiTheme="minorHAnsi" w:eastAsia="Calibri" w:hAnsiTheme="minorHAnsi"/>
                <w:b/>
                <w:lang w:eastAsia="en-AU"/>
              </w:rPr>
            </w:pPr>
            <w:r w:rsidRPr="00AE7CA6">
              <w:rPr>
                <w:rFonts w:asciiTheme="minorHAnsi" w:eastAsia="Calibri" w:hAnsiTheme="minorHAnsi"/>
                <w:lang w:eastAsia="en-AU"/>
              </w:rPr>
              <w:t>($m)</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AE7CA6" w:rsidRDefault="000B5C96" w:rsidP="003F606A">
            <w:pPr>
              <w:keepNext/>
              <w:keepLines/>
              <w:spacing w:before="70" w:after="7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AE7CA6">
              <w:rPr>
                <w:rFonts w:asciiTheme="minorHAnsi" w:hAnsiTheme="minorHAnsi"/>
                <w:lang w:eastAsia="en-AU"/>
              </w:rPr>
              <w:t>2016–17</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AE7CA6" w:rsidRDefault="000B5C96" w:rsidP="003F606A">
            <w:pPr>
              <w:keepNext/>
              <w:keepLines/>
              <w:spacing w:before="70" w:after="7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AE7CA6">
              <w:rPr>
                <w:rFonts w:asciiTheme="minorHAnsi" w:hAnsiTheme="minorHAnsi"/>
                <w:lang w:eastAsia="en-AU"/>
              </w:rPr>
              <w:t>2017–18</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AE7CA6" w:rsidRDefault="000B5C96" w:rsidP="003F606A">
            <w:pPr>
              <w:keepNext/>
              <w:keepLines/>
              <w:spacing w:before="70" w:after="7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AE7CA6">
              <w:rPr>
                <w:rFonts w:asciiTheme="minorHAnsi" w:hAnsiTheme="minorHAnsi"/>
                <w:lang w:eastAsia="en-AU"/>
              </w:rPr>
              <w:t>2018–19</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AE7CA6" w:rsidRDefault="000B5C96" w:rsidP="003F606A">
            <w:pPr>
              <w:keepNext/>
              <w:keepLines/>
              <w:spacing w:before="70" w:after="7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lang w:eastAsia="en-AU"/>
              </w:rPr>
            </w:pPr>
            <w:r w:rsidRPr="00AE7CA6">
              <w:rPr>
                <w:rFonts w:asciiTheme="minorHAnsi" w:hAnsiTheme="minorHAnsi"/>
                <w:lang w:eastAsia="en-AU"/>
              </w:rPr>
              <w:t>2019–20</w:t>
            </w:r>
          </w:p>
        </w:tc>
        <w:tc>
          <w:tcPr>
            <w:tcW w:w="682" w:type="pct"/>
            <w:tcBorders>
              <w:top w:val="single" w:sz="4" w:space="0" w:color="788184"/>
              <w:left w:val="single" w:sz="4" w:space="0" w:color="788184"/>
              <w:bottom w:val="single" w:sz="4" w:space="0" w:color="788184"/>
              <w:right w:val="single" w:sz="4" w:space="0" w:color="788184"/>
            </w:tcBorders>
            <w:vAlign w:val="center"/>
            <w:hideMark/>
          </w:tcPr>
          <w:p w:rsidR="000B5C96" w:rsidRPr="00AE7CA6" w:rsidRDefault="000B5C96" w:rsidP="003F606A">
            <w:pPr>
              <w:keepNext/>
              <w:keepLines/>
              <w:spacing w:before="70" w:after="7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ertAlign w:val="superscript"/>
                <w:lang w:eastAsia="en-AU"/>
              </w:rPr>
            </w:pPr>
            <w:r w:rsidRPr="00AE7CA6">
              <w:rPr>
                <w:rFonts w:asciiTheme="minorHAnsi" w:hAnsiTheme="minorHAnsi"/>
                <w:b/>
                <w:lang w:eastAsia="en-AU"/>
              </w:rPr>
              <w:t>Total to 2019–20</w:t>
            </w:r>
          </w:p>
        </w:tc>
      </w:tr>
      <w:tr w:rsidR="000B5C96" w:rsidRPr="00AE7CA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hideMark/>
          </w:tcPr>
          <w:p w:rsidR="000B5C96" w:rsidRPr="00AE7CA6" w:rsidRDefault="000B5C96" w:rsidP="003F606A">
            <w:pPr>
              <w:keepNext/>
              <w:keepLines/>
              <w:spacing w:line="240" w:lineRule="auto"/>
              <w:rPr>
                <w:rFonts w:asciiTheme="minorHAnsi" w:hAnsiTheme="minorHAnsi"/>
                <w:b/>
                <w:lang w:eastAsia="en-AU"/>
              </w:rPr>
            </w:pPr>
            <w:r w:rsidRPr="00AE7CA6">
              <w:rPr>
                <w:rFonts w:asciiTheme="minorHAnsi" w:hAnsiTheme="minorHAnsi"/>
                <w:b/>
                <w:lang w:eastAsia="en-AU"/>
              </w:rPr>
              <w:t>Fiscal and underlying cash balances – expenses/outlays</w:t>
            </w:r>
          </w:p>
        </w:tc>
      </w:tr>
      <w:tr w:rsidR="000B5C96" w:rsidRPr="00AE7CA6"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keepNext/>
              <w:keepLines/>
              <w:spacing w:line="240" w:lineRule="auto"/>
              <w:rPr>
                <w:rFonts w:asciiTheme="minorHAnsi" w:hAnsiTheme="minorHAnsi"/>
                <w:b/>
                <w:lang w:eastAsia="en-AU"/>
              </w:rPr>
            </w:pPr>
            <w:r w:rsidRPr="00AE7CA6">
              <w:rPr>
                <w:rFonts w:asciiTheme="minorHAnsi" w:hAnsiTheme="minorHAnsi"/>
                <w:b/>
                <w:lang w:eastAsia="en-AU"/>
              </w:rPr>
              <w:t>Administered</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 xml:space="preserve"> 43.1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 xml:space="preserve"> 13.2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 xml:space="preserve"> -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 xml:space="preserve"> -   </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 xml:space="preserve"> 56.2 </w:t>
            </w:r>
          </w:p>
        </w:tc>
      </w:tr>
      <w:tr w:rsidR="000B5C96" w:rsidRPr="00AE7CA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keepNext/>
              <w:keepLines/>
              <w:spacing w:line="240" w:lineRule="auto"/>
              <w:rPr>
                <w:rFonts w:asciiTheme="minorHAnsi" w:hAnsiTheme="minorHAnsi"/>
                <w:i/>
                <w:lang w:eastAsia="en-AU"/>
              </w:rPr>
            </w:pPr>
            <w:r w:rsidRPr="00AE7CA6">
              <w:rPr>
                <w:rFonts w:asciiTheme="minorHAnsi" w:hAnsiTheme="minorHAnsi"/>
                <w:i/>
                <w:lang w:eastAsia="en-AU"/>
              </w:rPr>
              <w:t>Abolish Data Retention</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43.1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13.2</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
                <w:szCs w:val="20"/>
                <w:lang w:eastAsia="en-AU"/>
              </w:rPr>
            </w:pPr>
            <w:r w:rsidRPr="00AE7CA6">
              <w:rPr>
                <w:rFonts w:asciiTheme="minorHAnsi" w:eastAsia="Calibri" w:hAnsiTheme="minorHAnsi"/>
                <w:b/>
                <w:i/>
                <w:szCs w:val="20"/>
                <w:lang w:eastAsia="en-AU"/>
              </w:rPr>
              <w:t>56.2</w:t>
            </w:r>
          </w:p>
        </w:tc>
      </w:tr>
      <w:tr w:rsidR="000B5C96" w:rsidRPr="00AE7CA6"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keepNext/>
              <w:keepLines/>
              <w:spacing w:line="240" w:lineRule="auto"/>
              <w:rPr>
                <w:rFonts w:asciiTheme="minorHAnsi" w:hAnsiTheme="minorHAnsi"/>
                <w:b/>
                <w:lang w:eastAsia="en-AU"/>
              </w:rPr>
            </w:pPr>
            <w:r w:rsidRPr="00AE7CA6">
              <w:rPr>
                <w:rFonts w:asciiTheme="minorHAnsi" w:hAnsiTheme="minorHAnsi"/>
                <w:b/>
                <w:lang w:eastAsia="en-AU"/>
              </w:rPr>
              <w:t>Departmental</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0.1</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-0.3</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-2.2</w:t>
            </w:r>
          </w:p>
        </w:tc>
      </w:tr>
      <w:tr w:rsidR="000B5C96" w:rsidRPr="00AE7CA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keepNext/>
              <w:keepLines/>
              <w:spacing w:line="240" w:lineRule="auto"/>
              <w:rPr>
                <w:rFonts w:asciiTheme="minorHAnsi" w:hAnsiTheme="minorHAnsi"/>
                <w:i/>
                <w:lang w:eastAsia="en-AU"/>
              </w:rPr>
            </w:pPr>
            <w:r w:rsidRPr="00AE7CA6">
              <w:rPr>
                <w:rFonts w:asciiTheme="minorHAnsi" w:hAnsiTheme="minorHAnsi"/>
                <w:i/>
                <w:lang w:eastAsia="en-AU"/>
              </w:rPr>
              <w:t>Abolish Data Retention</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0.7</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0.6</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i/>
                <w:szCs w:val="20"/>
                <w:lang w:eastAsia="en-AU"/>
              </w:rPr>
            </w:pPr>
            <w:r w:rsidRPr="00AE7CA6">
              <w:rPr>
                <w:rFonts w:asciiTheme="minorHAnsi" w:eastAsia="Calibri" w:hAnsiTheme="minorHAnsi"/>
                <w:b/>
                <w:i/>
                <w:szCs w:val="20"/>
                <w:lang w:eastAsia="en-AU"/>
              </w:rPr>
              <w:t>1.3</w:t>
            </w:r>
          </w:p>
        </w:tc>
      </w:tr>
      <w:tr w:rsidR="000B5C96" w:rsidRPr="00AE7CA6"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keepNext/>
              <w:keepLines/>
              <w:spacing w:line="240" w:lineRule="auto"/>
              <w:rPr>
                <w:rFonts w:asciiTheme="minorHAnsi" w:hAnsiTheme="minorHAnsi"/>
                <w:i/>
                <w:lang w:eastAsia="en-AU"/>
              </w:rPr>
            </w:pPr>
            <w:r w:rsidRPr="00AE7CA6">
              <w:rPr>
                <w:rFonts w:asciiTheme="minorHAnsi" w:hAnsiTheme="minorHAnsi"/>
                <w:i/>
                <w:lang w:eastAsia="en-AU"/>
              </w:rPr>
              <w:t>Commissioner for digital rights</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-0.6</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-0.9</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Cs w:val="20"/>
                <w:lang w:eastAsia="en-AU"/>
              </w:rPr>
            </w:pPr>
            <w:r w:rsidRPr="00AE7CA6">
              <w:rPr>
                <w:rFonts w:asciiTheme="minorHAnsi" w:eastAsia="Calibri" w:hAnsiTheme="minorHAnsi"/>
                <w:i/>
                <w:szCs w:val="20"/>
                <w:lang w:eastAsia="en-AU"/>
              </w:rPr>
              <w:t>-1.0</w:t>
            </w:r>
          </w:p>
        </w:tc>
        <w:tc>
          <w:tcPr>
            <w:tcW w:w="682" w:type="pct"/>
            <w:tcBorders>
              <w:top w:val="single" w:sz="4" w:space="0" w:color="788184"/>
              <w:left w:val="single" w:sz="4" w:space="0" w:color="788184"/>
              <w:bottom w:val="single" w:sz="4" w:space="0" w:color="788184"/>
              <w:right w:val="single" w:sz="4" w:space="0" w:color="788184"/>
            </w:tcBorders>
            <w:hideMark/>
          </w:tcPr>
          <w:p w:rsidR="000B5C96" w:rsidRPr="00AE7CA6" w:rsidRDefault="000B5C96" w:rsidP="003F606A">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i/>
                <w:szCs w:val="20"/>
                <w:lang w:eastAsia="en-AU"/>
              </w:rPr>
            </w:pPr>
            <w:r w:rsidRPr="00AE7CA6">
              <w:rPr>
                <w:rFonts w:asciiTheme="minorHAnsi" w:eastAsia="Calibri" w:hAnsiTheme="minorHAnsi"/>
                <w:b/>
                <w:i/>
                <w:szCs w:val="20"/>
                <w:lang w:eastAsia="en-AU"/>
              </w:rPr>
              <w:t>-3.5</w:t>
            </w:r>
          </w:p>
        </w:tc>
      </w:tr>
      <w:tr w:rsidR="000B5C96" w:rsidRPr="00AE7CA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AE7CA6" w:rsidRDefault="000B5C96" w:rsidP="003F606A">
            <w:pPr>
              <w:keepNext/>
              <w:keepLines/>
              <w:spacing w:line="240" w:lineRule="auto"/>
              <w:rPr>
                <w:rFonts w:asciiTheme="minorHAnsi" w:hAnsiTheme="minorHAnsi"/>
                <w:b/>
                <w:lang w:eastAsia="en-AU"/>
              </w:rPr>
            </w:pPr>
            <w:r w:rsidRPr="00AE7CA6">
              <w:rPr>
                <w:rFonts w:asciiTheme="minorHAnsi" w:hAnsiTheme="minorHAnsi"/>
                <w:b/>
                <w:lang w:eastAsia="en-AU"/>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 xml:space="preserve"> 43.2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 xml:space="preserve"> 12.9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 xml:space="preserve"> -1.0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 xml:space="preserve"> -1.0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hideMark/>
          </w:tcPr>
          <w:p w:rsidR="000B5C96" w:rsidRPr="00AE7CA6" w:rsidRDefault="000B5C96" w:rsidP="003F606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szCs w:val="20"/>
                <w:lang w:eastAsia="en-AU"/>
              </w:rPr>
            </w:pPr>
            <w:r w:rsidRPr="00AE7CA6">
              <w:rPr>
                <w:rFonts w:asciiTheme="minorHAnsi" w:eastAsia="Calibri" w:hAnsiTheme="minorHAnsi"/>
                <w:b/>
                <w:szCs w:val="20"/>
                <w:lang w:eastAsia="en-AU"/>
              </w:rPr>
              <w:t xml:space="preserve"> 54.0 </w:t>
            </w:r>
          </w:p>
        </w:tc>
      </w:tr>
    </w:tbl>
    <w:p w:rsidR="000B5C96" w:rsidRDefault="000B5C96" w:rsidP="00E54AEC">
      <w:pPr>
        <w:pStyle w:val="Footnotes"/>
        <w:numPr>
          <w:ilvl w:val="0"/>
          <w:numId w:val="306"/>
        </w:numPr>
        <w:ind w:left="284" w:hanging="284"/>
      </w:pPr>
      <w:r w:rsidRPr="00AE7CA6">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AE7CA6" w:rsidRDefault="000B5C96" w:rsidP="000B5C96">
      <w:pPr>
        <w:pStyle w:val="Footnotes"/>
        <w:numPr>
          <w:ilvl w:val="0"/>
          <w:numId w:val="7"/>
        </w:numPr>
        <w:ind w:left="284" w:hanging="284"/>
      </w:pPr>
      <w:r w:rsidRPr="00AE7CA6">
        <w:t>Figures may not sum to totals due to rounding.</w:t>
      </w:r>
    </w:p>
    <w:p w:rsidR="000B5C96" w:rsidRPr="00AE7CA6" w:rsidRDefault="000B5C96" w:rsidP="000B5C96">
      <w:pPr>
        <w:pStyle w:val="Footnotes"/>
        <w:numPr>
          <w:ilvl w:val="0"/>
          <w:numId w:val="121"/>
        </w:numPr>
        <w:ind w:left="284" w:hanging="284"/>
      </w:pPr>
      <w:r w:rsidRPr="00AE7CA6">
        <w:tab/>
        <w:t>Indicates nil.</w:t>
      </w:r>
    </w:p>
    <w:p w:rsidR="000B5C96" w:rsidRPr="008A0AE1" w:rsidRDefault="000B5C96" w:rsidP="003F606A">
      <w:pPr>
        <w:pStyle w:val="BodyText"/>
      </w:pPr>
    </w:p>
    <w:p w:rsidR="000B5C96" w:rsidRDefault="000B5C96" w:rsidP="003F606A">
      <w:pPr>
        <w:pStyle w:val="Heading5"/>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07" w:name="_Toc458001983"/>
      <w:bookmarkStart w:id="208" w:name="_Toc458069468"/>
      <w:r>
        <w:t>GRN077: Removing Compulsory Income Management</w:t>
      </w:r>
      <w:bookmarkEnd w:id="207"/>
      <w:bookmarkEnd w:id="208"/>
    </w:p>
    <w:p w:rsidR="000B5C96" w:rsidRDefault="000B5C96" w:rsidP="003F606A">
      <w:pPr>
        <w:pStyle w:val="BodyText"/>
      </w:pPr>
      <w:r>
        <w:rPr>
          <w:noProof/>
          <w:lang w:eastAsia="en-AU"/>
        </w:rPr>
        <w:drawing>
          <wp:inline distT="0" distB="0" distL="0" distR="0" wp14:anchorId="496E97CA" wp14:editId="32C20876">
            <wp:extent cx="2696845" cy="572135"/>
            <wp:effectExtent l="0" t="0" r="8255" b="0"/>
            <wp:docPr id="488" name="Picture 48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Default="000B5C96" w:rsidP="000B5C96">
      <w:pPr>
        <w:pStyle w:val="Heading6"/>
        <w:numPr>
          <w:ilvl w:val="0"/>
          <w:numId w:val="5"/>
        </w:numPr>
        <w:tabs>
          <w:tab w:val="right" w:pos="1418"/>
          <w:tab w:val="right" w:pos="1701"/>
          <w:tab w:val="right" w:pos="1985"/>
        </w:tabs>
      </w:pPr>
      <w:r>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Name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Pr="00EA7F7A" w:rsidRDefault="000B5C96" w:rsidP="003F606A">
            <w:pPr>
              <w:pStyle w:val="PullOutBoxHeading"/>
              <w:rPr>
                <w:b/>
                <w:sz w:val="22"/>
              </w:rPr>
            </w:pPr>
            <w:r w:rsidRPr="00EA7F7A">
              <w:rPr>
                <w:b/>
                <w:sz w:val="22"/>
              </w:rPr>
              <w:t>Ending compulsory income management</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Summary of proposal:</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 xml:space="preserve">The proposal would, from 1 September 2016, remove all forms of compulsory income management while retaining infrastructure as needed for participants who undertake income management voluntarily.  </w:t>
            </w:r>
          </w:p>
          <w:p w:rsidR="000B5C96" w:rsidRDefault="000B5C96" w:rsidP="003F606A">
            <w:pPr>
              <w:pStyle w:val="PullOutBoxBodyText"/>
            </w:pPr>
            <w:r>
              <w:t>The proposal includes a communication campaign prior to 1 September 2016 to ensure individuals are aware that compulsory income management is ceasing.</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Person/party requesting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Senator Richard Di Natale, Australian Greens</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Date of public release of policy:</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 xml:space="preserve">24 June 2016 </w:t>
            </w:r>
          </w:p>
          <w:p w:rsidR="000B5C96" w:rsidRDefault="00E46526" w:rsidP="003F606A">
            <w:pPr>
              <w:pStyle w:val="PullOutBoxBodyText"/>
            </w:pPr>
            <w:hyperlink r:id="rId576" w:history="1">
              <w:r w:rsidR="000B5C96">
                <w:rPr>
                  <w:rStyle w:val="Hyperlink"/>
                </w:rPr>
                <w:t>http://rachel-siewert.greensmps.org.au/content/media-releases/greens-announce-plans-reverse-income-management</w:t>
              </w:r>
            </w:hyperlink>
            <w:r w:rsidR="000B5C96">
              <w:t xml:space="preserve"> </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Date costing request received: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1 July 2016</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Date costing completed:</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1 July 2016</w:t>
            </w:r>
          </w:p>
        </w:tc>
      </w:tr>
      <w:tr w:rsidR="000B5C96" w:rsidTr="003F606A">
        <w:tc>
          <w:tcPr>
            <w:tcW w:w="300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Expiry date for the costing:</w:t>
            </w:r>
          </w:p>
        </w:tc>
        <w:tc>
          <w:tcPr>
            <w:tcW w:w="5335" w:type="dxa"/>
            <w:tcBorders>
              <w:top w:val="single" w:sz="4" w:space="0" w:color="788182"/>
              <w:left w:val="single" w:sz="4" w:space="0" w:color="788182"/>
              <w:bottom w:val="single" w:sz="4" w:space="0" w:color="788182"/>
              <w:right w:val="single" w:sz="4" w:space="0" w:color="788182"/>
            </w:tcBorders>
            <w:hideMark/>
          </w:tcPr>
          <w:p w:rsidR="000B5C96" w:rsidRDefault="000B5C96" w:rsidP="003F606A">
            <w:pPr>
              <w:pStyle w:val="PullOutBoxBodyText"/>
            </w:pPr>
            <w:r>
              <w:t>Release of the next economic and fiscal outlook report</w:t>
            </w:r>
          </w:p>
        </w:tc>
      </w:tr>
    </w:tbl>
    <w:p w:rsidR="000B5C96" w:rsidRDefault="000B5C96" w:rsidP="003F606A">
      <w:pPr>
        <w:pStyle w:val="CostingsH7"/>
        <w:rPr>
          <w:rFonts w:cs="Times New Roman"/>
        </w:rPr>
      </w:pPr>
      <w:r>
        <w:t>Costing overview</w:t>
      </w:r>
    </w:p>
    <w:p w:rsidR="000B5C96" w:rsidRDefault="000B5C96" w:rsidP="003F606A">
      <w:pPr>
        <w:pStyle w:val="BodyText"/>
      </w:pPr>
      <w:r>
        <w:t xml:space="preserve">This proposal is expected to increase both the fiscal and underlying cash balances by $60 million over the 2016-17 Budget forward estimates period.  This impact reflects a decrease in departmental expenditure of $50 million and a decrease in administered expenditure of $10 million over this period.  A breakdown of the components of the costing is at </w:t>
      </w:r>
      <w:r>
        <w:rPr>
          <w:u w:val="single"/>
        </w:rPr>
        <w:t>Attachment A</w:t>
      </w:r>
      <w:r>
        <w:t>.</w:t>
      </w:r>
    </w:p>
    <w:p w:rsidR="000B5C96" w:rsidRDefault="000B5C96" w:rsidP="003F606A">
      <w:pPr>
        <w:pStyle w:val="BodyText"/>
        <w:rPr>
          <w:highlight w:val="yellow"/>
        </w:rPr>
      </w:pPr>
      <w:r>
        <w:t>This costing is considered to be of medium reliability.  Assumptions were made regarding the amount of funding that would need to be retained by the Department of Social Services and the Department of Human Services in order to continue income management trials for voluntary participants.</w:t>
      </w:r>
    </w:p>
    <w:p w:rsidR="000B5C96" w:rsidRPr="006F5824" w:rsidRDefault="000B5C96" w:rsidP="003F606A">
      <w:pPr>
        <w:pStyle w:val="Caption"/>
      </w:pPr>
      <w:r w:rsidRPr="006F5824">
        <w:t>Table 1: Financial implications (outturn prices)</w:t>
      </w:r>
      <w:r w:rsidRPr="006F5824">
        <w:rPr>
          <w:vertAlign w:val="superscript"/>
        </w:rPr>
        <w:t>(a)(b)</w:t>
      </w:r>
    </w:p>
    <w:tbl>
      <w:tblPr>
        <w:tblStyle w:val="TableGrid64"/>
        <w:tblW w:w="4993" w:type="pct"/>
        <w:tblInd w:w="0" w:type="dxa"/>
        <w:tblLook w:val="04A0" w:firstRow="1" w:lastRow="0" w:firstColumn="1" w:lastColumn="0" w:noHBand="0" w:noVBand="1"/>
      </w:tblPr>
      <w:tblGrid>
        <w:gridCol w:w="2645"/>
        <w:gridCol w:w="1134"/>
        <w:gridCol w:w="1133"/>
        <w:gridCol w:w="1133"/>
        <w:gridCol w:w="1133"/>
        <w:gridCol w:w="1132"/>
      </w:tblGrid>
      <w:tr w:rsidR="000B5C96" w:rsidRPr="006F5824"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spacing w:before="70" w:after="70"/>
              <w:ind w:left="113"/>
              <w:rPr>
                <w:rFonts w:asciiTheme="minorHAnsi" w:eastAsia="Calibri" w:hAnsiTheme="minorHAnsi"/>
                <w:lang w:eastAsia="en-AU"/>
              </w:rPr>
            </w:pPr>
            <w:r w:rsidRPr="006F5824">
              <w:rPr>
                <w:rFonts w:asciiTheme="minorHAnsi" w:eastAsia="Calibri" w:hAnsiTheme="minorHAnsi"/>
                <w:lang w:eastAsia="en-AU"/>
              </w:rPr>
              <w:t>Impact on ($m)</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spacing w:before="70" w:after="70"/>
              <w:ind w:left="11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6F5824">
              <w:rPr>
                <w:rFonts w:asciiTheme="minorHAnsi" w:eastAsia="Calibri" w:hAnsiTheme="minorHAnsi"/>
                <w:lang w:eastAsia="en-AU"/>
              </w:rPr>
              <w:t>2016–17</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spacing w:before="70" w:after="70"/>
              <w:ind w:left="11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6F5824">
              <w:rPr>
                <w:rFonts w:asciiTheme="minorHAnsi" w:eastAsia="Calibri" w:hAnsiTheme="minorHAnsi"/>
                <w:lang w:eastAsia="en-AU"/>
              </w:rPr>
              <w:t>2017–18</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spacing w:before="70" w:after="70"/>
              <w:ind w:left="11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6F5824">
              <w:rPr>
                <w:rFonts w:asciiTheme="minorHAnsi" w:eastAsia="Calibri" w:hAnsiTheme="minorHAnsi"/>
                <w:lang w:eastAsia="en-AU"/>
              </w:rPr>
              <w:t>2018–19</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spacing w:before="70" w:after="70"/>
              <w:ind w:left="11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eastAsia="en-AU"/>
              </w:rPr>
            </w:pPr>
            <w:r w:rsidRPr="006F5824">
              <w:rPr>
                <w:rFonts w:asciiTheme="minorHAnsi" w:eastAsia="Calibri" w:hAnsiTheme="minorHAnsi"/>
                <w:lang w:eastAsia="en-AU"/>
              </w:rPr>
              <w:t>2019–20</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spacing w:before="70" w:after="70"/>
              <w:ind w:left="113"/>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lang w:eastAsia="en-AU"/>
              </w:rPr>
            </w:pPr>
            <w:r w:rsidRPr="006F5824">
              <w:rPr>
                <w:rFonts w:asciiTheme="minorHAnsi" w:eastAsia="Calibri" w:hAnsiTheme="minorHAnsi"/>
                <w:b/>
                <w:lang w:eastAsia="en-AU"/>
              </w:rPr>
              <w:t>Total</w:t>
            </w:r>
          </w:p>
        </w:tc>
      </w:tr>
      <w:tr w:rsidR="000B5C96" w:rsidRPr="006F5824"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rPr>
                <w:rFonts w:asciiTheme="minorHAnsi" w:hAnsiTheme="minorHAnsi"/>
                <w:lang w:eastAsia="en-AU"/>
              </w:rPr>
            </w:pPr>
            <w:r w:rsidRPr="006F5824">
              <w:rPr>
                <w:rFonts w:asciiTheme="minorHAnsi" w:hAnsiTheme="minorHAnsi"/>
                <w:lang w:eastAsia="en-AU"/>
              </w:rPr>
              <w:t>Fiscal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6F5824">
              <w:rPr>
                <w:rFonts w:asciiTheme="minorHAnsi" w:hAnsiTheme="minorHAnsi"/>
                <w:szCs w:val="20"/>
                <w:lang w:eastAsia="en-AU"/>
              </w:rPr>
              <w:t>60.0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6F5824">
              <w:rPr>
                <w:rFonts w:asciiTheme="minorHAnsi" w:hAnsiTheme="minorHAnsi"/>
                <w:szCs w:val="20"/>
                <w:lang w:eastAsia="en-AU"/>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6F5824">
              <w:rPr>
                <w:rFonts w:asciiTheme="minorHAnsi" w:hAnsiTheme="minorHAnsi"/>
                <w:szCs w:val="20"/>
                <w:lang w:eastAsia="en-AU"/>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AU"/>
              </w:rPr>
            </w:pPr>
            <w:r w:rsidRPr="006F5824">
              <w:rPr>
                <w:rFonts w:asciiTheme="minorHAnsi" w:hAnsiTheme="minorHAnsi"/>
                <w:szCs w:val="20"/>
                <w:lang w:eastAsia="en-AU"/>
              </w:rPr>
              <w:t>-</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Cs w:val="20"/>
                <w:lang w:eastAsia="en-AU"/>
              </w:rPr>
            </w:pPr>
            <w:r w:rsidRPr="006F5824">
              <w:rPr>
                <w:rFonts w:asciiTheme="minorHAnsi" w:hAnsiTheme="minorHAnsi"/>
                <w:b/>
                <w:szCs w:val="20"/>
                <w:lang w:eastAsia="en-AU"/>
              </w:rPr>
              <w:t>60.0</w:t>
            </w:r>
          </w:p>
        </w:tc>
      </w:tr>
      <w:tr w:rsidR="000B5C96" w:rsidRPr="006F5824" w:rsidTr="003F606A">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rPr>
                <w:rFonts w:asciiTheme="minorHAnsi" w:hAnsiTheme="minorHAnsi"/>
                <w:lang w:eastAsia="en-AU"/>
              </w:rPr>
            </w:pPr>
            <w:r w:rsidRPr="006F5824">
              <w:rPr>
                <w:rFonts w:asciiTheme="minorHAnsi" w:hAnsiTheme="minorHAnsi"/>
                <w:lang w:eastAsia="en-AU"/>
              </w:rPr>
              <w:t>Underlying cash balance</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6F5824">
              <w:rPr>
                <w:rFonts w:asciiTheme="minorHAnsi" w:hAnsiTheme="minorHAnsi"/>
                <w:szCs w:val="20"/>
                <w:lang w:eastAsia="en-AU"/>
              </w:rPr>
              <w:t>60.0</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6F5824">
              <w:rPr>
                <w:rFonts w:asciiTheme="minorHAnsi" w:hAnsiTheme="minorHAnsi"/>
                <w:szCs w:val="20"/>
                <w:lang w:eastAsia="en-AU"/>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6F5824">
              <w:rPr>
                <w:rFonts w:asciiTheme="minorHAnsi" w:hAnsiTheme="minorHAnsi"/>
                <w:szCs w:val="20"/>
                <w:lang w:eastAsia="en-AU"/>
              </w:rPr>
              <w:t>-</w:t>
            </w:r>
          </w:p>
        </w:tc>
        <w:tc>
          <w:tcPr>
            <w:tcW w:w="682"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eastAsia="en-AU"/>
              </w:rPr>
            </w:pPr>
            <w:r w:rsidRPr="006F5824">
              <w:rPr>
                <w:rFonts w:asciiTheme="minorHAnsi" w:hAnsiTheme="minorHAnsi"/>
                <w:szCs w:val="20"/>
                <w:lang w:eastAsia="en-AU"/>
              </w:rPr>
              <w:t>-</w:t>
            </w:r>
          </w:p>
        </w:tc>
        <w:tc>
          <w:tcPr>
            <w:tcW w:w="681" w:type="pct"/>
            <w:tcBorders>
              <w:top w:val="single" w:sz="4" w:space="0" w:color="808080"/>
              <w:left w:val="single" w:sz="4" w:space="0" w:color="808080"/>
              <w:bottom w:val="single" w:sz="4" w:space="0" w:color="808080"/>
              <w:right w:val="single" w:sz="4" w:space="0" w:color="808080"/>
            </w:tcBorders>
            <w:hideMark/>
          </w:tcPr>
          <w:p w:rsidR="000B5C96" w:rsidRPr="006F5824" w:rsidRDefault="000B5C96" w:rsidP="000B5C96">
            <w:pPr>
              <w:numPr>
                <w:ilvl w:val="0"/>
                <w:numId w:val="116"/>
              </w:numPr>
              <w:ind w:left="113"/>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eastAsia="en-AU"/>
              </w:rPr>
            </w:pPr>
            <w:r w:rsidRPr="006F5824">
              <w:rPr>
                <w:rFonts w:asciiTheme="minorHAnsi" w:hAnsiTheme="minorHAnsi"/>
                <w:b/>
                <w:szCs w:val="20"/>
                <w:lang w:eastAsia="en-AU"/>
              </w:rPr>
              <w:t>60.0</w:t>
            </w:r>
          </w:p>
        </w:tc>
      </w:tr>
    </w:tbl>
    <w:p w:rsidR="000B5C96" w:rsidRPr="006F5824" w:rsidRDefault="000B5C96" w:rsidP="00E54AEC">
      <w:pPr>
        <w:pStyle w:val="Footnotes"/>
        <w:numPr>
          <w:ilvl w:val="0"/>
          <w:numId w:val="307"/>
        </w:numPr>
        <w:ind w:left="284" w:hanging="284"/>
      </w:pPr>
      <w:r w:rsidRPr="006F5824">
        <w:t>A positive number indicates an increase in the relevant budget balance, a negative number a decrease.</w:t>
      </w:r>
    </w:p>
    <w:p w:rsidR="000B5C96" w:rsidRPr="006F5824" w:rsidRDefault="000B5C96" w:rsidP="000B5C96">
      <w:pPr>
        <w:pStyle w:val="Footnotes"/>
        <w:numPr>
          <w:ilvl w:val="0"/>
          <w:numId w:val="7"/>
        </w:numPr>
        <w:ind w:left="284" w:hanging="284"/>
      </w:pPr>
      <w:r w:rsidRPr="006F5824">
        <w:t>Figures may not sum to totals due to rounding.</w:t>
      </w:r>
    </w:p>
    <w:p w:rsidR="000B5C96" w:rsidRPr="006F5824" w:rsidRDefault="000B5C96" w:rsidP="000B5C96">
      <w:pPr>
        <w:pStyle w:val="Footnotes"/>
        <w:numPr>
          <w:ilvl w:val="0"/>
          <w:numId w:val="121"/>
        </w:numPr>
        <w:ind w:left="284" w:hanging="284"/>
      </w:pPr>
      <w:r w:rsidRPr="006F5824">
        <w:t>Indicates nil.</w:t>
      </w:r>
    </w:p>
    <w:p w:rsidR="000B5C96" w:rsidRPr="006F5824" w:rsidRDefault="000B5C96" w:rsidP="003F606A">
      <w:pPr>
        <w:pStyle w:val="CostingsH7"/>
        <w:rPr>
          <w:rFonts w:eastAsia="Calibri"/>
        </w:rPr>
      </w:pPr>
      <w:r w:rsidRPr="006F5824">
        <w:rPr>
          <w:rFonts w:eastAsia="Calibri"/>
        </w:rPr>
        <w:t>Key assumptions</w:t>
      </w:r>
    </w:p>
    <w:p w:rsidR="000B5C96" w:rsidRPr="006F5824" w:rsidRDefault="000B5C96" w:rsidP="003F606A">
      <w:pPr>
        <w:pStyle w:val="BodyText"/>
      </w:pPr>
      <w:r w:rsidRPr="006F5824">
        <w:t xml:space="preserve">The Parliamentary Budget Office has assumed: </w:t>
      </w:r>
    </w:p>
    <w:p w:rsidR="000B5C96" w:rsidRPr="006F5824" w:rsidRDefault="000B5C96" w:rsidP="000B5C96">
      <w:pPr>
        <w:pStyle w:val="ListBullet"/>
        <w:numPr>
          <w:ilvl w:val="0"/>
          <w:numId w:val="123"/>
        </w:numPr>
        <w:ind w:left="454" w:hanging="454"/>
      </w:pPr>
      <w:r w:rsidRPr="006F5824">
        <w:t xml:space="preserve">The cost of the cashless debit card for income management for all trial sites would be largely related to infrastructure that would need to be retained in order to maintain arrangements for voluntary participants.  </w:t>
      </w:r>
    </w:p>
    <w:p w:rsidR="000B5C96" w:rsidRPr="006F5824" w:rsidRDefault="000B5C96" w:rsidP="000B5C96">
      <w:pPr>
        <w:pStyle w:val="ListBullet"/>
        <w:numPr>
          <w:ilvl w:val="0"/>
          <w:numId w:val="123"/>
        </w:numPr>
        <w:ind w:left="454" w:hanging="454"/>
      </w:pPr>
      <w:r w:rsidRPr="006F5824">
        <w:t>No further funding would be made available to continue income management trials once current funding ends in 2016</w:t>
      </w:r>
      <w:r w:rsidRPr="006F5824">
        <w:noBreakHyphen/>
        <w:t>17.</w:t>
      </w:r>
    </w:p>
    <w:p w:rsidR="000B5C96" w:rsidRPr="006F5824" w:rsidRDefault="000B5C96" w:rsidP="003F606A">
      <w:pPr>
        <w:pStyle w:val="CostingsH7"/>
        <w:rPr>
          <w:rFonts w:eastAsia="Calibri"/>
        </w:rPr>
      </w:pPr>
      <w:r w:rsidRPr="006F5824">
        <w:rPr>
          <w:rFonts w:eastAsia="Calibri"/>
        </w:rPr>
        <w:t>Methodology</w:t>
      </w:r>
    </w:p>
    <w:p w:rsidR="000B5C96" w:rsidRPr="006F5824" w:rsidRDefault="000B5C96" w:rsidP="003F606A">
      <w:pPr>
        <w:pStyle w:val="BodyText"/>
      </w:pPr>
      <w:r w:rsidRPr="006F5824">
        <w:t>The total cost of income management, excluding the cost of the cashless debit card, was sourced from Budget measures extending funding for income management until the end of 2016-17.  To isolate the saving due to the removal of compulsory income management, this amount was reduced by the proportion of voluntary income management participants to all income management participants.</w:t>
      </w:r>
    </w:p>
    <w:p w:rsidR="000B5C96" w:rsidRPr="006F5824" w:rsidRDefault="000B5C96" w:rsidP="003F606A">
      <w:pPr>
        <w:pStyle w:val="BodyText"/>
      </w:pPr>
      <w:r w:rsidRPr="006F5824">
        <w:t>This costing does not include any ongoing financial implications of retaining voluntary income management trials beyond 2016-17 as this is not currently factored into the budget baseline.</w:t>
      </w:r>
    </w:p>
    <w:p w:rsidR="000B5C96" w:rsidRPr="006F5824" w:rsidRDefault="000B5C96" w:rsidP="003F606A">
      <w:pPr>
        <w:pStyle w:val="BodyText"/>
      </w:pPr>
      <w:r w:rsidRPr="006F5824">
        <w:t xml:space="preserve">The cost of the communication campaign ($5 million in 2016-17) was based on the 2016-17 Budget measure, </w:t>
      </w:r>
      <w:r w:rsidRPr="006F5824">
        <w:rPr>
          <w:i/>
        </w:rPr>
        <w:t>Vocational Education and Training – information campaign</w:t>
      </w:r>
      <w:r w:rsidRPr="006F5824">
        <w:t>.</w:t>
      </w:r>
    </w:p>
    <w:p w:rsidR="000B5C96" w:rsidRPr="006F5824" w:rsidRDefault="000B5C96" w:rsidP="003F606A">
      <w:pPr>
        <w:pStyle w:val="CostingsH7"/>
        <w:rPr>
          <w:rFonts w:eastAsia="Calibri"/>
        </w:rPr>
      </w:pPr>
      <w:r w:rsidRPr="006F5824">
        <w:rPr>
          <w:rFonts w:eastAsia="Calibri"/>
        </w:rPr>
        <w:t>Data sources</w:t>
      </w:r>
    </w:p>
    <w:p w:rsidR="000B5C96" w:rsidRPr="00D33A12" w:rsidRDefault="000B5C96" w:rsidP="000B5C96">
      <w:pPr>
        <w:pStyle w:val="ListBullet"/>
        <w:numPr>
          <w:ilvl w:val="0"/>
          <w:numId w:val="123"/>
        </w:numPr>
        <w:ind w:left="454" w:hanging="454"/>
        <w:rPr>
          <w:lang w:eastAsia="en-AU"/>
        </w:rPr>
      </w:pPr>
      <w:r w:rsidRPr="00D33A12">
        <w:rPr>
          <w:lang w:eastAsia="en-AU"/>
        </w:rPr>
        <w:t>Data from the Central Budget Management System provided by the Department of Finance.</w:t>
      </w:r>
    </w:p>
    <w:p w:rsidR="000B5C96" w:rsidRPr="00D33A12" w:rsidRDefault="000B5C96" w:rsidP="000B5C96">
      <w:pPr>
        <w:pStyle w:val="ListBullet"/>
        <w:numPr>
          <w:ilvl w:val="0"/>
          <w:numId w:val="123"/>
        </w:numPr>
        <w:ind w:left="454" w:hanging="454"/>
        <w:rPr>
          <w:lang w:eastAsia="en-AU"/>
        </w:rPr>
      </w:pPr>
      <w:r w:rsidRPr="00D33A12">
        <w:rPr>
          <w:i/>
          <w:lang w:eastAsia="en-AU"/>
        </w:rPr>
        <w:t xml:space="preserve">Income Management Summary </w:t>
      </w:r>
      <w:r w:rsidRPr="00D33A12">
        <w:rPr>
          <w:lang w:eastAsia="en-AU"/>
        </w:rPr>
        <w:t xml:space="preserve">as at 1 January 2016 available from the Department of Social Services at </w:t>
      </w:r>
      <w:hyperlink r:id="rId577" w:history="1">
        <w:r w:rsidRPr="00D33A12">
          <w:rPr>
            <w:color w:val="0000FF"/>
            <w:u w:val="single"/>
            <w:lang w:eastAsia="en-AU"/>
          </w:rPr>
          <w:t>http://data.gov.au/dataset/income-management-summary-data</w:t>
        </w:r>
      </w:hyperlink>
      <w:r w:rsidRPr="00D33A12">
        <w:rPr>
          <w:lang w:eastAsia="en-AU"/>
        </w:rPr>
        <w:t xml:space="preserve">. </w:t>
      </w:r>
    </w:p>
    <w:p w:rsidR="000B5C96" w:rsidRPr="00D33A12" w:rsidRDefault="000B5C96" w:rsidP="000B5C96">
      <w:pPr>
        <w:pStyle w:val="ListBullet"/>
        <w:numPr>
          <w:ilvl w:val="0"/>
          <w:numId w:val="123"/>
        </w:numPr>
        <w:ind w:left="454" w:hanging="454"/>
        <w:rPr>
          <w:lang w:eastAsia="en-AU"/>
        </w:rPr>
      </w:pPr>
      <w:r w:rsidRPr="00D33A12">
        <w:rPr>
          <w:lang w:eastAsia="en-AU"/>
        </w:rPr>
        <w:t xml:space="preserve">This costing is based on the </w:t>
      </w:r>
      <w:r w:rsidRPr="00D33A12">
        <w:rPr>
          <w:i/>
          <w:lang w:eastAsia="en-AU"/>
        </w:rPr>
        <w:t>Financial counselling, capability and resilience services in income management locations – continuation</w:t>
      </w:r>
      <w:r w:rsidRPr="00D33A12">
        <w:rPr>
          <w:lang w:eastAsia="en-AU"/>
        </w:rPr>
        <w:t xml:space="preserve"> and </w:t>
      </w:r>
      <w:r w:rsidRPr="00D33A12">
        <w:rPr>
          <w:i/>
          <w:lang w:eastAsia="en-AU"/>
        </w:rPr>
        <w:t>Income management – two year extension</w:t>
      </w:r>
      <w:r w:rsidRPr="00D33A12">
        <w:rPr>
          <w:lang w:eastAsia="en-AU"/>
        </w:rPr>
        <w:t xml:space="preserve"> measures from the 2015</w:t>
      </w:r>
      <w:r w:rsidRPr="00D33A12">
        <w:rPr>
          <w:lang w:eastAsia="en-AU"/>
        </w:rPr>
        <w:noBreakHyphen/>
        <w:t>16 Budget.</w:t>
      </w:r>
    </w:p>
    <w:p w:rsidR="000B5C96" w:rsidRPr="006F5824" w:rsidRDefault="000B5C96" w:rsidP="000B5C96">
      <w:pPr>
        <w:pStyle w:val="ListBullet"/>
        <w:numPr>
          <w:ilvl w:val="0"/>
          <w:numId w:val="123"/>
        </w:numPr>
        <w:ind w:left="454" w:hanging="454"/>
        <w:rPr>
          <w:rFonts w:eastAsia="Calibri"/>
          <w:highlight w:val="yellow"/>
        </w:rPr>
        <w:sectPr w:rsidR="000B5C96" w:rsidRPr="006F5824">
          <w:pgSz w:w="11906" w:h="16838"/>
          <w:pgMar w:top="1361" w:right="1797" w:bottom="1474" w:left="1797" w:header="709" w:footer="709" w:gutter="0"/>
          <w:cols w:space="720"/>
        </w:sectPr>
      </w:pPr>
    </w:p>
    <w:p w:rsidR="000B5C96" w:rsidRPr="00D33A12" w:rsidRDefault="000B5C96" w:rsidP="000B5C96">
      <w:pPr>
        <w:pStyle w:val="Heading6"/>
        <w:numPr>
          <w:ilvl w:val="0"/>
          <w:numId w:val="5"/>
        </w:numPr>
        <w:tabs>
          <w:tab w:val="right" w:pos="1418"/>
          <w:tab w:val="right" w:pos="1701"/>
          <w:tab w:val="right" w:pos="1985"/>
        </w:tabs>
      </w:pPr>
      <w:r w:rsidRPr="00D33A12">
        <w:t>Attachment A: Reversing compulsory income management—financial implications</w:t>
      </w:r>
    </w:p>
    <w:p w:rsidR="000B5C96" w:rsidRPr="00D33A12" w:rsidRDefault="000B5C96" w:rsidP="003F606A">
      <w:pPr>
        <w:pStyle w:val="Caption"/>
        <w:rPr>
          <w:vertAlign w:val="superscript"/>
        </w:rPr>
      </w:pPr>
      <w:r w:rsidRPr="00D33A12">
        <w:t>Table A1: Reversing compulsory income management—Financial implications (outturn prices)</w:t>
      </w:r>
      <w:r w:rsidRPr="00D33A12">
        <w:rPr>
          <w:vertAlign w:val="superscript"/>
        </w:rPr>
        <w:t>(a)(b)</w:t>
      </w:r>
    </w:p>
    <w:tbl>
      <w:tblPr>
        <w:tblStyle w:val="TableGrid65"/>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D33A12"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D33A12" w:rsidRDefault="000B5C96" w:rsidP="003F606A">
            <w:pPr>
              <w:keepNext/>
              <w:keepLines/>
              <w:rPr>
                <w:b/>
                <w:szCs w:val="20"/>
              </w:rPr>
            </w:pPr>
            <w:r w:rsidRPr="00D33A12">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D33A1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rPr>
            </w:pPr>
            <w:r w:rsidRPr="00D33A12">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D33A1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rPr>
            </w:pPr>
            <w:r w:rsidRPr="00D33A12">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D33A1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rPr>
            </w:pPr>
            <w:r w:rsidRPr="00D33A12">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D33A1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rPr>
            </w:pPr>
            <w:r w:rsidRPr="00D33A12">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D33A12" w:rsidRDefault="000B5C96" w:rsidP="003F606A">
            <w:pPr>
              <w:keepNext/>
              <w:keepLines/>
              <w:ind w:left="85" w:right="85"/>
              <w:cnfStyle w:val="100000000000" w:firstRow="1" w:lastRow="0" w:firstColumn="0" w:lastColumn="0" w:oddVBand="0" w:evenVBand="0" w:oddHBand="0" w:evenHBand="0" w:firstRowFirstColumn="0" w:firstRowLastColumn="0" w:lastRowFirstColumn="0" w:lastRowLastColumn="0"/>
              <w:rPr>
                <w:b/>
                <w:szCs w:val="20"/>
                <w:vertAlign w:val="superscript"/>
              </w:rPr>
            </w:pPr>
            <w:r w:rsidRPr="00D33A12">
              <w:rPr>
                <w:b/>
              </w:rPr>
              <w:t>Total</w:t>
            </w:r>
            <w:r w:rsidRPr="00D33A12">
              <w:rPr>
                <w:b/>
                <w:szCs w:val="20"/>
              </w:rPr>
              <w:t xml:space="preserve"> to 2019–20</w:t>
            </w:r>
          </w:p>
        </w:tc>
      </w:tr>
      <w:tr w:rsidR="000B5C96" w:rsidRPr="00D33A1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D33A12" w:rsidRDefault="000B5C96" w:rsidP="003F606A">
            <w:pPr>
              <w:keepNext/>
              <w:keepLines/>
              <w:ind w:left="85" w:right="85"/>
              <w:rPr>
                <w:b/>
              </w:rPr>
            </w:pPr>
            <w:r w:rsidRPr="00D33A12">
              <w:rPr>
                <w:b/>
              </w:rPr>
              <w:t>Impact on fiscal and underlying cash balances</w:t>
            </w:r>
          </w:p>
        </w:tc>
      </w:tr>
      <w:tr w:rsidR="000B5C96" w:rsidRPr="00D33A12"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keepNext/>
              <w:keepLines/>
              <w:rPr>
                <w:szCs w:val="20"/>
              </w:rPr>
            </w:pPr>
            <w:r w:rsidRPr="00D33A12">
              <w:rPr>
                <w:szCs w:val="20"/>
              </w:rPr>
              <w:t>Department of Social Services – 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33A12">
              <w:rPr>
                <w:rFonts w:ascii="Calibri" w:hAnsi="Calibri"/>
              </w:rPr>
              <w:t>10.0</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33A12">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33A12">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33A12">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33A12">
              <w:rPr>
                <w:rFonts w:ascii="Calibri" w:hAnsi="Calibri"/>
                <w:b/>
              </w:rPr>
              <w:t>10.0</w:t>
            </w:r>
          </w:p>
        </w:tc>
      </w:tr>
      <w:tr w:rsidR="000B5C96" w:rsidRPr="00D33A1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keepNext/>
              <w:keepLines/>
              <w:rPr>
                <w:szCs w:val="20"/>
              </w:rPr>
            </w:pPr>
            <w:r w:rsidRPr="00D33A12">
              <w:rPr>
                <w:szCs w:val="20"/>
              </w:rPr>
              <w:t>Department of Social Services – 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D33A12">
              <w:rPr>
                <w:rFonts w:ascii="Calibri" w:hAnsi="Calibri"/>
              </w:rPr>
              <w:t>5.0</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D33A12">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D33A12">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D33A12">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33A12">
              <w:rPr>
                <w:rFonts w:ascii="Calibri" w:hAnsi="Calibri"/>
                <w:b/>
              </w:rPr>
              <w:t>5.0</w:t>
            </w:r>
          </w:p>
        </w:tc>
      </w:tr>
      <w:tr w:rsidR="000B5C96" w:rsidRPr="00D33A12"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keepNext/>
              <w:keepLines/>
              <w:rPr>
                <w:szCs w:val="20"/>
              </w:rPr>
            </w:pPr>
            <w:r w:rsidRPr="00D33A12">
              <w:rPr>
                <w:szCs w:val="20"/>
              </w:rPr>
              <w:t>Department of Human Services – departmental</w:t>
            </w:r>
            <w:r w:rsidRPr="00D33A12">
              <w:rPr>
                <w:szCs w:val="20"/>
                <w:vertAlign w:val="superscript"/>
              </w:rPr>
              <w:t xml:space="preserve">(c) </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33A12">
              <w:rPr>
                <w:rFonts w:ascii="Calibri" w:hAnsi="Calibri"/>
              </w:rPr>
              <w:t>45.0</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33A12">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33A12">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D33A12">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D33A1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33A12">
              <w:rPr>
                <w:rFonts w:ascii="Calibri" w:hAnsi="Calibri"/>
                <w:b/>
              </w:rPr>
              <w:t>45.0</w:t>
            </w:r>
          </w:p>
        </w:tc>
      </w:tr>
      <w:tr w:rsidR="000B5C96" w:rsidRPr="00D33A1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D33A12" w:rsidRDefault="000B5C96" w:rsidP="003F606A">
            <w:pPr>
              <w:keepNext/>
              <w:keepLines/>
              <w:rPr>
                <w:b/>
                <w:szCs w:val="20"/>
              </w:rPr>
            </w:pPr>
            <w:r w:rsidRPr="00D33A12">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D33A1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33A12">
              <w:rPr>
                <w:rFonts w:ascii="Calibri" w:hAnsi="Calibri"/>
                <w:b/>
              </w:rPr>
              <w:t>60.0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D33A1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33A12">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D33A1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33A12">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D33A1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33A12">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D33A1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33A12">
              <w:rPr>
                <w:rFonts w:ascii="Calibri" w:hAnsi="Calibri"/>
                <w:b/>
              </w:rPr>
              <w:t>60.0</w:t>
            </w:r>
          </w:p>
        </w:tc>
      </w:tr>
    </w:tbl>
    <w:p w:rsidR="000B5C96" w:rsidRPr="00D33A12" w:rsidRDefault="000B5C96" w:rsidP="00E54AEC">
      <w:pPr>
        <w:pStyle w:val="Footnotes"/>
        <w:numPr>
          <w:ilvl w:val="0"/>
          <w:numId w:val="308"/>
        </w:numPr>
        <w:ind w:left="284" w:hanging="284"/>
      </w:pPr>
      <w:r w:rsidRPr="00D33A12">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D33A12" w:rsidRDefault="000B5C96" w:rsidP="000B5C96">
      <w:pPr>
        <w:pStyle w:val="Footnotes"/>
        <w:numPr>
          <w:ilvl w:val="0"/>
          <w:numId w:val="7"/>
        </w:numPr>
        <w:ind w:left="284" w:hanging="284"/>
      </w:pPr>
      <w:r w:rsidRPr="00D33A12">
        <w:t>Figures may not sum to totals due to rounding.</w:t>
      </w:r>
    </w:p>
    <w:p w:rsidR="000B5C96" w:rsidRPr="00D33A12" w:rsidRDefault="000B5C96" w:rsidP="000B5C96">
      <w:pPr>
        <w:pStyle w:val="Footnotes"/>
        <w:numPr>
          <w:ilvl w:val="0"/>
          <w:numId w:val="7"/>
        </w:numPr>
        <w:ind w:left="284" w:hanging="284"/>
      </w:pPr>
      <w:r w:rsidRPr="00D33A12">
        <w:t>Reflects savings of $50 million related to ending compulsory income management partially offset by increased advertising expenditure of $5 million.</w:t>
      </w:r>
    </w:p>
    <w:p w:rsidR="000B5C96" w:rsidRPr="00D33A12" w:rsidRDefault="000B5C96" w:rsidP="000B5C96">
      <w:pPr>
        <w:pStyle w:val="Footnotes"/>
        <w:numPr>
          <w:ilvl w:val="0"/>
          <w:numId w:val="121"/>
        </w:numPr>
        <w:ind w:left="284" w:hanging="284"/>
      </w:pPr>
      <w:r w:rsidRPr="00D33A12">
        <w:t>Indicates nil.</w:t>
      </w:r>
    </w:p>
    <w:p w:rsidR="000B5C96" w:rsidRPr="00D33A12" w:rsidRDefault="000B5C96" w:rsidP="003F606A">
      <w:pPr>
        <w:spacing w:before="113" w:line="260" w:lineRule="atLeast"/>
        <w:ind w:left="284" w:hanging="284"/>
        <w:rPr>
          <w:rFonts w:ascii="Calibri" w:eastAsia="Calibri" w:hAnsi="Calibri" w:cs="Times New Roman"/>
          <w:sz w:val="20"/>
          <w:szCs w:val="20"/>
        </w:rPr>
      </w:pPr>
    </w:p>
    <w:p w:rsidR="000B5C96" w:rsidRPr="006F5824" w:rsidRDefault="000B5C96" w:rsidP="003F606A">
      <w:pPr>
        <w:pStyle w:val="BodyText"/>
        <w:sectPr w:rsidR="000B5C96" w:rsidRPr="006F5824"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09" w:name="_Toc458001984"/>
      <w:bookmarkStart w:id="210" w:name="_Toc458069469"/>
      <w:r>
        <w:t>GRN078: Public and Community Housing Supply Boost</w:t>
      </w:r>
      <w:bookmarkEnd w:id="209"/>
      <w:bookmarkEnd w:id="210"/>
    </w:p>
    <w:p w:rsidR="000B5C96" w:rsidRDefault="000B5C96" w:rsidP="003F606A">
      <w:pPr>
        <w:pStyle w:val="BodyText"/>
      </w:pPr>
      <w:r>
        <w:rPr>
          <w:noProof/>
          <w:lang w:eastAsia="en-AU"/>
        </w:rPr>
        <w:drawing>
          <wp:inline distT="0" distB="0" distL="0" distR="0" wp14:anchorId="58CB55CE" wp14:editId="0BA7AFDB">
            <wp:extent cx="2696845" cy="572135"/>
            <wp:effectExtent l="0" t="0" r="8255" b="0"/>
            <wp:docPr id="489" name="Picture 48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4B176E" w:rsidRDefault="000B5C96" w:rsidP="000B5C96">
      <w:pPr>
        <w:pStyle w:val="Heading6"/>
        <w:numPr>
          <w:ilvl w:val="0"/>
          <w:numId w:val="5"/>
        </w:numPr>
        <w:tabs>
          <w:tab w:val="right" w:pos="1418"/>
          <w:tab w:val="right" w:pos="1701"/>
          <w:tab w:val="right" w:pos="1985"/>
        </w:tabs>
      </w:pPr>
      <w:r w:rsidRPr="004B176E">
        <w:t>Policy costing—2016 post-election report</w:t>
      </w:r>
    </w:p>
    <w:tbl>
      <w:tblPr>
        <w:tblStyle w:val="Style113"/>
        <w:tblW w:w="5000" w:type="pct"/>
        <w:tblLook w:val="04A0" w:firstRow="1" w:lastRow="0" w:firstColumn="1" w:lastColumn="0" w:noHBand="0" w:noVBand="1"/>
      </w:tblPr>
      <w:tblGrid>
        <w:gridCol w:w="3081"/>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rPr>
            </w:pPr>
            <w:r w:rsidRPr="00EA7F7A">
              <w:rPr>
                <w:b/>
              </w:rPr>
              <w:t>Name of proposal:</w:t>
            </w:r>
          </w:p>
        </w:tc>
        <w:tc>
          <w:tcPr>
            <w:tcW w:w="3194" w:type="pct"/>
          </w:tcPr>
          <w:p w:rsidR="000B5C96" w:rsidRPr="00EA7F7A" w:rsidRDefault="000B5C96" w:rsidP="003F606A">
            <w:pPr>
              <w:pStyle w:val="PullOutBoxHeading"/>
              <w:rPr>
                <w:b/>
              </w:rPr>
            </w:pPr>
            <w:r w:rsidRPr="00EA7F7A">
              <w:rPr>
                <w:b/>
              </w:rPr>
              <w:t>Public and Community Housing Supply Boost</w:t>
            </w:r>
          </w:p>
        </w:tc>
      </w:tr>
      <w:tr w:rsidR="000B5C96" w:rsidRPr="004B176E" w:rsidTr="003F606A">
        <w:tc>
          <w:tcPr>
            <w:tcW w:w="1806" w:type="pct"/>
          </w:tcPr>
          <w:p w:rsidR="000B5C96" w:rsidRPr="004B176E" w:rsidRDefault="000B5C96" w:rsidP="003F606A">
            <w:pPr>
              <w:pStyle w:val="PullOutBoxBodyText"/>
            </w:pPr>
            <w:r w:rsidRPr="004B176E">
              <w:t>Summary of proposal:</w:t>
            </w:r>
          </w:p>
        </w:tc>
        <w:tc>
          <w:tcPr>
            <w:tcW w:w="3194" w:type="pct"/>
          </w:tcPr>
          <w:p w:rsidR="000B5C96" w:rsidRPr="004B176E" w:rsidRDefault="000B5C96" w:rsidP="003F606A">
            <w:pPr>
              <w:pStyle w:val="PullOutBoxBodyText"/>
            </w:pPr>
            <w:r w:rsidRPr="004B176E">
              <w:t>The proposal would provide capped funding for 13,000 new dwellings each year for 10 years as follows:</w:t>
            </w:r>
          </w:p>
          <w:p w:rsidR="000B5C96" w:rsidRPr="008E2B8B" w:rsidRDefault="000B5C96" w:rsidP="000B5C96">
            <w:pPr>
              <w:pStyle w:val="PullOutBoxBullet"/>
              <w:numPr>
                <w:ilvl w:val="0"/>
                <w:numId w:val="2"/>
              </w:numPr>
              <w:ind w:left="397"/>
              <w:rPr>
                <w:lang w:eastAsia="en-AU"/>
              </w:rPr>
            </w:pPr>
            <w:r w:rsidRPr="008E2B8B">
              <w:rPr>
                <w:lang w:eastAsia="en-AU"/>
              </w:rPr>
              <w:t>Funding for 50 per cent of the new dwellings would be at a cost of $350,000 per home.</w:t>
            </w:r>
          </w:p>
          <w:p w:rsidR="000B5C96" w:rsidRPr="008E2B8B" w:rsidRDefault="000B5C96" w:rsidP="000B5C96">
            <w:pPr>
              <w:pStyle w:val="PullOutBoxBullet"/>
              <w:numPr>
                <w:ilvl w:val="0"/>
                <w:numId w:val="2"/>
              </w:numPr>
              <w:ind w:left="397"/>
              <w:rPr>
                <w:lang w:eastAsia="en-AU"/>
              </w:rPr>
            </w:pPr>
            <w:r w:rsidRPr="008E2B8B">
              <w:rPr>
                <w:lang w:eastAsia="en-AU"/>
              </w:rPr>
              <w:t>Funding for the remaining 50 per cent of the new dwellings would be at a cost of $150,000 per home.</w:t>
            </w:r>
          </w:p>
          <w:p w:rsidR="000B5C96" w:rsidRPr="004B176E" w:rsidRDefault="000B5C96" w:rsidP="003F606A">
            <w:pPr>
              <w:pStyle w:val="PullOutBoxBodyText"/>
            </w:pPr>
            <w:r w:rsidRPr="004B176E">
              <w:t>The states and territories would co-fund half of the required funding and the Commonwealth would contribute the other half.</w:t>
            </w:r>
          </w:p>
          <w:p w:rsidR="000B5C96" w:rsidRPr="004B176E" w:rsidRDefault="000B5C96" w:rsidP="003F606A">
            <w:pPr>
              <w:pStyle w:val="PullOutBoxBodyText"/>
            </w:pPr>
            <w:r w:rsidRPr="004B176E">
              <w:t>In addition, each state or territory would be responsible for the administration of the program within its jurisdiction and the Commonwealth would have no equity in the homes built under the program.</w:t>
            </w:r>
          </w:p>
          <w:p w:rsidR="000B5C96" w:rsidRPr="004B176E" w:rsidRDefault="000B5C96" w:rsidP="003F606A">
            <w:pPr>
              <w:pStyle w:val="PullOutBoxBodyText"/>
            </w:pPr>
            <w:r w:rsidRPr="004B176E">
              <w:t>The proposal would have effect from 1 July 2017.</w:t>
            </w:r>
          </w:p>
        </w:tc>
      </w:tr>
      <w:tr w:rsidR="000B5C96" w:rsidRPr="004B176E" w:rsidTr="003F606A">
        <w:tc>
          <w:tcPr>
            <w:tcW w:w="1806" w:type="pct"/>
          </w:tcPr>
          <w:p w:rsidR="000B5C96" w:rsidRPr="004B176E" w:rsidRDefault="000B5C96" w:rsidP="003F606A">
            <w:pPr>
              <w:pStyle w:val="PullOutBoxBodyText"/>
            </w:pPr>
            <w:r w:rsidRPr="004B176E">
              <w:t>Party:</w:t>
            </w:r>
          </w:p>
        </w:tc>
        <w:tc>
          <w:tcPr>
            <w:tcW w:w="3194" w:type="pct"/>
          </w:tcPr>
          <w:p w:rsidR="000B5C96" w:rsidRPr="004B176E" w:rsidRDefault="000B5C96" w:rsidP="003F606A">
            <w:pPr>
              <w:pStyle w:val="PullOutBoxBodyText"/>
            </w:pPr>
            <w:r w:rsidRPr="004B176E">
              <w:t>Australian Greens</w:t>
            </w:r>
          </w:p>
        </w:tc>
      </w:tr>
      <w:tr w:rsidR="000B5C96" w:rsidRPr="004B176E" w:rsidTr="003F606A">
        <w:tc>
          <w:tcPr>
            <w:tcW w:w="1806" w:type="pct"/>
          </w:tcPr>
          <w:p w:rsidR="000B5C96" w:rsidRPr="004B176E" w:rsidRDefault="000B5C96" w:rsidP="003F606A">
            <w:pPr>
              <w:pStyle w:val="PullOutBoxBodyText"/>
            </w:pPr>
            <w:r w:rsidRPr="004B176E">
              <w:t>Expiry date for the costing:</w:t>
            </w:r>
          </w:p>
        </w:tc>
        <w:tc>
          <w:tcPr>
            <w:tcW w:w="3194" w:type="pct"/>
          </w:tcPr>
          <w:p w:rsidR="000B5C96" w:rsidRPr="004B176E" w:rsidRDefault="000B5C96" w:rsidP="003F606A">
            <w:pPr>
              <w:pStyle w:val="PullOutBoxBodyText"/>
            </w:pPr>
            <w:r w:rsidRPr="004B176E">
              <w:t>Release of the next economic and fiscal update</w:t>
            </w:r>
          </w:p>
        </w:tc>
      </w:tr>
    </w:tbl>
    <w:p w:rsidR="000B5C96" w:rsidRPr="004B176E" w:rsidRDefault="000B5C96" w:rsidP="003F606A">
      <w:pPr>
        <w:pStyle w:val="CostingsH7"/>
      </w:pPr>
      <w:r w:rsidRPr="004B176E">
        <w:t>Costing overview</w:t>
      </w:r>
    </w:p>
    <w:p w:rsidR="000B5C96" w:rsidRPr="004B176E" w:rsidRDefault="000B5C96" w:rsidP="003F606A">
      <w:pPr>
        <w:pStyle w:val="BodyText"/>
      </w:pPr>
      <w:r w:rsidRPr="004B176E">
        <w:t>This proposal would be expected to decrease both the fiscal and underlying cash balances by $4,875 million over the 2016-17 Budget forward estimates period.  These financial implications entirely reflect an increase in administered expenses over this period.</w:t>
      </w:r>
    </w:p>
    <w:p w:rsidR="000B5C96" w:rsidRPr="004B176E" w:rsidRDefault="000B5C96" w:rsidP="003F606A">
      <w:pPr>
        <w:pStyle w:val="BodyText"/>
      </w:pPr>
      <w:r w:rsidRPr="004B176E">
        <w:t xml:space="preserve">This proposal would have ongoing financial implications beyond the 2016-17 Budget forward estimates period.  </w:t>
      </w:r>
      <w:r w:rsidRPr="004B176E">
        <w:rPr>
          <w:lang w:eastAsia="en-AU"/>
        </w:rPr>
        <w:t xml:space="preserve">Departmental costs associated with processing payments to states and territories are not expected to be significant and have not been included in the costing.  This is because, under the proposal, </w:t>
      </w:r>
      <w:r w:rsidRPr="004B176E">
        <w:t>the states and territories would implement, oversee and monitor projects funded through this proposal within their jurisdictions.</w:t>
      </w:r>
    </w:p>
    <w:p w:rsidR="000B5C96" w:rsidRPr="004B176E" w:rsidRDefault="000B5C96" w:rsidP="003F606A">
      <w:pPr>
        <w:pStyle w:val="BodyText"/>
      </w:pPr>
      <w:r w:rsidRPr="004B176E">
        <w:t>This costing is considered to be of high reliability as it is based on specified capped amounts.</w:t>
      </w:r>
    </w:p>
    <w:p w:rsidR="000B5C96" w:rsidRPr="004B176E" w:rsidRDefault="000B5C96" w:rsidP="003F606A">
      <w:pPr>
        <w:pStyle w:val="Caption"/>
      </w:pPr>
      <w:r w:rsidRPr="004B176E">
        <w:t>Table 1: Financial implications (outturn prices)</w:t>
      </w:r>
      <w:r w:rsidRPr="004B176E">
        <w:rPr>
          <w:vertAlign w:val="superscript"/>
        </w:rPr>
        <w:t>(a)(b)</w:t>
      </w:r>
    </w:p>
    <w:tbl>
      <w:tblPr>
        <w:tblStyle w:val="TableGrid66"/>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6"/>
        <w:gridCol w:w="1134"/>
        <w:gridCol w:w="1135"/>
        <w:gridCol w:w="1135"/>
        <w:gridCol w:w="1135"/>
        <w:gridCol w:w="1133"/>
      </w:tblGrid>
      <w:tr w:rsidR="000B5C96" w:rsidRPr="004B176E"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tcPr>
          <w:p w:rsidR="000B5C96" w:rsidRPr="004B176E" w:rsidRDefault="000B5C96" w:rsidP="003F606A">
            <w:pPr>
              <w:keepNext/>
              <w:keepLines/>
              <w:spacing w:line="240" w:lineRule="auto"/>
              <w:ind w:left="57" w:right="57"/>
              <w:rPr>
                <w:szCs w:val="20"/>
              </w:rPr>
            </w:pPr>
            <w:r w:rsidRPr="004B176E">
              <w:rPr>
                <w:szCs w:val="20"/>
              </w:rPr>
              <w:t>Impact on ($m)</w:t>
            </w:r>
          </w:p>
        </w:tc>
        <w:tc>
          <w:tcPr>
            <w:tcW w:w="682" w:type="pct"/>
            <w:tcBorders>
              <w:top w:val="single" w:sz="4" w:space="0" w:color="788184"/>
              <w:left w:val="single" w:sz="4" w:space="0" w:color="788184"/>
              <w:bottom w:val="single" w:sz="4" w:space="0" w:color="788184"/>
              <w:right w:val="single" w:sz="4" w:space="0" w:color="788184"/>
            </w:tcBorders>
          </w:tcPr>
          <w:p w:rsidR="000B5C96" w:rsidRPr="004B176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B176E">
              <w:rPr>
                <w:szCs w:val="20"/>
              </w:rPr>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4B176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B176E">
              <w:rPr>
                <w:szCs w:val="20"/>
              </w:rPr>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4B176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B176E">
              <w:rPr>
                <w:szCs w:val="20"/>
              </w:rPr>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4B176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B176E">
              <w:rPr>
                <w:szCs w:val="20"/>
              </w:rPr>
              <w:t>2019–20</w:t>
            </w:r>
          </w:p>
        </w:tc>
        <w:tc>
          <w:tcPr>
            <w:tcW w:w="681" w:type="pct"/>
            <w:tcBorders>
              <w:top w:val="single" w:sz="4" w:space="0" w:color="788184"/>
              <w:left w:val="single" w:sz="4" w:space="0" w:color="788184"/>
              <w:bottom w:val="single" w:sz="4" w:space="0" w:color="788184"/>
              <w:right w:val="single" w:sz="4" w:space="0" w:color="788184"/>
            </w:tcBorders>
          </w:tcPr>
          <w:p w:rsidR="000B5C96" w:rsidRPr="004B176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B176E">
              <w:rPr>
                <w:b/>
                <w:szCs w:val="20"/>
              </w:rPr>
              <w:t>Total</w:t>
            </w:r>
          </w:p>
        </w:tc>
      </w:tr>
      <w:tr w:rsidR="000B5C96" w:rsidRPr="004B176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4B176E" w:rsidRDefault="000B5C96" w:rsidP="003F606A">
            <w:pPr>
              <w:keepNext/>
              <w:keepLines/>
              <w:ind w:left="57" w:right="57"/>
              <w:rPr>
                <w:szCs w:val="20"/>
              </w:rPr>
            </w:pPr>
            <w:r w:rsidRPr="004B176E">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4B176E"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4B176E">
              <w:rPr>
                <w:rFonts w:ascii="Calibri" w:hAnsi="Calibri"/>
                <w:noProof/>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4B176E"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4B176E">
              <w:rPr>
                <w:rFonts w:ascii="Calibri" w:hAnsi="Calibri"/>
                <w:noProof/>
                <w:szCs w:val="20"/>
              </w:rPr>
              <w:t xml:space="preserve">-1,625.0 </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4B176E"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4B176E">
              <w:rPr>
                <w:rFonts w:ascii="Calibri" w:hAnsi="Calibri"/>
                <w:noProof/>
                <w:szCs w:val="20"/>
              </w:rPr>
              <w:t xml:space="preserve">-1,625.0 </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4B176E"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4B176E">
              <w:rPr>
                <w:rFonts w:ascii="Calibri" w:hAnsi="Calibri"/>
                <w:noProof/>
                <w:szCs w:val="20"/>
              </w:rPr>
              <w:t xml:space="preserve">-1,625.0 </w:t>
            </w:r>
          </w:p>
        </w:tc>
        <w:tc>
          <w:tcPr>
            <w:tcW w:w="681"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4B176E"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noProof/>
                <w:szCs w:val="20"/>
              </w:rPr>
            </w:pPr>
            <w:r w:rsidRPr="004B176E">
              <w:rPr>
                <w:rFonts w:ascii="Calibri" w:hAnsi="Calibri"/>
                <w:b/>
                <w:noProof/>
                <w:szCs w:val="20"/>
              </w:rPr>
              <w:t xml:space="preserve">-4,875.0 </w:t>
            </w:r>
          </w:p>
        </w:tc>
      </w:tr>
      <w:tr w:rsidR="000B5C96" w:rsidRPr="004B176E"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4B176E" w:rsidRDefault="000B5C96" w:rsidP="003F606A">
            <w:pPr>
              <w:keepNext/>
              <w:keepLines/>
              <w:ind w:left="57" w:right="57"/>
              <w:rPr>
                <w:szCs w:val="20"/>
              </w:rPr>
            </w:pPr>
            <w:r w:rsidRPr="004B176E">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4B176E" w:rsidRDefault="000B5C96" w:rsidP="003F606A">
            <w:pPr>
              <w:keepNext/>
              <w:keepLines/>
              <w:cnfStyle w:val="000000010000" w:firstRow="0" w:lastRow="0" w:firstColumn="0" w:lastColumn="0" w:oddVBand="0" w:evenVBand="0" w:oddHBand="0" w:evenHBand="1" w:firstRowFirstColumn="0" w:firstRowLastColumn="0" w:lastRowFirstColumn="0" w:lastRowLastColumn="0"/>
              <w:rPr>
                <w:noProof/>
                <w:szCs w:val="20"/>
              </w:rPr>
            </w:pPr>
            <w:r w:rsidRPr="004B176E">
              <w:rPr>
                <w:noProof/>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4B176E" w:rsidRDefault="000B5C96" w:rsidP="003F606A">
            <w:pPr>
              <w:keepNext/>
              <w:keepLines/>
              <w:cnfStyle w:val="000000010000" w:firstRow="0" w:lastRow="0" w:firstColumn="0" w:lastColumn="0" w:oddVBand="0" w:evenVBand="0" w:oddHBand="0" w:evenHBand="1" w:firstRowFirstColumn="0" w:firstRowLastColumn="0" w:lastRowFirstColumn="0" w:lastRowLastColumn="0"/>
              <w:rPr>
                <w:noProof/>
                <w:szCs w:val="20"/>
              </w:rPr>
            </w:pPr>
            <w:r w:rsidRPr="004B176E">
              <w:rPr>
                <w:noProof/>
                <w:szCs w:val="20"/>
              </w:rPr>
              <w:t xml:space="preserve">-1,625.0 </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4B176E" w:rsidRDefault="000B5C96" w:rsidP="003F606A">
            <w:pPr>
              <w:keepNext/>
              <w:keepLines/>
              <w:cnfStyle w:val="000000010000" w:firstRow="0" w:lastRow="0" w:firstColumn="0" w:lastColumn="0" w:oddVBand="0" w:evenVBand="0" w:oddHBand="0" w:evenHBand="1" w:firstRowFirstColumn="0" w:firstRowLastColumn="0" w:lastRowFirstColumn="0" w:lastRowLastColumn="0"/>
              <w:rPr>
                <w:noProof/>
                <w:szCs w:val="20"/>
              </w:rPr>
            </w:pPr>
            <w:r w:rsidRPr="004B176E">
              <w:rPr>
                <w:noProof/>
                <w:szCs w:val="20"/>
              </w:rPr>
              <w:t xml:space="preserve">-1,625.0 </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4B176E" w:rsidRDefault="000B5C96" w:rsidP="003F606A">
            <w:pPr>
              <w:keepNext/>
              <w:keepLines/>
              <w:cnfStyle w:val="000000010000" w:firstRow="0" w:lastRow="0" w:firstColumn="0" w:lastColumn="0" w:oddVBand="0" w:evenVBand="0" w:oddHBand="0" w:evenHBand="1" w:firstRowFirstColumn="0" w:firstRowLastColumn="0" w:lastRowFirstColumn="0" w:lastRowLastColumn="0"/>
              <w:rPr>
                <w:noProof/>
                <w:szCs w:val="20"/>
              </w:rPr>
            </w:pPr>
            <w:r w:rsidRPr="004B176E">
              <w:rPr>
                <w:noProof/>
                <w:szCs w:val="20"/>
              </w:rPr>
              <w:t xml:space="preserve">-1,625.0 </w:t>
            </w:r>
          </w:p>
        </w:tc>
        <w:tc>
          <w:tcPr>
            <w:tcW w:w="681"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4B176E" w:rsidRDefault="000B5C96" w:rsidP="003F606A">
            <w:pPr>
              <w:keepNext/>
              <w:keepLines/>
              <w:cnfStyle w:val="000000010000" w:firstRow="0" w:lastRow="0" w:firstColumn="0" w:lastColumn="0" w:oddVBand="0" w:evenVBand="0" w:oddHBand="0" w:evenHBand="1" w:firstRowFirstColumn="0" w:firstRowLastColumn="0" w:lastRowFirstColumn="0" w:lastRowLastColumn="0"/>
              <w:rPr>
                <w:b/>
                <w:noProof/>
                <w:szCs w:val="20"/>
              </w:rPr>
            </w:pPr>
            <w:r w:rsidRPr="004B176E">
              <w:rPr>
                <w:b/>
                <w:noProof/>
                <w:szCs w:val="20"/>
              </w:rPr>
              <w:t xml:space="preserve">-4,875.0 </w:t>
            </w:r>
          </w:p>
        </w:tc>
      </w:tr>
    </w:tbl>
    <w:p w:rsidR="000B5C96" w:rsidRPr="00540516" w:rsidRDefault="000B5C96" w:rsidP="00E54AEC">
      <w:pPr>
        <w:pStyle w:val="Footnotes"/>
        <w:numPr>
          <w:ilvl w:val="0"/>
          <w:numId w:val="309"/>
        </w:numPr>
        <w:ind w:left="284" w:hanging="284"/>
      </w:pPr>
      <w:r w:rsidRPr="00540516">
        <w:t>A positive number represents an increase in the relevant budget balance, a negative number represents a decrease.</w:t>
      </w:r>
    </w:p>
    <w:p w:rsidR="000B5C96" w:rsidRPr="004B176E" w:rsidRDefault="000B5C96" w:rsidP="000B5C96">
      <w:pPr>
        <w:pStyle w:val="Footnotes"/>
        <w:numPr>
          <w:ilvl w:val="0"/>
          <w:numId w:val="7"/>
        </w:numPr>
        <w:ind w:left="284" w:hanging="284"/>
      </w:pPr>
      <w:r w:rsidRPr="004B176E">
        <w:t>Figures may not sum to totals due to rounding.</w:t>
      </w:r>
    </w:p>
    <w:p w:rsidR="000B5C96" w:rsidRPr="004B176E" w:rsidRDefault="000B5C96" w:rsidP="003F606A">
      <w:pPr>
        <w:pStyle w:val="CostingsH7"/>
      </w:pPr>
      <w:r w:rsidRPr="004B176E">
        <w:t>Key assumptions</w:t>
      </w:r>
    </w:p>
    <w:p w:rsidR="000B5C96" w:rsidRPr="004B176E" w:rsidRDefault="000B5C96" w:rsidP="000B5C96">
      <w:pPr>
        <w:pStyle w:val="ListBullet"/>
        <w:numPr>
          <w:ilvl w:val="0"/>
          <w:numId w:val="123"/>
        </w:numPr>
        <w:ind w:left="454" w:hanging="454"/>
        <w:rPr>
          <w:lang w:eastAsia="en-AU"/>
        </w:rPr>
      </w:pPr>
      <w:r w:rsidRPr="004B176E">
        <w:rPr>
          <w:lang w:eastAsia="en-AU"/>
        </w:rPr>
        <w:t>The Parliamentary Budget Office (PBO) has not undertaken any analysis of whether the specified funding amounts are adequate to achieve the activities outlined in the proposal.</w:t>
      </w:r>
    </w:p>
    <w:p w:rsidR="000B5C96" w:rsidRPr="004B176E" w:rsidRDefault="000B5C96" w:rsidP="000B5C96">
      <w:pPr>
        <w:pStyle w:val="ListBullet"/>
        <w:numPr>
          <w:ilvl w:val="0"/>
          <w:numId w:val="123"/>
        </w:numPr>
        <w:ind w:left="454" w:hanging="454"/>
        <w:rPr>
          <w:lang w:eastAsia="en-AU"/>
        </w:rPr>
      </w:pPr>
      <w:r w:rsidRPr="004B176E">
        <w:rPr>
          <w:lang w:eastAsia="en-AU"/>
        </w:rPr>
        <w:t>The PBO has not made an assessment of whether the states and territories would match the funding provided by the Commonwealth Government under this proposal.</w:t>
      </w:r>
    </w:p>
    <w:p w:rsidR="000B5C96" w:rsidRPr="004B176E" w:rsidRDefault="000B5C96" w:rsidP="003F606A">
      <w:pPr>
        <w:pStyle w:val="CostingsH7"/>
      </w:pPr>
      <w:r w:rsidRPr="004B176E">
        <w:t>Methodology</w:t>
      </w:r>
    </w:p>
    <w:p w:rsidR="000B5C96" w:rsidRPr="004B176E" w:rsidRDefault="000B5C96" w:rsidP="003F606A">
      <w:pPr>
        <w:pStyle w:val="BodyText"/>
      </w:pPr>
      <w:r w:rsidRPr="004B176E">
        <w:t>The estimates are based on the specified capped funding amounts per dwelling type multiplied by the number of dwellings to be constructed each year.  The result of this calculation is halved to derive the Commonwealth’s share of the funding.</w:t>
      </w:r>
    </w:p>
    <w:p w:rsidR="000B5C96" w:rsidRPr="008A0AE1" w:rsidRDefault="000B5C96" w:rsidP="003F606A">
      <w:pPr>
        <w:pStyle w:val="BodyText"/>
      </w:pPr>
    </w:p>
    <w:p w:rsidR="000B5C96" w:rsidRDefault="000B5C96" w:rsidP="003F606A">
      <w:pPr>
        <w:pStyle w:val="Heading5"/>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11" w:name="_Toc458001985"/>
      <w:bookmarkStart w:id="212" w:name="_Toc458069470"/>
      <w:r>
        <w:t>GRN079: Increase Rent Assistance by 30%</w:t>
      </w:r>
      <w:bookmarkEnd w:id="211"/>
      <w:bookmarkEnd w:id="212"/>
    </w:p>
    <w:p w:rsidR="000B5C96" w:rsidRPr="008A0AE1" w:rsidRDefault="000B5C96" w:rsidP="003F606A">
      <w:pPr>
        <w:pStyle w:val="BodyText"/>
      </w:pPr>
      <w:r>
        <w:rPr>
          <w:noProof/>
          <w:lang w:eastAsia="en-AU"/>
        </w:rPr>
        <w:drawing>
          <wp:inline distT="0" distB="0" distL="0" distR="0" wp14:anchorId="3B122D3D" wp14:editId="435E5E58">
            <wp:extent cx="2696845" cy="572135"/>
            <wp:effectExtent l="0" t="0" r="8255" b="0"/>
            <wp:docPr id="490" name="Picture 49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Default="000B5C96" w:rsidP="000B5C96">
      <w:pPr>
        <w:pStyle w:val="Heading6"/>
        <w:numPr>
          <w:ilvl w:val="0"/>
          <w:numId w:val="5"/>
        </w:numPr>
        <w:tabs>
          <w:tab w:val="right" w:pos="1418"/>
          <w:tab w:val="right" w:pos="1701"/>
          <w:tab w:val="right" w:pos="1985"/>
        </w:tabs>
      </w:pPr>
      <w:r w:rsidRPr="00002D5D">
        <w:t>Policy costing—during the caretaker period for the 2016 general election</w:t>
      </w:r>
    </w:p>
    <w:tbl>
      <w:tblPr>
        <w:tblStyle w:val="Style1"/>
        <w:tblW w:w="8340" w:type="dxa"/>
        <w:tblLayout w:type="fixed"/>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Increasing Rent Assistance by 30 per cent</w:t>
            </w:r>
          </w:p>
        </w:tc>
      </w:tr>
      <w:tr w:rsidR="000B5C96" w:rsidTr="003F606A">
        <w:tc>
          <w:tcPr>
            <w:tcW w:w="3005" w:type="dxa"/>
          </w:tcPr>
          <w:p w:rsidR="000B5C96" w:rsidRDefault="000B5C96" w:rsidP="003F606A">
            <w:pPr>
              <w:pStyle w:val="PullOutBoxBodyText"/>
            </w:pPr>
            <w:r>
              <w:t>Summary of proposal:</w:t>
            </w:r>
          </w:p>
        </w:tc>
        <w:tc>
          <w:tcPr>
            <w:tcW w:w="5335" w:type="dxa"/>
          </w:tcPr>
          <w:p w:rsidR="000B5C96" w:rsidRDefault="000B5C96" w:rsidP="003F606A">
            <w:pPr>
              <w:pStyle w:val="PullOutBoxBodyText"/>
            </w:pPr>
            <w:r w:rsidRPr="00A04DE7">
              <w:t>The proposal would</w:t>
            </w:r>
            <w:r>
              <w:t xml:space="preserve"> progressively</w:t>
            </w:r>
            <w:r w:rsidRPr="00A04DE7">
              <w:t xml:space="preserve"> increas</w:t>
            </w:r>
            <w:r>
              <w:t xml:space="preserve">e </w:t>
            </w:r>
            <w:r w:rsidRPr="00A04DE7">
              <w:t>the maximum amount of Commonwealth Rent Assistance payable</w:t>
            </w:r>
            <w:r>
              <w:t xml:space="preserve"> by </w:t>
            </w:r>
            <w:r w:rsidRPr="00A04DE7">
              <w:t xml:space="preserve">30 per cent </w:t>
            </w:r>
            <w:r>
              <w:t xml:space="preserve">over three years.  </w:t>
            </w:r>
          </w:p>
          <w:p w:rsidR="000B5C96" w:rsidRDefault="000B5C96" w:rsidP="003F606A">
            <w:pPr>
              <w:pStyle w:val="PullOutBoxBodyText"/>
            </w:pPr>
            <w:r>
              <w:t>The maximum rate of rent assistance would be increased by 10 per cent on 1 July 2017, 1 July 2018 and 1 July 2019.</w:t>
            </w:r>
          </w:p>
        </w:tc>
      </w:tr>
      <w:tr w:rsidR="000B5C96" w:rsidTr="003F606A">
        <w:tc>
          <w:tcPr>
            <w:tcW w:w="3005" w:type="dxa"/>
          </w:tcPr>
          <w:p w:rsidR="000B5C96" w:rsidRDefault="000B5C96" w:rsidP="003F606A">
            <w:pPr>
              <w:pStyle w:val="PullOutBoxBodyText"/>
            </w:pPr>
            <w:r>
              <w:t>Person/party requesting costing:</w:t>
            </w:r>
          </w:p>
        </w:tc>
        <w:tc>
          <w:tcPr>
            <w:tcW w:w="5335" w:type="dxa"/>
          </w:tcPr>
          <w:p w:rsidR="000B5C96" w:rsidRDefault="000B5C96" w:rsidP="003F606A">
            <w:pPr>
              <w:pStyle w:val="PullOutBoxBodyText"/>
            </w:pPr>
            <w:r w:rsidRPr="00A04DE7">
              <w:t>Senator Richard Di Natale, Australian Greens</w:t>
            </w:r>
          </w:p>
        </w:tc>
      </w:tr>
      <w:tr w:rsidR="000B5C96" w:rsidTr="003F606A">
        <w:tc>
          <w:tcPr>
            <w:tcW w:w="3005" w:type="dxa"/>
          </w:tcPr>
          <w:p w:rsidR="000B5C96" w:rsidRDefault="000B5C96" w:rsidP="003F606A">
            <w:pPr>
              <w:pStyle w:val="PullOutBoxBodyText"/>
            </w:pPr>
            <w:r>
              <w:t>Date of public release of policy:</w:t>
            </w:r>
          </w:p>
        </w:tc>
        <w:tc>
          <w:tcPr>
            <w:tcW w:w="5335" w:type="dxa"/>
          </w:tcPr>
          <w:p w:rsidR="000B5C96" w:rsidRDefault="000B5C96" w:rsidP="003F606A">
            <w:pPr>
              <w:pStyle w:val="PullOutBoxBodyText"/>
            </w:pPr>
            <w:r>
              <w:t>30 June 2016</w:t>
            </w:r>
          </w:p>
          <w:p w:rsidR="000B5C96" w:rsidRPr="00C17112" w:rsidRDefault="00E46526" w:rsidP="003F606A">
            <w:pPr>
              <w:pStyle w:val="PullOutBoxBodyText"/>
            </w:pPr>
            <w:hyperlink r:id="rId578" w:history="1">
              <w:r w:rsidR="000B5C96" w:rsidRPr="002C3D72">
                <w:rPr>
                  <w:rStyle w:val="Hyperlink"/>
                </w:rPr>
                <w:t>http://greens.org.au/sites/greens.org.au/files/increasing%20rent%20assistance.pdf</w:t>
              </w:r>
            </w:hyperlink>
          </w:p>
        </w:tc>
      </w:tr>
      <w:tr w:rsidR="000B5C96" w:rsidTr="003F606A">
        <w:tc>
          <w:tcPr>
            <w:tcW w:w="3005" w:type="dxa"/>
          </w:tcPr>
          <w:p w:rsidR="000B5C96" w:rsidRDefault="000B5C96" w:rsidP="003F606A">
            <w:pPr>
              <w:pStyle w:val="PullOutBoxBodyText"/>
            </w:pPr>
            <w:r>
              <w:t>Date costing request received:</w:t>
            </w:r>
          </w:p>
        </w:tc>
        <w:tc>
          <w:tcPr>
            <w:tcW w:w="5335" w:type="dxa"/>
          </w:tcPr>
          <w:p w:rsidR="000B5C96" w:rsidRDefault="000B5C96" w:rsidP="003F606A">
            <w:pPr>
              <w:pStyle w:val="PullOutBoxBodyText"/>
            </w:pPr>
            <w:r>
              <w:t>1 July 2016</w:t>
            </w:r>
          </w:p>
        </w:tc>
      </w:tr>
      <w:tr w:rsidR="000B5C96" w:rsidTr="003F606A">
        <w:tc>
          <w:tcPr>
            <w:tcW w:w="3005" w:type="dxa"/>
          </w:tcPr>
          <w:p w:rsidR="000B5C96" w:rsidRDefault="000B5C96" w:rsidP="003F606A">
            <w:pPr>
              <w:pStyle w:val="PullOutBoxBodyText"/>
            </w:pPr>
            <w:r>
              <w:t>Date costing completed</w:t>
            </w:r>
          </w:p>
        </w:tc>
        <w:tc>
          <w:tcPr>
            <w:tcW w:w="5335" w:type="dxa"/>
          </w:tcPr>
          <w:p w:rsidR="000B5C96" w:rsidRPr="00C17112" w:rsidRDefault="000B5C96" w:rsidP="003F606A">
            <w:pPr>
              <w:pStyle w:val="PullOutBoxBodyText"/>
            </w:pPr>
            <w:r>
              <w:t>1 July 2016</w:t>
            </w:r>
          </w:p>
        </w:tc>
      </w:tr>
      <w:tr w:rsidR="000B5C96" w:rsidTr="003F606A">
        <w:tc>
          <w:tcPr>
            <w:tcW w:w="3005" w:type="dxa"/>
          </w:tcPr>
          <w:p w:rsidR="000B5C96" w:rsidRPr="00220BE5" w:rsidRDefault="000B5C96" w:rsidP="003F606A">
            <w:pPr>
              <w:pStyle w:val="PullOutBoxBodyText"/>
            </w:pPr>
            <w:r w:rsidRPr="00220BE5">
              <w:t>Expiry date for the costing:</w:t>
            </w:r>
          </w:p>
        </w:tc>
        <w:tc>
          <w:tcPr>
            <w:tcW w:w="5335" w:type="dxa"/>
          </w:tcPr>
          <w:p w:rsidR="000B5C96" w:rsidRPr="00220BE5" w:rsidRDefault="000B5C96" w:rsidP="003F606A">
            <w:pPr>
              <w:pStyle w:val="PullOutBoxBodyText"/>
            </w:pPr>
            <w:r w:rsidRPr="001329B1">
              <w:t>Release of the next economic and fiscal outlook report</w:t>
            </w:r>
          </w:p>
        </w:tc>
      </w:tr>
    </w:tbl>
    <w:p w:rsidR="000B5C96" w:rsidRPr="00002D5D" w:rsidRDefault="000B5C96" w:rsidP="003F606A">
      <w:pPr>
        <w:pStyle w:val="CostingsH7"/>
      </w:pPr>
      <w:r w:rsidRPr="00002D5D">
        <w:t>Costing overview</w:t>
      </w:r>
    </w:p>
    <w:p w:rsidR="000B5C96" w:rsidRDefault="000B5C96" w:rsidP="003F606A">
      <w:pPr>
        <w:pStyle w:val="BodyText"/>
      </w:pPr>
      <w:r>
        <w:t>The proposal would be expected to decrease the fiscal balance by $2,217.0 million and decrease the underlying cash balance by $2,196.0 million over the 2016</w:t>
      </w:r>
      <w:r>
        <w:noBreakHyphen/>
        <w:t>17 Budget forward estimates period.  The decrease in the fiscal balance reflects an increase in administered expenses of $2,216.0 million and an increase in departmental expenses of $1.0 million over this period.</w:t>
      </w:r>
    </w:p>
    <w:p w:rsidR="000B5C96" w:rsidRDefault="000B5C96" w:rsidP="003F606A">
      <w:pPr>
        <w:pStyle w:val="BodyText"/>
      </w:pPr>
      <w:r>
        <w:t xml:space="preserve">The proposal would have ongoing financial implications that extend beyond the forward estimates period.  The ongoing annual impact would be in line with the impact in 2019-20, growing at around $50 million per year. </w:t>
      </w:r>
    </w:p>
    <w:p w:rsidR="000B5C96" w:rsidRDefault="000B5C96" w:rsidP="003F606A">
      <w:pPr>
        <w:pStyle w:val="BodyText"/>
      </w:pPr>
      <w:r>
        <w:t xml:space="preserve">This costing is considered to be of medium reliability.  Estimates are sensitive to changes in economic and demographic factors.  </w:t>
      </w:r>
    </w:p>
    <w:p w:rsidR="000B5C96" w:rsidRPr="00002D5D" w:rsidRDefault="000B5C96" w:rsidP="003F606A">
      <w:pPr>
        <w:pStyle w:val="BodyText"/>
        <w:rPr>
          <w:highlight w:val="yellow"/>
        </w:rPr>
      </w:pPr>
      <w:r>
        <w:t>The underlying cash balance implications of this proposal differ from the fiscal balance implications because there would be a delay between the recognition of Family Tax Benefit expenses incurred and the payment of these expenses.</w:t>
      </w:r>
    </w:p>
    <w:p w:rsidR="000B5C96" w:rsidRPr="00540516" w:rsidRDefault="000B5C96" w:rsidP="003F606A">
      <w:pPr>
        <w:pStyle w:val="Caption"/>
      </w:pPr>
      <w:r w:rsidRPr="00540516">
        <w:t>Table 1: Financial implications (outturn prices)</w:t>
      </w:r>
      <w:r w:rsidRPr="00540516">
        <w:rPr>
          <w:vertAlign w:val="superscript"/>
        </w:rPr>
        <w:t>(a)</w:t>
      </w:r>
    </w:p>
    <w:tbl>
      <w:tblPr>
        <w:tblStyle w:val="TableGrid67"/>
        <w:tblW w:w="4993" w:type="pct"/>
        <w:tblLook w:val="04A0" w:firstRow="1" w:lastRow="0" w:firstColumn="1" w:lastColumn="0" w:noHBand="0" w:noVBand="1"/>
      </w:tblPr>
      <w:tblGrid>
        <w:gridCol w:w="2645"/>
        <w:gridCol w:w="1134"/>
        <w:gridCol w:w="1133"/>
        <w:gridCol w:w="1133"/>
        <w:gridCol w:w="1133"/>
        <w:gridCol w:w="1132"/>
      </w:tblGrid>
      <w:tr w:rsidR="000B5C96" w:rsidRPr="00540516"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540516" w:rsidRDefault="000B5C96" w:rsidP="003F606A">
            <w:pPr>
              <w:keepNext/>
              <w:keepLines/>
              <w:rPr>
                <w:szCs w:val="20"/>
              </w:rPr>
            </w:pPr>
            <w:r w:rsidRPr="00540516">
              <w:rPr>
                <w:szCs w:val="20"/>
              </w:rPr>
              <w:t>Impact on ($m)</w:t>
            </w:r>
          </w:p>
        </w:tc>
        <w:tc>
          <w:tcPr>
            <w:tcW w:w="682" w:type="pct"/>
          </w:tcPr>
          <w:p w:rsidR="000B5C96" w:rsidRPr="00540516" w:rsidRDefault="000B5C96" w:rsidP="003F606A">
            <w:pPr>
              <w:keepNext/>
              <w:keepLines/>
              <w:cnfStyle w:val="100000000000" w:firstRow="1" w:lastRow="0" w:firstColumn="0" w:lastColumn="0" w:oddVBand="0" w:evenVBand="0" w:oddHBand="0" w:evenHBand="0" w:firstRowFirstColumn="0" w:firstRowLastColumn="0" w:lastRowFirstColumn="0" w:lastRowLastColumn="0"/>
              <w:rPr>
                <w:szCs w:val="20"/>
              </w:rPr>
            </w:pPr>
            <w:r w:rsidRPr="00540516">
              <w:rPr>
                <w:szCs w:val="20"/>
              </w:rPr>
              <w:t>2016–17</w:t>
            </w:r>
          </w:p>
        </w:tc>
        <w:tc>
          <w:tcPr>
            <w:tcW w:w="682" w:type="pct"/>
          </w:tcPr>
          <w:p w:rsidR="000B5C96" w:rsidRPr="00540516" w:rsidRDefault="000B5C96" w:rsidP="003F606A">
            <w:pPr>
              <w:keepNext/>
              <w:keepLines/>
              <w:cnfStyle w:val="100000000000" w:firstRow="1" w:lastRow="0" w:firstColumn="0" w:lastColumn="0" w:oddVBand="0" w:evenVBand="0" w:oddHBand="0" w:evenHBand="0" w:firstRowFirstColumn="0" w:firstRowLastColumn="0" w:lastRowFirstColumn="0" w:lastRowLastColumn="0"/>
              <w:rPr>
                <w:szCs w:val="20"/>
              </w:rPr>
            </w:pPr>
            <w:r w:rsidRPr="00540516">
              <w:rPr>
                <w:szCs w:val="20"/>
              </w:rPr>
              <w:t>2017–18</w:t>
            </w:r>
          </w:p>
        </w:tc>
        <w:tc>
          <w:tcPr>
            <w:tcW w:w="682" w:type="pct"/>
          </w:tcPr>
          <w:p w:rsidR="000B5C96" w:rsidRPr="00540516" w:rsidRDefault="000B5C96" w:rsidP="003F606A">
            <w:pPr>
              <w:keepNext/>
              <w:keepLines/>
              <w:cnfStyle w:val="100000000000" w:firstRow="1" w:lastRow="0" w:firstColumn="0" w:lastColumn="0" w:oddVBand="0" w:evenVBand="0" w:oddHBand="0" w:evenHBand="0" w:firstRowFirstColumn="0" w:firstRowLastColumn="0" w:lastRowFirstColumn="0" w:lastRowLastColumn="0"/>
              <w:rPr>
                <w:szCs w:val="20"/>
              </w:rPr>
            </w:pPr>
            <w:r w:rsidRPr="00540516">
              <w:rPr>
                <w:szCs w:val="20"/>
              </w:rPr>
              <w:t>2018–19</w:t>
            </w:r>
          </w:p>
        </w:tc>
        <w:tc>
          <w:tcPr>
            <w:tcW w:w="682" w:type="pct"/>
          </w:tcPr>
          <w:p w:rsidR="000B5C96" w:rsidRPr="00540516" w:rsidRDefault="000B5C96" w:rsidP="003F606A">
            <w:pPr>
              <w:keepNext/>
              <w:keepLines/>
              <w:cnfStyle w:val="100000000000" w:firstRow="1" w:lastRow="0" w:firstColumn="0" w:lastColumn="0" w:oddVBand="0" w:evenVBand="0" w:oddHBand="0" w:evenHBand="0" w:firstRowFirstColumn="0" w:firstRowLastColumn="0" w:lastRowFirstColumn="0" w:lastRowLastColumn="0"/>
              <w:rPr>
                <w:b/>
                <w:szCs w:val="20"/>
              </w:rPr>
            </w:pPr>
            <w:r w:rsidRPr="00540516">
              <w:rPr>
                <w:szCs w:val="20"/>
              </w:rPr>
              <w:t>2019–20</w:t>
            </w:r>
          </w:p>
        </w:tc>
        <w:tc>
          <w:tcPr>
            <w:tcW w:w="681" w:type="pct"/>
          </w:tcPr>
          <w:p w:rsidR="000B5C96" w:rsidRPr="00540516" w:rsidRDefault="000B5C96" w:rsidP="003F606A">
            <w:pPr>
              <w:keepNext/>
              <w:keepLines/>
              <w:cnfStyle w:val="100000000000" w:firstRow="1" w:lastRow="0" w:firstColumn="0" w:lastColumn="0" w:oddVBand="0" w:evenVBand="0" w:oddHBand="0" w:evenHBand="0" w:firstRowFirstColumn="0" w:firstRowLastColumn="0" w:lastRowFirstColumn="0" w:lastRowLastColumn="0"/>
              <w:rPr>
                <w:b/>
                <w:szCs w:val="20"/>
              </w:rPr>
            </w:pPr>
            <w:r w:rsidRPr="00540516">
              <w:rPr>
                <w:b/>
                <w:szCs w:val="20"/>
              </w:rPr>
              <w:t>Total</w:t>
            </w:r>
          </w:p>
        </w:tc>
      </w:tr>
      <w:tr w:rsidR="000B5C96" w:rsidRPr="00540516"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540516" w:rsidRDefault="000B5C96" w:rsidP="003F606A">
            <w:pPr>
              <w:keepNext/>
              <w:keepLines/>
              <w:rPr>
                <w:szCs w:val="20"/>
              </w:rPr>
            </w:pPr>
            <w:r w:rsidRPr="00540516">
              <w:rPr>
                <w:szCs w:val="20"/>
              </w:rPr>
              <w:t>Fiscal balance</w:t>
            </w:r>
          </w:p>
        </w:tc>
        <w:tc>
          <w:tcPr>
            <w:tcW w:w="682" w:type="pct"/>
          </w:tcPr>
          <w:p w:rsidR="000B5C96" w:rsidRPr="0054051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40516">
              <w:rPr>
                <w:rFonts w:ascii="Calibri" w:hAnsi="Calibri"/>
              </w:rPr>
              <w:t xml:space="preserve"> -   </w:t>
            </w:r>
          </w:p>
        </w:tc>
        <w:tc>
          <w:tcPr>
            <w:tcW w:w="682" w:type="pct"/>
          </w:tcPr>
          <w:p w:rsidR="000B5C96" w:rsidRPr="0054051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40516">
              <w:rPr>
                <w:rFonts w:ascii="Calibri" w:hAnsi="Calibri"/>
              </w:rPr>
              <w:t xml:space="preserve">-357.0 </w:t>
            </w:r>
          </w:p>
        </w:tc>
        <w:tc>
          <w:tcPr>
            <w:tcW w:w="682" w:type="pct"/>
          </w:tcPr>
          <w:p w:rsidR="000B5C96" w:rsidRPr="0054051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40516">
              <w:rPr>
                <w:rFonts w:ascii="Calibri" w:hAnsi="Calibri"/>
              </w:rPr>
              <w:t xml:space="preserve">-730.0 </w:t>
            </w:r>
          </w:p>
        </w:tc>
        <w:tc>
          <w:tcPr>
            <w:tcW w:w="682" w:type="pct"/>
          </w:tcPr>
          <w:p w:rsidR="000B5C96" w:rsidRPr="0054051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540516">
              <w:rPr>
                <w:rFonts w:ascii="Calibri" w:hAnsi="Calibri"/>
              </w:rPr>
              <w:t xml:space="preserve">-1,130.0 </w:t>
            </w:r>
          </w:p>
        </w:tc>
        <w:tc>
          <w:tcPr>
            <w:tcW w:w="681" w:type="pct"/>
          </w:tcPr>
          <w:p w:rsidR="000B5C96" w:rsidRPr="00540516"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540516">
              <w:rPr>
                <w:rFonts w:ascii="Calibri" w:hAnsi="Calibri"/>
                <w:b/>
              </w:rPr>
              <w:t xml:space="preserve">-2,217.0 </w:t>
            </w:r>
          </w:p>
        </w:tc>
      </w:tr>
      <w:tr w:rsidR="000B5C96" w:rsidRPr="00540516"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540516" w:rsidRDefault="000B5C96" w:rsidP="003F606A">
            <w:pPr>
              <w:keepNext/>
              <w:keepLines/>
              <w:rPr>
                <w:szCs w:val="20"/>
              </w:rPr>
            </w:pPr>
            <w:r w:rsidRPr="00540516">
              <w:rPr>
                <w:szCs w:val="20"/>
              </w:rPr>
              <w:t>Underlying cash balance</w:t>
            </w:r>
          </w:p>
        </w:tc>
        <w:tc>
          <w:tcPr>
            <w:tcW w:w="682" w:type="pct"/>
          </w:tcPr>
          <w:p w:rsidR="000B5C96" w:rsidRPr="0054051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 xml:space="preserve"> -   </w:t>
            </w:r>
          </w:p>
        </w:tc>
        <w:tc>
          <w:tcPr>
            <w:tcW w:w="682" w:type="pct"/>
          </w:tcPr>
          <w:p w:rsidR="000B5C96" w:rsidRPr="0054051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 xml:space="preserve">-353.0 </w:t>
            </w:r>
          </w:p>
        </w:tc>
        <w:tc>
          <w:tcPr>
            <w:tcW w:w="682" w:type="pct"/>
          </w:tcPr>
          <w:p w:rsidR="000B5C96" w:rsidRPr="0054051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 xml:space="preserve">-723.0 </w:t>
            </w:r>
          </w:p>
        </w:tc>
        <w:tc>
          <w:tcPr>
            <w:tcW w:w="682" w:type="pct"/>
          </w:tcPr>
          <w:p w:rsidR="000B5C96" w:rsidRPr="0054051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 xml:space="preserve">-1,120.0 </w:t>
            </w:r>
          </w:p>
        </w:tc>
        <w:tc>
          <w:tcPr>
            <w:tcW w:w="681" w:type="pct"/>
          </w:tcPr>
          <w:p w:rsidR="000B5C96" w:rsidRPr="00540516"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 xml:space="preserve">-2,196.0 </w:t>
            </w:r>
          </w:p>
        </w:tc>
      </w:tr>
    </w:tbl>
    <w:p w:rsidR="000B5C96" w:rsidRPr="00540516" w:rsidRDefault="000B5C96" w:rsidP="00E54AEC">
      <w:pPr>
        <w:pStyle w:val="Footnotes"/>
        <w:numPr>
          <w:ilvl w:val="0"/>
          <w:numId w:val="310"/>
        </w:numPr>
        <w:ind w:left="284" w:hanging="284"/>
      </w:pPr>
      <w:r w:rsidRPr="00540516">
        <w:t>A positive number represents an increase in the relevant budget balance, a negative number represents a decrease.</w:t>
      </w:r>
    </w:p>
    <w:p w:rsidR="000B5C96" w:rsidRPr="00540516" w:rsidRDefault="000B5C96" w:rsidP="000B5C96">
      <w:pPr>
        <w:pStyle w:val="Footnotes"/>
        <w:numPr>
          <w:ilvl w:val="0"/>
          <w:numId w:val="7"/>
        </w:numPr>
        <w:ind w:left="284" w:hanging="284"/>
      </w:pPr>
      <w:r w:rsidRPr="00540516">
        <w:t>Figures may not sum to totals due to rounding.</w:t>
      </w:r>
    </w:p>
    <w:p w:rsidR="000B5C96" w:rsidRPr="00540516" w:rsidRDefault="000B5C96" w:rsidP="003F606A">
      <w:pPr>
        <w:pStyle w:val="CostingsH7"/>
      </w:pPr>
      <w:r w:rsidRPr="00540516">
        <w:t>Methodology</w:t>
      </w:r>
    </w:p>
    <w:p w:rsidR="000B5C96" w:rsidRPr="00540516" w:rsidRDefault="000B5C96" w:rsidP="003F606A">
      <w:pPr>
        <w:pStyle w:val="BodyText"/>
      </w:pPr>
      <w:r w:rsidRPr="00540516">
        <w:t>The costing estimates represent the difference between total Commonwealth financial implications under the proposal less total expected financial implications in the absence of the proposal using parameters as at the 2016 Pre-Election Economic and Fiscal Outlook.</w:t>
      </w:r>
    </w:p>
    <w:p w:rsidR="000B5C96" w:rsidRPr="00540516" w:rsidRDefault="000B5C96" w:rsidP="003F606A">
      <w:pPr>
        <w:pStyle w:val="BodyText"/>
      </w:pPr>
      <w:r w:rsidRPr="00540516">
        <w:t xml:space="preserve">Administered expenses were estimated using a combination of the Department of Social Services’ (DSS) Policy and Evaluation Model (PoEM) and the Treasury CAPITA model.  </w:t>
      </w:r>
    </w:p>
    <w:p w:rsidR="000B5C96" w:rsidRPr="00540516" w:rsidRDefault="000B5C96" w:rsidP="000B5C96">
      <w:pPr>
        <w:pStyle w:val="ListBullet"/>
        <w:numPr>
          <w:ilvl w:val="0"/>
          <w:numId w:val="123"/>
        </w:numPr>
        <w:ind w:left="454" w:hanging="454"/>
        <w:rPr>
          <w:lang w:eastAsia="en-AU"/>
        </w:rPr>
      </w:pPr>
      <w:r w:rsidRPr="00540516">
        <w:rPr>
          <w:lang w:eastAsia="en-AU"/>
        </w:rPr>
        <w:t xml:space="preserve">PoEM is based on DSS administrative data and covers the existing DSS client base, while CAPITA is based on Australian Bureau of Statistics Survey of Income and Household data which captures information for the broader population but with less detail.  </w:t>
      </w:r>
    </w:p>
    <w:p w:rsidR="000B5C96" w:rsidRPr="00540516" w:rsidRDefault="000B5C96" w:rsidP="003F606A">
      <w:pPr>
        <w:pStyle w:val="BodyText"/>
      </w:pPr>
      <w:r w:rsidRPr="00540516">
        <w:t xml:space="preserve">PoEM was used to estimate the financial implications of the proposal for the current beneficiary population.  The number of additional beneficiaries who become eligible for a part rate benefit payment as a result of the increase in rent assistance payments was estimated using CAPITA. </w:t>
      </w:r>
    </w:p>
    <w:p w:rsidR="000B5C96" w:rsidRPr="00540516" w:rsidRDefault="000B5C96" w:rsidP="003F606A">
      <w:pPr>
        <w:pStyle w:val="BodyText"/>
      </w:pPr>
      <w:r w:rsidRPr="00540516">
        <w:t>The elements of this costing that involve conducting reviews into the structure of Commonwealth Rent Assistance payments and linking payments to the level of rent paid, rather than the type of living arrangement people may be in, are assumed to be conducted within existing departmental funding.</w:t>
      </w:r>
    </w:p>
    <w:p w:rsidR="000B5C96" w:rsidRPr="00540516" w:rsidRDefault="000B5C96" w:rsidP="003F606A">
      <w:pPr>
        <w:pStyle w:val="BodyText"/>
      </w:pPr>
      <w:r w:rsidRPr="00540516">
        <w:t xml:space="preserve">Departmental estimates were calculated by multiplying the Department of Human Services (DHS) per unit processing cost by the number of new recipients that would receive rent assistance as a result of this proposal.  </w:t>
      </w:r>
    </w:p>
    <w:p w:rsidR="000B5C96" w:rsidRPr="00540516" w:rsidRDefault="000B5C96" w:rsidP="003F606A">
      <w:pPr>
        <w:pStyle w:val="BodyText"/>
      </w:pPr>
      <w:r w:rsidRPr="00540516">
        <w:t xml:space="preserve">Administered expenses </w:t>
      </w:r>
      <w:r>
        <w:t>and d</w:t>
      </w:r>
      <w:r w:rsidRPr="00540516">
        <w:t>epartmental expenses have been rounded to the nearest $1 million.</w:t>
      </w:r>
    </w:p>
    <w:p w:rsidR="000B5C96" w:rsidRPr="00540516" w:rsidRDefault="000B5C96" w:rsidP="003F606A">
      <w:pPr>
        <w:pStyle w:val="CostingsH7"/>
      </w:pPr>
      <w:r w:rsidRPr="00540516">
        <w:t>Data sources</w:t>
      </w:r>
    </w:p>
    <w:p w:rsidR="000B5C96" w:rsidRPr="00540516" w:rsidRDefault="000B5C96" w:rsidP="000B5C96">
      <w:pPr>
        <w:pStyle w:val="ListBullet"/>
        <w:keepNext/>
        <w:numPr>
          <w:ilvl w:val="0"/>
          <w:numId w:val="123"/>
        </w:numPr>
        <w:ind w:left="454" w:hanging="454"/>
        <w:rPr>
          <w:lang w:eastAsia="en-AU"/>
        </w:rPr>
      </w:pPr>
      <w:r w:rsidRPr="00540516">
        <w:rPr>
          <w:lang w:eastAsia="en-AU"/>
        </w:rPr>
        <w:t>Rent and other dwelling service, 2016-17 Budget, Department of the Treasury.</w:t>
      </w:r>
    </w:p>
    <w:p w:rsidR="000B5C96" w:rsidRPr="00540516" w:rsidRDefault="000B5C96" w:rsidP="000B5C96">
      <w:pPr>
        <w:pStyle w:val="ListBullet"/>
        <w:keepNext/>
        <w:numPr>
          <w:ilvl w:val="0"/>
          <w:numId w:val="123"/>
        </w:numPr>
        <w:ind w:left="454" w:hanging="454"/>
        <w:rPr>
          <w:lang w:eastAsia="en-AU"/>
        </w:rPr>
      </w:pPr>
      <w:r w:rsidRPr="00540516">
        <w:rPr>
          <w:lang w:eastAsia="en-AU"/>
        </w:rPr>
        <w:t>Policy and Evaluation Model, DSS.</w:t>
      </w:r>
    </w:p>
    <w:p w:rsidR="000B5C96" w:rsidRPr="00540516" w:rsidRDefault="000B5C96" w:rsidP="000B5C96">
      <w:pPr>
        <w:pStyle w:val="ListBullet"/>
        <w:keepNext/>
        <w:numPr>
          <w:ilvl w:val="0"/>
          <w:numId w:val="123"/>
        </w:numPr>
        <w:ind w:left="454" w:hanging="454"/>
        <w:rPr>
          <w:lang w:eastAsia="en-AU"/>
        </w:rPr>
      </w:pPr>
      <w:r w:rsidRPr="00540516">
        <w:rPr>
          <w:lang w:eastAsia="en-AU"/>
        </w:rPr>
        <w:t>CAPITA microsimulation model, Department of the Treasury.</w:t>
      </w:r>
    </w:p>
    <w:p w:rsidR="000B5C96" w:rsidRPr="00540516" w:rsidRDefault="000B5C96" w:rsidP="000B5C96">
      <w:pPr>
        <w:pStyle w:val="ListBullet"/>
        <w:numPr>
          <w:ilvl w:val="0"/>
          <w:numId w:val="123"/>
        </w:numPr>
        <w:ind w:left="454" w:hanging="454"/>
        <w:rPr>
          <w:lang w:eastAsia="en-AU"/>
        </w:rPr>
        <w:sectPr w:rsidR="000B5C96" w:rsidRPr="00540516" w:rsidSect="003F606A">
          <w:headerReference w:type="even" r:id="rId579"/>
          <w:headerReference w:type="default" r:id="rId580"/>
          <w:footerReference w:type="even" r:id="rId581"/>
          <w:footerReference w:type="default" r:id="rId582"/>
          <w:headerReference w:type="first" r:id="rId583"/>
          <w:footerReference w:type="first" r:id="rId584"/>
          <w:pgSz w:w="11906" w:h="16838"/>
          <w:pgMar w:top="1361" w:right="1797" w:bottom="1474" w:left="1797" w:header="283" w:footer="454" w:gutter="0"/>
          <w:cols w:space="708"/>
          <w:docGrid w:linePitch="360"/>
        </w:sectPr>
      </w:pPr>
      <w:r w:rsidRPr="00540516">
        <w:rPr>
          <w:lang w:eastAsia="en-AU"/>
        </w:rPr>
        <w:t>DHS departmental estimates for ‘Family Payment Reform - a new families package’ measure contained in 2015-16 Mid-Year Economic and Fiscal Outlook (MYEFO).</w:t>
      </w:r>
    </w:p>
    <w:p w:rsidR="000B5C96" w:rsidRPr="00540516" w:rsidRDefault="000B5C96" w:rsidP="000B5C96">
      <w:pPr>
        <w:pStyle w:val="Heading6"/>
        <w:numPr>
          <w:ilvl w:val="0"/>
          <w:numId w:val="5"/>
        </w:numPr>
        <w:tabs>
          <w:tab w:val="right" w:pos="1418"/>
          <w:tab w:val="right" w:pos="1701"/>
          <w:tab w:val="right" w:pos="1985"/>
        </w:tabs>
      </w:pPr>
      <w:r w:rsidRPr="00540516">
        <w:t>Attachment A: Increasing</w:t>
      </w:r>
      <w:r>
        <w:t xml:space="preserve"> Rent Assistance by 30 </w:t>
      </w:r>
      <w:r w:rsidRPr="00540516">
        <w:t>per cent—financial implications</w:t>
      </w:r>
    </w:p>
    <w:p w:rsidR="000B5C96" w:rsidRPr="00540516" w:rsidRDefault="000B5C96" w:rsidP="003F606A">
      <w:pPr>
        <w:pStyle w:val="Caption"/>
      </w:pPr>
      <w:r w:rsidRPr="00540516">
        <w:t>Table A.1: Increasing Rent Assistance by 30 per cent–Financial implications</w:t>
      </w:r>
      <w:r w:rsidRPr="00540516">
        <w:rPr>
          <w:vertAlign w:val="superscript"/>
        </w:rPr>
        <w:t>(a)(b)</w:t>
      </w:r>
    </w:p>
    <w:tbl>
      <w:tblPr>
        <w:tblStyle w:val="TableGrid68"/>
        <w:tblW w:w="4993" w:type="pct"/>
        <w:tblLook w:val="0680" w:firstRow="0" w:lastRow="0" w:firstColumn="1" w:lastColumn="0" w:noHBand="1" w:noVBand="1"/>
      </w:tblPr>
      <w:tblGrid>
        <w:gridCol w:w="2639"/>
        <w:gridCol w:w="1133"/>
        <w:gridCol w:w="1134"/>
        <w:gridCol w:w="1134"/>
        <w:gridCol w:w="1134"/>
        <w:gridCol w:w="1137"/>
      </w:tblGrid>
      <w:tr w:rsidR="000B5C96" w:rsidRPr="00540516" w:rsidTr="003F606A">
        <w:trPr>
          <w:cantSplit/>
        </w:trPr>
        <w:tc>
          <w:tcPr>
            <w:cnfStyle w:val="001000000000" w:firstRow="0" w:lastRow="0" w:firstColumn="1" w:lastColumn="0" w:oddVBand="0" w:evenVBand="0" w:oddHBand="0" w:evenHBand="0" w:firstRowFirstColumn="0" w:firstRowLastColumn="0" w:lastRowFirstColumn="0" w:lastRowLastColumn="0"/>
            <w:tcW w:w="1588" w:type="pct"/>
            <w:tcBorders>
              <w:bottom w:val="single" w:sz="4" w:space="0" w:color="808080"/>
            </w:tcBorders>
            <w:shd w:val="clear" w:color="auto" w:fill="D7DDE9"/>
          </w:tcPr>
          <w:p w:rsidR="000B5C96" w:rsidRPr="00540516" w:rsidRDefault="000B5C96" w:rsidP="003F606A">
            <w:pPr>
              <w:keepNext/>
              <w:keepLines/>
            </w:pPr>
            <w:r w:rsidRPr="00540516">
              <w:t>($m)</w:t>
            </w:r>
          </w:p>
        </w:tc>
        <w:tc>
          <w:tcPr>
            <w:tcW w:w="682" w:type="pct"/>
            <w:tcBorders>
              <w:bottom w:val="single" w:sz="4" w:space="0" w:color="808080"/>
            </w:tcBorders>
            <w:shd w:val="clear" w:color="auto" w:fill="D7DDE9"/>
          </w:tcPr>
          <w:p w:rsidR="000B5C96" w:rsidRPr="00540516" w:rsidRDefault="000B5C96" w:rsidP="003F606A">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2016–17</w:t>
            </w:r>
          </w:p>
        </w:tc>
        <w:tc>
          <w:tcPr>
            <w:tcW w:w="682" w:type="pct"/>
            <w:tcBorders>
              <w:bottom w:val="single" w:sz="4" w:space="0" w:color="808080"/>
            </w:tcBorders>
            <w:shd w:val="clear" w:color="auto" w:fill="D7DDE9"/>
          </w:tcPr>
          <w:p w:rsidR="000B5C96" w:rsidRPr="00540516" w:rsidRDefault="000B5C96" w:rsidP="003F606A">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2017–18</w:t>
            </w:r>
          </w:p>
        </w:tc>
        <w:tc>
          <w:tcPr>
            <w:tcW w:w="682" w:type="pct"/>
            <w:tcBorders>
              <w:bottom w:val="single" w:sz="4" w:space="0" w:color="808080"/>
            </w:tcBorders>
            <w:shd w:val="clear" w:color="auto" w:fill="D7DDE9"/>
          </w:tcPr>
          <w:p w:rsidR="000B5C96" w:rsidRPr="00540516" w:rsidRDefault="000B5C96" w:rsidP="003F606A">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2018–19</w:t>
            </w:r>
          </w:p>
        </w:tc>
        <w:tc>
          <w:tcPr>
            <w:tcW w:w="682" w:type="pct"/>
            <w:tcBorders>
              <w:bottom w:val="single" w:sz="4" w:space="0" w:color="808080"/>
            </w:tcBorders>
            <w:shd w:val="clear" w:color="auto" w:fill="D7DDE9"/>
          </w:tcPr>
          <w:p w:rsidR="000B5C96" w:rsidRPr="00540516" w:rsidRDefault="000B5C96" w:rsidP="003F606A">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2019–20</w:t>
            </w:r>
          </w:p>
        </w:tc>
        <w:tc>
          <w:tcPr>
            <w:tcW w:w="683" w:type="pct"/>
            <w:tcBorders>
              <w:bottom w:val="single" w:sz="4" w:space="0" w:color="808080"/>
            </w:tcBorders>
            <w:shd w:val="clear" w:color="auto" w:fill="D7DDE9"/>
          </w:tcPr>
          <w:p w:rsidR="000B5C96" w:rsidRPr="00540516" w:rsidRDefault="000B5C96" w:rsidP="003F606A">
            <w:pPr>
              <w:keepNext/>
              <w:keepLines/>
              <w:ind w:left="85" w:right="85"/>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Total to 2019–20</w:t>
            </w:r>
          </w:p>
        </w:tc>
      </w:tr>
      <w:tr w:rsidR="000B5C96" w:rsidRPr="00540516"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540516" w:rsidRDefault="000B5C96" w:rsidP="003F606A">
            <w:pPr>
              <w:ind w:left="57" w:right="57"/>
              <w:rPr>
                <w:b/>
              </w:rPr>
            </w:pPr>
            <w:r w:rsidRPr="00540516">
              <w:rPr>
                <w:b/>
              </w:rPr>
              <w:t>Impact on fiscal balance</w:t>
            </w:r>
          </w:p>
        </w:tc>
      </w:tr>
      <w:tr w:rsidR="000B5C96" w:rsidRPr="00540516" w:rsidTr="003F606A">
        <w:trPr>
          <w:cantSplit/>
        </w:trPr>
        <w:tc>
          <w:tcPr>
            <w:cnfStyle w:val="001000000000" w:firstRow="0" w:lastRow="0" w:firstColumn="1" w:lastColumn="0" w:oddVBand="0" w:evenVBand="0" w:oddHBand="0" w:evenHBand="0" w:firstRowFirstColumn="0" w:firstRowLastColumn="0" w:lastRowFirstColumn="0" w:lastRowLastColumn="0"/>
            <w:tcW w:w="1588" w:type="pct"/>
          </w:tcPr>
          <w:p w:rsidR="000B5C96" w:rsidRPr="00540516" w:rsidRDefault="000B5C96" w:rsidP="003F606A">
            <w:pPr>
              <w:keepNext/>
              <w:keepLines/>
              <w:rPr>
                <w:i/>
              </w:rPr>
            </w:pPr>
            <w:r w:rsidRPr="00540516">
              <w:rPr>
                <w:i/>
              </w:rPr>
              <w:t xml:space="preserve">Administered </w:t>
            </w:r>
          </w:p>
        </w:tc>
        <w:tc>
          <w:tcPr>
            <w:tcW w:w="682"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 xml:space="preserve"> -   </w:t>
            </w:r>
          </w:p>
        </w:tc>
        <w:tc>
          <w:tcPr>
            <w:tcW w:w="682" w:type="pct"/>
            <w:vAlign w:val="bottom"/>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40516">
              <w:rPr>
                <w:rFonts w:ascii="Calibri" w:hAnsi="Calibri"/>
                <w:i/>
              </w:rPr>
              <w:t>-357</w:t>
            </w:r>
          </w:p>
        </w:tc>
        <w:tc>
          <w:tcPr>
            <w:tcW w:w="682" w:type="pct"/>
            <w:vAlign w:val="bottom"/>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40516">
              <w:rPr>
                <w:rFonts w:ascii="Calibri" w:hAnsi="Calibri"/>
                <w:i/>
              </w:rPr>
              <w:t>-730</w:t>
            </w:r>
          </w:p>
        </w:tc>
        <w:tc>
          <w:tcPr>
            <w:tcW w:w="682" w:type="pct"/>
            <w:vAlign w:val="bottom"/>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40516">
              <w:rPr>
                <w:rFonts w:ascii="Calibri" w:hAnsi="Calibri"/>
                <w:i/>
              </w:rPr>
              <w:t>-1,130</w:t>
            </w:r>
          </w:p>
        </w:tc>
        <w:tc>
          <w:tcPr>
            <w:tcW w:w="683"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540516">
              <w:rPr>
                <w:rFonts w:ascii="Calibri" w:hAnsi="Calibri"/>
                <w:b/>
                <w:i/>
              </w:rPr>
              <w:t xml:space="preserve">-2,216 </w:t>
            </w:r>
          </w:p>
        </w:tc>
      </w:tr>
      <w:tr w:rsidR="000B5C96" w:rsidRPr="00540516" w:rsidTr="003F606A">
        <w:trPr>
          <w:cantSplit/>
        </w:trPr>
        <w:tc>
          <w:tcPr>
            <w:cnfStyle w:val="001000000000" w:firstRow="0" w:lastRow="0" w:firstColumn="1" w:lastColumn="0" w:oddVBand="0" w:evenVBand="0" w:oddHBand="0" w:evenHBand="0" w:firstRowFirstColumn="0" w:firstRowLastColumn="0" w:lastRowFirstColumn="0" w:lastRowLastColumn="0"/>
            <w:tcW w:w="1588" w:type="pct"/>
          </w:tcPr>
          <w:p w:rsidR="000B5C96" w:rsidRPr="00540516" w:rsidRDefault="000B5C96" w:rsidP="003F606A">
            <w:pPr>
              <w:keepNext/>
              <w:keepLines/>
              <w:rPr>
                <w:i/>
              </w:rPr>
            </w:pPr>
            <w:r w:rsidRPr="00540516">
              <w:rPr>
                <w:i/>
              </w:rPr>
              <w:t>Departmental</w:t>
            </w:r>
          </w:p>
        </w:tc>
        <w:tc>
          <w:tcPr>
            <w:tcW w:w="682"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 xml:space="preserve"> -   </w:t>
            </w:r>
          </w:p>
        </w:tc>
        <w:tc>
          <w:tcPr>
            <w:tcW w:w="682"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40516">
              <w:rPr>
                <w:rFonts w:ascii="Calibri" w:hAnsi="Calibri"/>
                <w:i/>
              </w:rPr>
              <w:t xml:space="preserve"> .. </w:t>
            </w:r>
          </w:p>
        </w:tc>
        <w:tc>
          <w:tcPr>
            <w:tcW w:w="682"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40516">
              <w:rPr>
                <w:rFonts w:ascii="Calibri" w:hAnsi="Calibri"/>
                <w:i/>
              </w:rPr>
              <w:t xml:space="preserve"> .. </w:t>
            </w:r>
          </w:p>
        </w:tc>
        <w:tc>
          <w:tcPr>
            <w:tcW w:w="682"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40516">
              <w:rPr>
                <w:rFonts w:ascii="Calibri" w:hAnsi="Calibri"/>
                <w:i/>
              </w:rPr>
              <w:t xml:space="preserve"> .. </w:t>
            </w:r>
          </w:p>
        </w:tc>
        <w:tc>
          <w:tcPr>
            <w:tcW w:w="683"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540516">
              <w:rPr>
                <w:rFonts w:ascii="Calibri" w:hAnsi="Calibri"/>
                <w:b/>
                <w:i/>
              </w:rPr>
              <w:t xml:space="preserve">-1 </w:t>
            </w:r>
          </w:p>
        </w:tc>
      </w:tr>
      <w:tr w:rsidR="000B5C96" w:rsidRPr="00540516" w:rsidTr="003F606A">
        <w:trPr>
          <w:cantSplit/>
        </w:trPr>
        <w:tc>
          <w:tcPr>
            <w:cnfStyle w:val="001000000000" w:firstRow="0" w:lastRow="0" w:firstColumn="1" w:lastColumn="0" w:oddVBand="0" w:evenVBand="0" w:oddHBand="0" w:evenHBand="0" w:firstRowFirstColumn="0" w:firstRowLastColumn="0" w:lastRowFirstColumn="0" w:lastRowLastColumn="0"/>
            <w:tcW w:w="1588" w:type="pct"/>
            <w:shd w:val="clear" w:color="auto" w:fill="D7DDE9"/>
          </w:tcPr>
          <w:p w:rsidR="000B5C96" w:rsidRPr="00540516" w:rsidRDefault="000B5C96" w:rsidP="003F606A">
            <w:pPr>
              <w:keepNext/>
              <w:keepLines/>
            </w:pPr>
            <w:r w:rsidRPr="00540516">
              <w:rPr>
                <w:b/>
              </w:rPr>
              <w:t>Total</w:t>
            </w:r>
          </w:p>
        </w:tc>
        <w:tc>
          <w:tcPr>
            <w:tcW w:w="682" w:type="pct"/>
            <w:shd w:val="clear" w:color="auto" w:fill="D7DDE9"/>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 xml:space="preserve"> -   </w:t>
            </w:r>
          </w:p>
        </w:tc>
        <w:tc>
          <w:tcPr>
            <w:tcW w:w="682" w:type="pct"/>
            <w:shd w:val="clear" w:color="auto" w:fill="D7DDE9"/>
            <w:vAlign w:val="bottom"/>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-357</w:t>
            </w:r>
          </w:p>
        </w:tc>
        <w:tc>
          <w:tcPr>
            <w:tcW w:w="682" w:type="pct"/>
            <w:shd w:val="clear" w:color="auto" w:fill="D7DDE9"/>
            <w:vAlign w:val="bottom"/>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-730</w:t>
            </w:r>
          </w:p>
        </w:tc>
        <w:tc>
          <w:tcPr>
            <w:tcW w:w="682" w:type="pct"/>
            <w:shd w:val="clear" w:color="auto" w:fill="D7DDE9"/>
            <w:vAlign w:val="bottom"/>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-1,130</w:t>
            </w:r>
          </w:p>
        </w:tc>
        <w:tc>
          <w:tcPr>
            <w:tcW w:w="683" w:type="pct"/>
            <w:shd w:val="clear" w:color="auto" w:fill="D7DDE9"/>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 xml:space="preserve">-2,217 </w:t>
            </w:r>
          </w:p>
        </w:tc>
      </w:tr>
      <w:tr w:rsidR="000B5C96" w:rsidRPr="00540516"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9ECF3"/>
          </w:tcPr>
          <w:p w:rsidR="000B5C96" w:rsidRPr="00540516" w:rsidRDefault="000B5C96" w:rsidP="003F606A">
            <w:pPr>
              <w:ind w:left="57" w:right="57"/>
              <w:rPr>
                <w:b/>
                <w:i/>
              </w:rPr>
            </w:pPr>
            <w:r w:rsidRPr="00540516">
              <w:rPr>
                <w:b/>
              </w:rPr>
              <w:t>Impact on underlying cash balance</w:t>
            </w:r>
          </w:p>
        </w:tc>
      </w:tr>
      <w:tr w:rsidR="000B5C96" w:rsidRPr="00540516" w:rsidTr="003F606A">
        <w:trPr>
          <w:cantSplit/>
        </w:trPr>
        <w:tc>
          <w:tcPr>
            <w:cnfStyle w:val="001000000000" w:firstRow="0" w:lastRow="0" w:firstColumn="1" w:lastColumn="0" w:oddVBand="0" w:evenVBand="0" w:oddHBand="0" w:evenHBand="0" w:firstRowFirstColumn="0" w:firstRowLastColumn="0" w:lastRowFirstColumn="0" w:lastRowLastColumn="0"/>
            <w:tcW w:w="1588" w:type="pct"/>
          </w:tcPr>
          <w:p w:rsidR="000B5C96" w:rsidRPr="00540516" w:rsidRDefault="000B5C96" w:rsidP="003F606A">
            <w:pPr>
              <w:keepNext/>
              <w:keepLines/>
              <w:rPr>
                <w:i/>
              </w:rPr>
            </w:pPr>
            <w:r w:rsidRPr="00540516">
              <w:rPr>
                <w:i/>
              </w:rPr>
              <w:t xml:space="preserve">Administered </w:t>
            </w:r>
          </w:p>
        </w:tc>
        <w:tc>
          <w:tcPr>
            <w:tcW w:w="682"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 xml:space="preserve"> -   </w:t>
            </w:r>
          </w:p>
        </w:tc>
        <w:tc>
          <w:tcPr>
            <w:tcW w:w="682" w:type="pct"/>
            <w:vAlign w:val="bottom"/>
          </w:tcPr>
          <w:p w:rsidR="000B5C96" w:rsidRPr="00540516" w:rsidRDefault="000B5C96" w:rsidP="003F606A">
            <w:pPr>
              <w:spacing w:before="114" w:after="114"/>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0516">
              <w:rPr>
                <w:rFonts w:ascii="Calibri" w:hAnsi="Calibri"/>
                <w:i/>
                <w:color w:val="000000"/>
                <w:szCs w:val="20"/>
              </w:rPr>
              <w:t>-353</w:t>
            </w:r>
          </w:p>
        </w:tc>
        <w:tc>
          <w:tcPr>
            <w:tcW w:w="682" w:type="pct"/>
            <w:vAlign w:val="bottom"/>
          </w:tcPr>
          <w:p w:rsidR="000B5C96" w:rsidRPr="00540516" w:rsidRDefault="000B5C96" w:rsidP="003F606A">
            <w:pPr>
              <w:spacing w:before="114" w:after="114"/>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0516">
              <w:rPr>
                <w:rFonts w:ascii="Calibri" w:hAnsi="Calibri"/>
                <w:i/>
                <w:color w:val="000000"/>
                <w:szCs w:val="20"/>
              </w:rPr>
              <w:t>-723</w:t>
            </w:r>
          </w:p>
        </w:tc>
        <w:tc>
          <w:tcPr>
            <w:tcW w:w="682" w:type="pct"/>
            <w:vAlign w:val="bottom"/>
          </w:tcPr>
          <w:p w:rsidR="000B5C96" w:rsidRPr="00540516" w:rsidRDefault="000B5C96" w:rsidP="003F606A">
            <w:pPr>
              <w:spacing w:before="114" w:after="114"/>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540516">
              <w:rPr>
                <w:rFonts w:ascii="Calibri" w:hAnsi="Calibri"/>
                <w:i/>
                <w:color w:val="000000"/>
                <w:szCs w:val="20"/>
              </w:rPr>
              <w:t>-1,120</w:t>
            </w:r>
          </w:p>
        </w:tc>
        <w:tc>
          <w:tcPr>
            <w:tcW w:w="683"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540516">
              <w:rPr>
                <w:rFonts w:ascii="Calibri" w:hAnsi="Calibri"/>
                <w:b/>
                <w:i/>
              </w:rPr>
              <w:t xml:space="preserve">-2,195 </w:t>
            </w:r>
          </w:p>
        </w:tc>
      </w:tr>
      <w:tr w:rsidR="000B5C96" w:rsidRPr="00540516" w:rsidTr="003F606A">
        <w:trPr>
          <w:cantSplit/>
        </w:trPr>
        <w:tc>
          <w:tcPr>
            <w:cnfStyle w:val="001000000000" w:firstRow="0" w:lastRow="0" w:firstColumn="1" w:lastColumn="0" w:oddVBand="0" w:evenVBand="0" w:oddHBand="0" w:evenHBand="0" w:firstRowFirstColumn="0" w:firstRowLastColumn="0" w:lastRowFirstColumn="0" w:lastRowLastColumn="0"/>
            <w:tcW w:w="1588" w:type="pct"/>
          </w:tcPr>
          <w:p w:rsidR="000B5C96" w:rsidRPr="00540516" w:rsidRDefault="000B5C96" w:rsidP="003F606A">
            <w:pPr>
              <w:keepNext/>
              <w:keepLines/>
              <w:rPr>
                <w:i/>
              </w:rPr>
            </w:pPr>
            <w:r w:rsidRPr="00540516">
              <w:rPr>
                <w:i/>
              </w:rPr>
              <w:t>Departmental</w:t>
            </w:r>
          </w:p>
        </w:tc>
        <w:tc>
          <w:tcPr>
            <w:tcW w:w="682"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540516">
              <w:rPr>
                <w:rFonts w:ascii="Calibri" w:hAnsi="Calibri"/>
              </w:rPr>
              <w:t xml:space="preserve"> -   </w:t>
            </w:r>
          </w:p>
        </w:tc>
        <w:tc>
          <w:tcPr>
            <w:tcW w:w="682"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40516">
              <w:rPr>
                <w:rFonts w:ascii="Calibri" w:hAnsi="Calibri"/>
                <w:i/>
              </w:rPr>
              <w:t xml:space="preserve"> .. </w:t>
            </w:r>
          </w:p>
        </w:tc>
        <w:tc>
          <w:tcPr>
            <w:tcW w:w="682"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40516">
              <w:rPr>
                <w:rFonts w:ascii="Calibri" w:hAnsi="Calibri"/>
                <w:i/>
              </w:rPr>
              <w:t xml:space="preserve"> .. </w:t>
            </w:r>
          </w:p>
        </w:tc>
        <w:tc>
          <w:tcPr>
            <w:tcW w:w="682"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540516">
              <w:rPr>
                <w:rFonts w:ascii="Calibri" w:hAnsi="Calibri"/>
                <w:i/>
              </w:rPr>
              <w:t xml:space="preserve"> .. </w:t>
            </w:r>
          </w:p>
        </w:tc>
        <w:tc>
          <w:tcPr>
            <w:tcW w:w="683" w:type="pct"/>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540516">
              <w:rPr>
                <w:rFonts w:ascii="Calibri" w:hAnsi="Calibri"/>
                <w:b/>
                <w:i/>
              </w:rPr>
              <w:t xml:space="preserve">-1 </w:t>
            </w:r>
          </w:p>
        </w:tc>
      </w:tr>
      <w:tr w:rsidR="000B5C96" w:rsidRPr="00540516" w:rsidTr="003F606A">
        <w:trPr>
          <w:cantSplit/>
        </w:trPr>
        <w:tc>
          <w:tcPr>
            <w:cnfStyle w:val="001000000000" w:firstRow="0" w:lastRow="0" w:firstColumn="1" w:lastColumn="0" w:oddVBand="0" w:evenVBand="0" w:oddHBand="0" w:evenHBand="0" w:firstRowFirstColumn="0" w:firstRowLastColumn="0" w:lastRowFirstColumn="0" w:lastRowLastColumn="0"/>
            <w:tcW w:w="1588" w:type="pct"/>
            <w:shd w:val="clear" w:color="auto" w:fill="D7DDE9"/>
          </w:tcPr>
          <w:p w:rsidR="000B5C96" w:rsidRPr="00540516" w:rsidRDefault="000B5C96" w:rsidP="003F606A">
            <w:pPr>
              <w:keepNext/>
              <w:keepLines/>
            </w:pPr>
            <w:r w:rsidRPr="00540516">
              <w:rPr>
                <w:b/>
              </w:rPr>
              <w:t>Total</w:t>
            </w:r>
          </w:p>
        </w:tc>
        <w:tc>
          <w:tcPr>
            <w:tcW w:w="682" w:type="pct"/>
            <w:shd w:val="clear" w:color="auto" w:fill="D7DDE9"/>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 xml:space="preserve"> -   </w:t>
            </w:r>
          </w:p>
        </w:tc>
        <w:tc>
          <w:tcPr>
            <w:tcW w:w="682" w:type="pct"/>
            <w:shd w:val="clear" w:color="auto" w:fill="D7DDE9"/>
            <w:vAlign w:val="bottom"/>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-353</w:t>
            </w:r>
          </w:p>
        </w:tc>
        <w:tc>
          <w:tcPr>
            <w:tcW w:w="682" w:type="pct"/>
            <w:shd w:val="clear" w:color="auto" w:fill="D7DDE9"/>
            <w:vAlign w:val="bottom"/>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-723</w:t>
            </w:r>
          </w:p>
        </w:tc>
        <w:tc>
          <w:tcPr>
            <w:tcW w:w="682" w:type="pct"/>
            <w:shd w:val="clear" w:color="auto" w:fill="D7DDE9"/>
            <w:vAlign w:val="bottom"/>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-1,120</w:t>
            </w:r>
          </w:p>
        </w:tc>
        <w:tc>
          <w:tcPr>
            <w:tcW w:w="683" w:type="pct"/>
            <w:shd w:val="clear" w:color="auto" w:fill="D7DDE9"/>
          </w:tcPr>
          <w:p w:rsidR="000B5C96" w:rsidRPr="00540516"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540516">
              <w:rPr>
                <w:rFonts w:ascii="Calibri" w:hAnsi="Calibri"/>
                <w:b/>
              </w:rPr>
              <w:t xml:space="preserve">-2,196 </w:t>
            </w:r>
          </w:p>
        </w:tc>
      </w:tr>
    </w:tbl>
    <w:p w:rsidR="000B5C96" w:rsidRDefault="000B5C96" w:rsidP="00E54AEC">
      <w:pPr>
        <w:pStyle w:val="Footnotes"/>
        <w:numPr>
          <w:ilvl w:val="0"/>
          <w:numId w:val="311"/>
        </w:numPr>
        <w:ind w:left="284" w:hanging="284"/>
      </w:pPr>
      <w:r w:rsidRPr="00540516">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540516" w:rsidRDefault="000B5C96" w:rsidP="000B5C96">
      <w:pPr>
        <w:pStyle w:val="Footnotes"/>
        <w:numPr>
          <w:ilvl w:val="0"/>
          <w:numId w:val="7"/>
        </w:numPr>
        <w:ind w:left="284" w:hanging="284"/>
      </w:pPr>
      <w:r w:rsidRPr="00540516">
        <w:t>Figures may not sum to totals due to rounding.</w:t>
      </w:r>
    </w:p>
    <w:p w:rsidR="000B5C96" w:rsidRPr="00540516" w:rsidRDefault="000B5C96" w:rsidP="003F606A">
      <w:pPr>
        <w:pStyle w:val="Footnotes"/>
        <w:numPr>
          <w:ilvl w:val="0"/>
          <w:numId w:val="0"/>
        </w:numPr>
        <w:ind w:left="284" w:hanging="284"/>
      </w:pPr>
      <w:r w:rsidRPr="00540516">
        <w:t>..</w:t>
      </w:r>
      <w:r>
        <w:tab/>
      </w:r>
      <w:r w:rsidRPr="00540516">
        <w:tab/>
        <w:t>Indicates not zero, but rounded to zero.</w:t>
      </w:r>
    </w:p>
    <w:p w:rsidR="000B5C96" w:rsidRDefault="000B5C96" w:rsidP="000B5C96">
      <w:pPr>
        <w:pStyle w:val="Footnotes"/>
        <w:numPr>
          <w:ilvl w:val="0"/>
          <w:numId w:val="121"/>
        </w:numPr>
        <w:ind w:left="284" w:hanging="284"/>
      </w:pPr>
      <w:r w:rsidRPr="00540516">
        <w:tab/>
        <w:t>Indicates a nil value.</w:t>
      </w:r>
    </w:p>
    <w:p w:rsidR="000B5C96" w:rsidRPr="00540516" w:rsidRDefault="000B5C96" w:rsidP="003F606A">
      <w:pPr>
        <w:pStyle w:val="BodyText"/>
        <w:sectPr w:rsidR="000B5C96" w:rsidRPr="0054051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13" w:name="_Toc458001986"/>
      <w:bookmarkStart w:id="214" w:name="_Toc458069471"/>
      <w:r>
        <w:t>GRN080: Independent and Flourishing Arts</w:t>
      </w:r>
      <w:bookmarkEnd w:id="213"/>
      <w:bookmarkEnd w:id="214"/>
    </w:p>
    <w:p w:rsidR="000B5C96" w:rsidRPr="008A0AE1" w:rsidRDefault="000B5C96" w:rsidP="003F606A">
      <w:pPr>
        <w:pStyle w:val="BodyText"/>
        <w:rPr>
          <w:rFonts w:asciiTheme="majorHAnsi" w:eastAsiaTheme="majorEastAsia" w:hAnsiTheme="majorHAnsi" w:cstheme="majorBidi"/>
          <w:color w:val="636366"/>
          <w:sz w:val="24"/>
        </w:rPr>
      </w:pPr>
      <w:r>
        <w:rPr>
          <w:noProof/>
          <w:lang w:eastAsia="en-AU"/>
        </w:rPr>
        <w:drawing>
          <wp:inline distT="0" distB="0" distL="0" distR="0" wp14:anchorId="16562000" wp14:editId="0116652A">
            <wp:extent cx="2696845" cy="572135"/>
            <wp:effectExtent l="0" t="0" r="8255" b="0"/>
            <wp:docPr id="491" name="Picture 49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Default="000B5C96" w:rsidP="000B5C96">
      <w:pPr>
        <w:pStyle w:val="Heading6"/>
        <w:numPr>
          <w:ilvl w:val="0"/>
          <w:numId w:val="5"/>
        </w:numPr>
        <w:tabs>
          <w:tab w:val="right" w:pos="1418"/>
          <w:tab w:val="right" w:pos="1701"/>
          <w:tab w:val="right" w:pos="1985"/>
        </w:tabs>
      </w:pPr>
      <w:r w:rsidRPr="00002D5D">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Ensuring the independence and flourishing of the arts</w:t>
            </w:r>
          </w:p>
        </w:tc>
      </w:tr>
      <w:tr w:rsidR="000B5C96" w:rsidTr="003F606A">
        <w:tc>
          <w:tcPr>
            <w:tcW w:w="3005" w:type="dxa"/>
          </w:tcPr>
          <w:p w:rsidR="000B5C96" w:rsidRDefault="000B5C96" w:rsidP="003F606A">
            <w:pPr>
              <w:pStyle w:val="PullOutBoxBodyText"/>
            </w:pPr>
            <w:r>
              <w:t>Summary of proposal:</w:t>
            </w:r>
          </w:p>
        </w:tc>
        <w:tc>
          <w:tcPr>
            <w:tcW w:w="5335" w:type="dxa"/>
          </w:tcPr>
          <w:p w:rsidR="000B5C96" w:rsidRDefault="000B5C96" w:rsidP="003F606A">
            <w:pPr>
              <w:pStyle w:val="PullOutBoxBodyText"/>
            </w:pPr>
            <w:r>
              <w:t>The proposal would restore Commonwealth arts funding and implement new programs to support artists and the arts industry.</w:t>
            </w:r>
          </w:p>
          <w:p w:rsidR="000B5C96" w:rsidRDefault="000B5C96" w:rsidP="003F606A">
            <w:pPr>
              <w:pStyle w:val="PullOutBoxBodyText"/>
            </w:pPr>
            <w:r>
              <w:t>The proposal has 14 components.</w:t>
            </w:r>
          </w:p>
          <w:p w:rsidR="000B5C96" w:rsidRPr="008909A1" w:rsidRDefault="000B5C96" w:rsidP="003F606A">
            <w:pPr>
              <w:pStyle w:val="PullOutBoxBodyText"/>
              <w:rPr>
                <w:u w:val="single"/>
              </w:rPr>
            </w:pPr>
            <w:r w:rsidRPr="008909A1">
              <w:rPr>
                <w:u w:val="single"/>
              </w:rPr>
              <w:t>Component 1: Restore Australia Council funding</w:t>
            </w:r>
          </w:p>
          <w:p w:rsidR="000B5C96" w:rsidRDefault="000B5C96" w:rsidP="000B5C96">
            <w:pPr>
              <w:pStyle w:val="PullOutBoxBullet"/>
              <w:numPr>
                <w:ilvl w:val="0"/>
                <w:numId w:val="2"/>
              </w:numPr>
              <w:ind w:left="397"/>
            </w:pPr>
            <w:r>
              <w:t>Restore funding cut from the Australia Council to 2013-14 levels, including:</w:t>
            </w:r>
          </w:p>
          <w:p w:rsidR="000B5C96" w:rsidRDefault="000B5C96" w:rsidP="000B5C96">
            <w:pPr>
              <w:pStyle w:val="PullOutBoxBullet2"/>
              <w:numPr>
                <w:ilvl w:val="1"/>
                <w:numId w:val="2"/>
              </w:numPr>
              <w:ind w:left="737"/>
            </w:pPr>
            <w:r>
              <w:t>$2 million to re-establish the ArtStart program</w:t>
            </w:r>
          </w:p>
          <w:p w:rsidR="000B5C96" w:rsidRDefault="000B5C96" w:rsidP="000B5C96">
            <w:pPr>
              <w:pStyle w:val="PullOutBoxBullet2"/>
              <w:numPr>
                <w:ilvl w:val="1"/>
                <w:numId w:val="2"/>
              </w:numPr>
              <w:ind w:left="737"/>
            </w:pPr>
            <w:r>
              <w:t>$1.3 million to re-introduce the artists in residence program in schools.</w:t>
            </w:r>
          </w:p>
          <w:p w:rsidR="000B5C96" w:rsidRPr="008909A1" w:rsidRDefault="000B5C96" w:rsidP="003F606A">
            <w:pPr>
              <w:pStyle w:val="PullOutBoxBodyText"/>
              <w:rPr>
                <w:u w:val="single"/>
              </w:rPr>
            </w:pPr>
            <w:r w:rsidRPr="008909A1">
              <w:rPr>
                <w:u w:val="single"/>
              </w:rPr>
              <w:t xml:space="preserve">Component 2: ArtStart program </w:t>
            </w:r>
          </w:p>
          <w:p w:rsidR="000B5C96" w:rsidRPr="009716F9" w:rsidRDefault="000B5C96" w:rsidP="000B5C96">
            <w:pPr>
              <w:pStyle w:val="PullOutBoxBullet"/>
              <w:numPr>
                <w:ilvl w:val="0"/>
                <w:numId w:val="2"/>
              </w:numPr>
              <w:ind w:left="397"/>
            </w:pPr>
            <w:r>
              <w:t xml:space="preserve">An additional </w:t>
            </w:r>
            <w:r w:rsidRPr="009716F9">
              <w:t>$3 million</w:t>
            </w:r>
            <w:r>
              <w:t xml:space="preserve"> to the ArtStart program.</w:t>
            </w:r>
          </w:p>
          <w:p w:rsidR="000B5C96" w:rsidRPr="008909A1" w:rsidRDefault="000B5C96" w:rsidP="003F606A">
            <w:pPr>
              <w:pStyle w:val="PullOutBoxBodyText"/>
              <w:rPr>
                <w:u w:val="single"/>
              </w:rPr>
            </w:pPr>
            <w:r w:rsidRPr="008909A1">
              <w:rPr>
                <w:u w:val="single"/>
              </w:rPr>
              <w:t>Component 3: Australia Council grants and initiatives</w:t>
            </w:r>
          </w:p>
          <w:p w:rsidR="000B5C96" w:rsidRPr="009716F9" w:rsidRDefault="000B5C96" w:rsidP="000B5C96">
            <w:pPr>
              <w:pStyle w:val="PullOutBoxBullet"/>
              <w:numPr>
                <w:ilvl w:val="0"/>
                <w:numId w:val="2"/>
              </w:numPr>
              <w:ind w:left="397"/>
            </w:pPr>
            <w:r>
              <w:t>D</w:t>
            </w:r>
            <w:r w:rsidRPr="009716F9">
              <w:t>oubl</w:t>
            </w:r>
            <w:r>
              <w:t>e</w:t>
            </w:r>
            <w:r w:rsidRPr="009716F9">
              <w:t xml:space="preserve"> the funding (from 2013-14 levels) available for Australia Council </w:t>
            </w:r>
            <w:r>
              <w:t>g</w:t>
            </w:r>
            <w:r w:rsidRPr="009716F9">
              <w:t xml:space="preserve">rants and </w:t>
            </w:r>
            <w:r>
              <w:t>i</w:t>
            </w:r>
            <w:r w:rsidRPr="009716F9">
              <w:t>nitiatives</w:t>
            </w:r>
            <w:r>
              <w:t>.</w:t>
            </w:r>
          </w:p>
          <w:p w:rsidR="000B5C96" w:rsidRPr="008909A1" w:rsidRDefault="000B5C96" w:rsidP="003F606A">
            <w:pPr>
              <w:pStyle w:val="PullOutBoxBodyText"/>
              <w:rPr>
                <w:u w:val="single"/>
              </w:rPr>
            </w:pPr>
            <w:r w:rsidRPr="008909A1">
              <w:rPr>
                <w:u w:val="single"/>
              </w:rPr>
              <w:t>Component 4: Public art display</w:t>
            </w:r>
          </w:p>
          <w:p w:rsidR="000B5C96" w:rsidRPr="008D043E" w:rsidRDefault="000B5C96" w:rsidP="000B5C96">
            <w:pPr>
              <w:pStyle w:val="PullOutBoxBullet"/>
              <w:numPr>
                <w:ilvl w:val="0"/>
                <w:numId w:val="2"/>
              </w:numPr>
              <w:ind w:left="397"/>
            </w:pPr>
            <w:r w:rsidRPr="008D043E">
              <w:t>$5 million per year to pay artists to display their works publicly.</w:t>
            </w:r>
          </w:p>
          <w:p w:rsidR="000B5C96" w:rsidRPr="008909A1" w:rsidRDefault="000B5C96" w:rsidP="003F606A">
            <w:pPr>
              <w:pStyle w:val="PullOutBoxBodyText"/>
              <w:rPr>
                <w:u w:val="single"/>
              </w:rPr>
            </w:pPr>
            <w:r w:rsidRPr="008909A1">
              <w:rPr>
                <w:u w:val="single"/>
              </w:rPr>
              <w:t>Component 5: Playing Australia</w:t>
            </w:r>
          </w:p>
          <w:p w:rsidR="000B5C96" w:rsidRDefault="000B5C96" w:rsidP="000B5C96">
            <w:pPr>
              <w:pStyle w:val="PullOutBoxBullet"/>
              <w:numPr>
                <w:ilvl w:val="0"/>
                <w:numId w:val="2"/>
              </w:numPr>
              <w:ind w:left="397"/>
            </w:pPr>
            <w:r>
              <w:t>Increase funding by $2 million per year for regional touring through Playing Australia until total funding reaches $10 million per year.  Total funding would then be indexed by the Consumer Price Index.</w:t>
            </w:r>
          </w:p>
          <w:p w:rsidR="000B5C96" w:rsidRPr="008909A1" w:rsidRDefault="000B5C96" w:rsidP="003F606A">
            <w:pPr>
              <w:pStyle w:val="PullOutBoxBodyText"/>
              <w:rPr>
                <w:u w:val="single"/>
              </w:rPr>
            </w:pPr>
            <w:r w:rsidRPr="008909A1">
              <w:rPr>
                <w:u w:val="single"/>
              </w:rPr>
              <w:t>Component 6: ‘In Australia’ rule</w:t>
            </w:r>
          </w:p>
          <w:p w:rsidR="000B5C96" w:rsidRPr="009716F9" w:rsidRDefault="000B5C96" w:rsidP="000B5C96">
            <w:pPr>
              <w:pStyle w:val="PullOutBoxBullet"/>
              <w:numPr>
                <w:ilvl w:val="0"/>
                <w:numId w:val="2"/>
              </w:numPr>
              <w:ind w:left="397"/>
            </w:pPr>
            <w:r>
              <w:t>R</w:t>
            </w:r>
            <w:r w:rsidRPr="009716F9">
              <w:t>emove touring arts companies from the 'in Australia' rule from 1 July 2017 which would allow organisations to become tax exempt entities</w:t>
            </w:r>
            <w:r>
              <w:t>.</w:t>
            </w:r>
          </w:p>
          <w:p w:rsidR="000B5C96" w:rsidRPr="008909A1" w:rsidRDefault="000B5C96" w:rsidP="003F606A">
            <w:pPr>
              <w:pStyle w:val="PullOutBoxBodyText"/>
              <w:rPr>
                <w:u w:val="single"/>
              </w:rPr>
            </w:pPr>
            <w:r w:rsidRPr="008909A1">
              <w:rPr>
                <w:u w:val="single"/>
              </w:rPr>
              <w:t>Component 7: Arts Research and Development fund</w:t>
            </w:r>
          </w:p>
          <w:p w:rsidR="000B5C96" w:rsidRDefault="000B5C96" w:rsidP="000B5C96">
            <w:pPr>
              <w:pStyle w:val="PullOutBoxBullet"/>
              <w:numPr>
                <w:ilvl w:val="0"/>
                <w:numId w:val="2"/>
              </w:numPr>
              <w:spacing w:after="360"/>
              <w:ind w:left="397"/>
            </w:pPr>
            <w:r w:rsidRPr="009716F9">
              <w:t>$5</w:t>
            </w:r>
            <w:r>
              <w:t> </w:t>
            </w:r>
            <w:r w:rsidRPr="009716F9">
              <w:t>million</w:t>
            </w:r>
            <w:r>
              <w:t xml:space="preserve"> to c</w:t>
            </w:r>
            <w:r w:rsidRPr="009716F9">
              <w:t>reat</w:t>
            </w:r>
            <w:r>
              <w:t>e</w:t>
            </w:r>
            <w:r w:rsidRPr="009716F9">
              <w:t xml:space="preserve"> an Arts Research and Development </w:t>
            </w:r>
            <w:r>
              <w:t>fund.</w:t>
            </w:r>
          </w:p>
          <w:p w:rsidR="000B5C96" w:rsidRDefault="000B5C96" w:rsidP="000B5C96">
            <w:pPr>
              <w:pStyle w:val="Bullet1"/>
              <w:numPr>
                <w:ilvl w:val="0"/>
                <w:numId w:val="123"/>
              </w:numPr>
              <w:ind w:left="454" w:hanging="454"/>
            </w:pPr>
            <w:r>
              <w:rPr>
                <w:u w:val="single"/>
              </w:rPr>
              <w:t>Component 8: Artist in residence</w:t>
            </w:r>
          </w:p>
          <w:p w:rsidR="000B5C96" w:rsidRDefault="000B5C96" w:rsidP="000B5C96">
            <w:pPr>
              <w:pStyle w:val="PullOutBoxBullet"/>
              <w:numPr>
                <w:ilvl w:val="0"/>
                <w:numId w:val="2"/>
              </w:numPr>
              <w:ind w:left="397"/>
            </w:pPr>
            <w:r w:rsidRPr="009716F9">
              <w:t>$1 million</w:t>
            </w:r>
            <w:r>
              <w:t xml:space="preserve"> to i</w:t>
            </w:r>
            <w:r w:rsidRPr="009716F9">
              <w:t>ntroduce an artist in residence program at Parliament House</w:t>
            </w:r>
            <w:r>
              <w:t>.</w:t>
            </w:r>
          </w:p>
          <w:p w:rsidR="000B5C96" w:rsidRPr="008909A1" w:rsidRDefault="000B5C96" w:rsidP="003F606A">
            <w:pPr>
              <w:pStyle w:val="PullOutBoxBodyText"/>
              <w:rPr>
                <w:u w:val="single"/>
              </w:rPr>
            </w:pPr>
            <w:r w:rsidRPr="008909A1">
              <w:rPr>
                <w:u w:val="single"/>
              </w:rPr>
              <w:t>Component 9: National voices in the arts</w:t>
            </w:r>
          </w:p>
          <w:p w:rsidR="000B5C96" w:rsidRPr="009716F9" w:rsidRDefault="000B5C96" w:rsidP="000B5C96">
            <w:pPr>
              <w:pStyle w:val="PullOutBoxBullet"/>
              <w:numPr>
                <w:ilvl w:val="0"/>
                <w:numId w:val="2"/>
              </w:numPr>
              <w:ind w:left="397"/>
            </w:pPr>
            <w:r w:rsidRPr="009716F9">
              <w:t>$1 million</w:t>
            </w:r>
            <w:r>
              <w:t xml:space="preserve"> to s</w:t>
            </w:r>
            <w:r w:rsidRPr="009716F9">
              <w:t>upport national voices in the arts</w:t>
            </w:r>
            <w:r>
              <w:t>.</w:t>
            </w:r>
          </w:p>
          <w:p w:rsidR="000B5C96" w:rsidRPr="008909A1" w:rsidRDefault="000B5C96" w:rsidP="003F606A">
            <w:pPr>
              <w:pStyle w:val="PullOutBoxBodyText"/>
              <w:rPr>
                <w:u w:val="single"/>
              </w:rPr>
            </w:pPr>
            <w:r w:rsidRPr="008909A1">
              <w:rPr>
                <w:u w:val="single"/>
              </w:rPr>
              <w:t>Component 10: National arts week</w:t>
            </w:r>
          </w:p>
          <w:p w:rsidR="000B5C96" w:rsidRDefault="000B5C96" w:rsidP="000B5C96">
            <w:pPr>
              <w:pStyle w:val="PullOutBoxBullet"/>
              <w:numPr>
                <w:ilvl w:val="0"/>
                <w:numId w:val="2"/>
              </w:numPr>
              <w:ind w:left="397"/>
            </w:pPr>
            <w:r w:rsidRPr="009716F9">
              <w:t xml:space="preserve">$1 million </w:t>
            </w:r>
            <w:r>
              <w:t>to e</w:t>
            </w:r>
            <w:r w:rsidRPr="009716F9">
              <w:t>stablish a national arts week.</w:t>
            </w:r>
          </w:p>
          <w:p w:rsidR="000B5C96" w:rsidRPr="008909A1" w:rsidRDefault="000B5C96" w:rsidP="003F606A">
            <w:pPr>
              <w:pStyle w:val="PullOutBoxBodyText"/>
              <w:rPr>
                <w:u w:val="single"/>
              </w:rPr>
            </w:pPr>
            <w:r w:rsidRPr="008909A1">
              <w:rPr>
                <w:u w:val="single"/>
              </w:rPr>
              <w:t>Component 11: Regional Arts Fund</w:t>
            </w:r>
          </w:p>
          <w:p w:rsidR="000B5C96" w:rsidRDefault="000B5C96" w:rsidP="000B5C96">
            <w:pPr>
              <w:pStyle w:val="PullOutBoxBullet"/>
              <w:numPr>
                <w:ilvl w:val="0"/>
                <w:numId w:val="2"/>
              </w:numPr>
              <w:ind w:left="397"/>
            </w:pPr>
            <w:r>
              <w:t>$8 million for the Regional Arts Fund.</w:t>
            </w:r>
          </w:p>
          <w:p w:rsidR="000B5C96" w:rsidRPr="008909A1" w:rsidRDefault="000B5C96" w:rsidP="003F606A">
            <w:pPr>
              <w:pStyle w:val="PullOutBoxBodyText"/>
              <w:rPr>
                <w:u w:val="single"/>
              </w:rPr>
            </w:pPr>
            <w:r w:rsidRPr="008909A1">
              <w:rPr>
                <w:u w:val="single"/>
              </w:rPr>
              <w:t>Component 12: Live Music Office</w:t>
            </w:r>
          </w:p>
          <w:p w:rsidR="000B5C96" w:rsidRDefault="000B5C96" w:rsidP="000B5C96">
            <w:pPr>
              <w:pStyle w:val="PullOutBoxBullet"/>
              <w:numPr>
                <w:ilvl w:val="0"/>
                <w:numId w:val="2"/>
              </w:numPr>
              <w:ind w:left="397"/>
            </w:pPr>
            <w:r>
              <w:t>An additional $5.4 million to the Live Music Office.</w:t>
            </w:r>
          </w:p>
          <w:p w:rsidR="000B5C96" w:rsidRPr="008909A1" w:rsidRDefault="000B5C96" w:rsidP="003F606A">
            <w:pPr>
              <w:pStyle w:val="PullOutBoxBodyText"/>
              <w:rPr>
                <w:i/>
                <w:u w:val="single"/>
              </w:rPr>
            </w:pPr>
            <w:r w:rsidRPr="008909A1">
              <w:rPr>
                <w:u w:val="single"/>
              </w:rPr>
              <w:t xml:space="preserve">Component 13: Expand </w:t>
            </w:r>
            <w:r w:rsidRPr="008909A1">
              <w:rPr>
                <w:i/>
                <w:u w:val="single"/>
              </w:rPr>
              <w:t xml:space="preserve">Music: Count Us In </w:t>
            </w:r>
          </w:p>
          <w:p w:rsidR="000B5C96" w:rsidRDefault="000B5C96" w:rsidP="000B5C96">
            <w:pPr>
              <w:pStyle w:val="PullOutBoxBullet"/>
              <w:numPr>
                <w:ilvl w:val="0"/>
                <w:numId w:val="2"/>
              </w:numPr>
              <w:ind w:left="397"/>
            </w:pPr>
            <w:r w:rsidRPr="00B24CC9">
              <w:t xml:space="preserve">$2 million </w:t>
            </w:r>
            <w:r>
              <w:t xml:space="preserve">to expand the school program, </w:t>
            </w:r>
            <w:r>
              <w:rPr>
                <w:i/>
              </w:rPr>
              <w:t>Music: Count Us In.</w:t>
            </w:r>
          </w:p>
          <w:p w:rsidR="000B5C96" w:rsidRPr="008909A1" w:rsidRDefault="000B5C96" w:rsidP="003F606A">
            <w:pPr>
              <w:pStyle w:val="PullOutBoxBodyText"/>
              <w:rPr>
                <w:u w:val="single"/>
              </w:rPr>
            </w:pPr>
            <w:r w:rsidRPr="008909A1">
              <w:rPr>
                <w:u w:val="single"/>
              </w:rPr>
              <w:t>Component 14: Australian authors’ advocacy body</w:t>
            </w:r>
          </w:p>
          <w:p w:rsidR="000B5C96" w:rsidRPr="00B24CC9" w:rsidRDefault="000B5C96" w:rsidP="000B5C96">
            <w:pPr>
              <w:pStyle w:val="PullOutBoxBullet"/>
              <w:numPr>
                <w:ilvl w:val="0"/>
                <w:numId w:val="2"/>
              </w:numPr>
              <w:ind w:left="397"/>
            </w:pPr>
            <w:r>
              <w:t xml:space="preserve">$5 million to establish a body that can advocate for Australian authors and the broader industry. </w:t>
            </w:r>
          </w:p>
          <w:p w:rsidR="000B5C96" w:rsidRDefault="000B5C96" w:rsidP="003F606A">
            <w:pPr>
              <w:pStyle w:val="PullOutBoxBodyText"/>
            </w:pPr>
            <w:r>
              <w:t>Where unspecified, funding allocations for the 2016</w:t>
            </w:r>
            <w:r>
              <w:noBreakHyphen/>
              <w:t xml:space="preserve">17 Budget forward estimates period would be spread evenly across the four years.  </w:t>
            </w:r>
          </w:p>
          <w:p w:rsidR="000B5C96" w:rsidRDefault="000B5C96" w:rsidP="003F606A">
            <w:pPr>
              <w:pStyle w:val="PullOutBoxBodyText"/>
            </w:pPr>
            <w:r>
              <w:t>Departmental expenses would be included in the proposed annual spending commitments.</w:t>
            </w:r>
          </w:p>
          <w:p w:rsidR="000B5C96" w:rsidRDefault="000B5C96" w:rsidP="003F606A">
            <w:pPr>
              <w:pStyle w:val="PullOutBoxBodyText"/>
            </w:pPr>
            <w:r>
              <w:t>The proposal would have effect from 1 September 2016.</w:t>
            </w:r>
          </w:p>
        </w:tc>
      </w:tr>
      <w:tr w:rsidR="000B5C96" w:rsidTr="003F606A">
        <w:tc>
          <w:tcPr>
            <w:tcW w:w="3005" w:type="dxa"/>
          </w:tcPr>
          <w:p w:rsidR="000B5C96" w:rsidRDefault="000B5C96" w:rsidP="003F606A">
            <w:pPr>
              <w:pStyle w:val="PullOutBoxBodyText"/>
            </w:pPr>
            <w:r>
              <w:t>Person/party requesting costing:</w:t>
            </w:r>
          </w:p>
        </w:tc>
        <w:tc>
          <w:tcPr>
            <w:tcW w:w="5335" w:type="dxa"/>
          </w:tcPr>
          <w:p w:rsidR="000B5C96" w:rsidRDefault="000B5C96" w:rsidP="003F606A">
            <w:pPr>
              <w:pStyle w:val="PullOutBoxBodyText"/>
            </w:pPr>
            <w:r w:rsidRPr="000B66C8">
              <w:t>Senator Richard Di Natale, Australian Greens</w:t>
            </w:r>
          </w:p>
        </w:tc>
      </w:tr>
      <w:tr w:rsidR="000B5C96" w:rsidTr="003F606A">
        <w:tc>
          <w:tcPr>
            <w:tcW w:w="3005" w:type="dxa"/>
          </w:tcPr>
          <w:p w:rsidR="000B5C96" w:rsidRDefault="000B5C96" w:rsidP="003F606A">
            <w:pPr>
              <w:pStyle w:val="PullOutBoxBodyText"/>
            </w:pPr>
            <w:r>
              <w:t>Date of public release of policy:</w:t>
            </w:r>
          </w:p>
        </w:tc>
        <w:tc>
          <w:tcPr>
            <w:tcW w:w="5335" w:type="dxa"/>
          </w:tcPr>
          <w:p w:rsidR="000B5C96" w:rsidRDefault="000B5C96" w:rsidP="003F606A">
            <w:pPr>
              <w:pStyle w:val="PullOutBoxBodyText"/>
            </w:pPr>
            <w:r w:rsidRPr="0034419E">
              <w:t>30 May 2016</w:t>
            </w:r>
          </w:p>
          <w:p w:rsidR="000B5C96" w:rsidRPr="00C17112" w:rsidRDefault="00E46526" w:rsidP="003F606A">
            <w:pPr>
              <w:pStyle w:val="PullOutBoxBodyText"/>
            </w:pPr>
            <w:hyperlink r:id="rId585" w:history="1">
              <w:r w:rsidR="000B5C96" w:rsidRPr="00FF5199">
                <w:rPr>
                  <w:rStyle w:val="Hyperlink"/>
                </w:rPr>
                <w:t>http://www.adambandt.com/160530</w:t>
              </w:r>
            </w:hyperlink>
            <w:r w:rsidR="000B5C96">
              <w:t xml:space="preserve">  </w:t>
            </w:r>
          </w:p>
        </w:tc>
      </w:tr>
      <w:tr w:rsidR="000B5C96" w:rsidTr="003F606A">
        <w:tc>
          <w:tcPr>
            <w:tcW w:w="3005" w:type="dxa"/>
          </w:tcPr>
          <w:p w:rsidR="000B5C96" w:rsidRDefault="000B5C96" w:rsidP="003F606A">
            <w:pPr>
              <w:pStyle w:val="PullOutBoxBodyText"/>
            </w:pPr>
            <w:r>
              <w:t>Date costing request received:</w:t>
            </w:r>
          </w:p>
        </w:tc>
        <w:tc>
          <w:tcPr>
            <w:tcW w:w="5335" w:type="dxa"/>
          </w:tcPr>
          <w:p w:rsidR="000B5C96" w:rsidRDefault="000B5C96" w:rsidP="003F606A">
            <w:pPr>
              <w:pStyle w:val="PullOutBoxBodyText"/>
            </w:pPr>
            <w:r>
              <w:t>1 July 2016</w:t>
            </w:r>
          </w:p>
        </w:tc>
      </w:tr>
      <w:tr w:rsidR="000B5C96" w:rsidTr="003F606A">
        <w:tc>
          <w:tcPr>
            <w:tcW w:w="3005" w:type="dxa"/>
          </w:tcPr>
          <w:p w:rsidR="000B5C96" w:rsidRDefault="000B5C96" w:rsidP="003F606A">
            <w:pPr>
              <w:pStyle w:val="PullOutBoxBodyText"/>
            </w:pPr>
            <w:r>
              <w:t>Date costing completed:</w:t>
            </w:r>
          </w:p>
        </w:tc>
        <w:tc>
          <w:tcPr>
            <w:tcW w:w="5335" w:type="dxa"/>
          </w:tcPr>
          <w:p w:rsidR="000B5C96" w:rsidRPr="00C17112" w:rsidRDefault="000B5C96" w:rsidP="003F606A">
            <w:pPr>
              <w:pStyle w:val="PullOutBoxBodyText"/>
            </w:pPr>
            <w:r>
              <w:t>1 July 2016</w:t>
            </w:r>
          </w:p>
        </w:tc>
      </w:tr>
      <w:tr w:rsidR="000B5C96" w:rsidTr="003F606A">
        <w:tc>
          <w:tcPr>
            <w:tcW w:w="3005" w:type="dxa"/>
          </w:tcPr>
          <w:p w:rsidR="000B5C96" w:rsidRPr="00220BE5" w:rsidRDefault="000B5C96" w:rsidP="003F606A">
            <w:pPr>
              <w:pStyle w:val="PullOutBoxBodyText"/>
            </w:pPr>
            <w:r w:rsidRPr="00220BE5">
              <w:t>Expiry date for the costing:</w:t>
            </w:r>
          </w:p>
        </w:tc>
        <w:tc>
          <w:tcPr>
            <w:tcW w:w="5335" w:type="dxa"/>
          </w:tcPr>
          <w:p w:rsidR="000B5C96" w:rsidRPr="00220BE5" w:rsidRDefault="000B5C96" w:rsidP="003F606A">
            <w:pPr>
              <w:pStyle w:val="PullOutBoxBodyText"/>
            </w:pPr>
            <w:r>
              <w:t>Release of the next economic and fiscal outlook report</w:t>
            </w:r>
          </w:p>
        </w:tc>
      </w:tr>
    </w:tbl>
    <w:p w:rsidR="000B5C96" w:rsidRPr="00B00F73" w:rsidRDefault="000B5C96" w:rsidP="003F606A">
      <w:pPr>
        <w:pStyle w:val="CostingsH7"/>
      </w:pPr>
      <w:r w:rsidRPr="00B00F73">
        <w:t>Costing overview</w:t>
      </w:r>
    </w:p>
    <w:p w:rsidR="000B5C96" w:rsidRPr="00B00F73" w:rsidRDefault="000B5C96" w:rsidP="003F606A">
      <w:pPr>
        <w:pStyle w:val="BodyText"/>
        <w:keepNext/>
        <w:keepLines/>
      </w:pPr>
      <w:r w:rsidRPr="00B00F73">
        <w:t>This proposal would be expected to decrease both the fiscal and underlying cash balances by $317.4 million over the 2016-17 Budget forward estimates period.  This reflects an increase in departmental expenses for the Australia Council of $298.6 million and an increase in administered expenses of $18.8 million.</w:t>
      </w:r>
    </w:p>
    <w:p w:rsidR="000B5C96" w:rsidRPr="00B00F73" w:rsidRDefault="000B5C96" w:rsidP="003F606A">
      <w:pPr>
        <w:pStyle w:val="BodyText"/>
      </w:pPr>
      <w:r w:rsidRPr="00B00F73">
        <w:t xml:space="preserve">Detailed financial implications of the proposal are provided at </w:t>
      </w:r>
      <w:r w:rsidRPr="00B00F73">
        <w:rPr>
          <w:u w:val="single"/>
        </w:rPr>
        <w:t>Attachment A</w:t>
      </w:r>
      <w:r w:rsidRPr="00B00F73">
        <w:t>.</w:t>
      </w:r>
    </w:p>
    <w:p w:rsidR="000B5C96" w:rsidRPr="00B00F73" w:rsidRDefault="000B5C96" w:rsidP="003F606A">
      <w:pPr>
        <w:pStyle w:val="BodyText"/>
        <w:rPr>
          <w:b/>
          <w:bCs/>
        </w:rPr>
      </w:pPr>
      <w:r w:rsidRPr="00B00F73">
        <w:t xml:space="preserve">The proposal would have an ongoing impact that extends beyond the 2016-17 Budget forward estimates period. </w:t>
      </w:r>
    </w:p>
    <w:p w:rsidR="000B5C96" w:rsidRPr="00B00F73" w:rsidRDefault="000B5C96" w:rsidP="003F606A">
      <w:pPr>
        <w:pStyle w:val="BodyText"/>
      </w:pPr>
      <w:r w:rsidRPr="00B00F73">
        <w:t>The departmental expense estimates in this costing are considered to be of high reliability as they have been either specified in the request or based on the costs of similar programs.</w:t>
      </w:r>
    </w:p>
    <w:p w:rsidR="000B5C96" w:rsidRPr="00B00F73" w:rsidRDefault="000B5C96" w:rsidP="003F606A">
      <w:pPr>
        <w:pStyle w:val="BodyText"/>
      </w:pPr>
      <w:r w:rsidRPr="00B00F73">
        <w:t>The administered expense estimates in this costing are considered to be of high reliability as the amounts are as specified in the request.  However, no analysis has been undertaken to determine the adequacy of the prescribed funding amounts to achieve the objectives of the proposal.</w:t>
      </w:r>
    </w:p>
    <w:p w:rsidR="000B5C96" w:rsidRPr="00B00F73" w:rsidRDefault="000B5C96" w:rsidP="003F606A">
      <w:pPr>
        <w:pStyle w:val="Caption"/>
      </w:pPr>
      <w:r w:rsidRPr="00B00F73">
        <w:t>Table 1: Financial implications (outturn prices)</w:t>
      </w:r>
      <w:r w:rsidRPr="00B00F73">
        <w:rPr>
          <w:vertAlign w:val="superscript"/>
        </w:rPr>
        <w:t>(a)(b)</w:t>
      </w:r>
    </w:p>
    <w:tbl>
      <w:tblPr>
        <w:tblStyle w:val="TableGrid69"/>
        <w:tblW w:w="4993" w:type="pct"/>
        <w:tblLook w:val="04A0" w:firstRow="1" w:lastRow="0" w:firstColumn="1" w:lastColumn="0" w:noHBand="0" w:noVBand="1"/>
      </w:tblPr>
      <w:tblGrid>
        <w:gridCol w:w="2644"/>
        <w:gridCol w:w="1133"/>
        <w:gridCol w:w="1134"/>
        <w:gridCol w:w="1134"/>
        <w:gridCol w:w="1134"/>
        <w:gridCol w:w="1132"/>
      </w:tblGrid>
      <w:tr w:rsidR="000B5C96" w:rsidRPr="00B00F73"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B00F73" w:rsidRDefault="000B5C96" w:rsidP="003F606A">
            <w:pPr>
              <w:keepNext/>
              <w:keepLines/>
              <w:spacing w:line="240" w:lineRule="auto"/>
              <w:ind w:left="57" w:right="57"/>
              <w:rPr>
                <w:szCs w:val="20"/>
              </w:rPr>
            </w:pPr>
            <w:r w:rsidRPr="00B00F73">
              <w:rPr>
                <w:szCs w:val="20"/>
              </w:rPr>
              <w:t>Impact on ($m)</w:t>
            </w:r>
          </w:p>
        </w:tc>
        <w:tc>
          <w:tcPr>
            <w:tcW w:w="682" w:type="pct"/>
          </w:tcPr>
          <w:p w:rsidR="000B5C96" w:rsidRPr="00B00F73"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B00F73">
              <w:rPr>
                <w:szCs w:val="20"/>
              </w:rPr>
              <w:t>2016–17</w:t>
            </w:r>
          </w:p>
        </w:tc>
        <w:tc>
          <w:tcPr>
            <w:tcW w:w="682" w:type="pct"/>
          </w:tcPr>
          <w:p w:rsidR="000B5C96" w:rsidRPr="00B00F73"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B00F73">
              <w:rPr>
                <w:szCs w:val="20"/>
              </w:rPr>
              <w:t>2017–18</w:t>
            </w:r>
          </w:p>
        </w:tc>
        <w:tc>
          <w:tcPr>
            <w:tcW w:w="682" w:type="pct"/>
          </w:tcPr>
          <w:p w:rsidR="000B5C96" w:rsidRPr="00B00F73"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B00F73">
              <w:rPr>
                <w:szCs w:val="20"/>
              </w:rPr>
              <w:t>2018–19</w:t>
            </w:r>
          </w:p>
        </w:tc>
        <w:tc>
          <w:tcPr>
            <w:tcW w:w="682" w:type="pct"/>
          </w:tcPr>
          <w:p w:rsidR="000B5C96" w:rsidRPr="00B00F73"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00F73">
              <w:rPr>
                <w:szCs w:val="20"/>
              </w:rPr>
              <w:t>2019–20</w:t>
            </w:r>
          </w:p>
        </w:tc>
        <w:tc>
          <w:tcPr>
            <w:tcW w:w="681" w:type="pct"/>
          </w:tcPr>
          <w:p w:rsidR="000B5C96" w:rsidRPr="00B00F73"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00F73">
              <w:rPr>
                <w:b/>
                <w:szCs w:val="20"/>
              </w:rPr>
              <w:t>Total</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B00F73" w:rsidRDefault="000B5C96" w:rsidP="003F606A">
            <w:pPr>
              <w:keepNext/>
              <w:keepLines/>
              <w:ind w:left="57" w:right="57"/>
              <w:rPr>
                <w:szCs w:val="20"/>
              </w:rPr>
            </w:pPr>
            <w:r w:rsidRPr="00B00F73">
              <w:rPr>
                <w:szCs w:val="20"/>
              </w:rPr>
              <w:t>Fiscal balance</w:t>
            </w:r>
          </w:p>
        </w:tc>
        <w:tc>
          <w:tcPr>
            <w:tcW w:w="682" w:type="pct"/>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00F73">
              <w:rPr>
                <w:rFonts w:ascii="Calibri" w:hAnsi="Calibri"/>
              </w:rPr>
              <w:t>-78.5</w:t>
            </w:r>
          </w:p>
        </w:tc>
        <w:tc>
          <w:tcPr>
            <w:tcW w:w="682" w:type="pct"/>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00F73">
              <w:rPr>
                <w:rFonts w:ascii="Calibri" w:hAnsi="Calibri"/>
              </w:rPr>
              <w:t>-80.0</w:t>
            </w:r>
          </w:p>
        </w:tc>
        <w:tc>
          <w:tcPr>
            <w:tcW w:w="682" w:type="pct"/>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00F73">
              <w:rPr>
                <w:rFonts w:ascii="Calibri" w:hAnsi="Calibri"/>
              </w:rPr>
              <w:t>-79.7</w:t>
            </w:r>
          </w:p>
        </w:tc>
        <w:tc>
          <w:tcPr>
            <w:tcW w:w="682" w:type="pct"/>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00F73">
              <w:rPr>
                <w:rFonts w:ascii="Calibri" w:hAnsi="Calibri"/>
              </w:rPr>
              <w:t>-79.3</w:t>
            </w:r>
          </w:p>
        </w:tc>
        <w:tc>
          <w:tcPr>
            <w:tcW w:w="681" w:type="pct"/>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00F73">
              <w:rPr>
                <w:rFonts w:ascii="Calibri" w:hAnsi="Calibri"/>
                <w:b/>
              </w:rPr>
              <w:t>-317.4</w:t>
            </w:r>
          </w:p>
        </w:tc>
      </w:tr>
      <w:tr w:rsidR="000B5C96" w:rsidRPr="00B00F73"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B00F73" w:rsidRDefault="000B5C96" w:rsidP="003F606A">
            <w:pPr>
              <w:keepNext/>
              <w:keepLines/>
              <w:ind w:left="57" w:right="57"/>
              <w:rPr>
                <w:szCs w:val="20"/>
              </w:rPr>
            </w:pPr>
            <w:r w:rsidRPr="00B00F73">
              <w:rPr>
                <w:szCs w:val="20"/>
              </w:rPr>
              <w:t>Underlying cash balance</w:t>
            </w:r>
          </w:p>
        </w:tc>
        <w:tc>
          <w:tcPr>
            <w:tcW w:w="682" w:type="pct"/>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00F73">
              <w:rPr>
                <w:rFonts w:ascii="Calibri" w:hAnsi="Calibri"/>
              </w:rPr>
              <w:t>-78.5</w:t>
            </w:r>
          </w:p>
        </w:tc>
        <w:tc>
          <w:tcPr>
            <w:tcW w:w="682" w:type="pct"/>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00F73">
              <w:rPr>
                <w:rFonts w:ascii="Calibri" w:hAnsi="Calibri"/>
              </w:rPr>
              <w:t>-80.0</w:t>
            </w:r>
          </w:p>
        </w:tc>
        <w:tc>
          <w:tcPr>
            <w:tcW w:w="682" w:type="pct"/>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00F73">
              <w:rPr>
                <w:rFonts w:ascii="Calibri" w:hAnsi="Calibri"/>
              </w:rPr>
              <w:t>-79.7</w:t>
            </w:r>
          </w:p>
        </w:tc>
        <w:tc>
          <w:tcPr>
            <w:tcW w:w="682" w:type="pct"/>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B00F73">
              <w:rPr>
                <w:rFonts w:ascii="Calibri" w:hAnsi="Calibri"/>
              </w:rPr>
              <w:t>-79.3</w:t>
            </w:r>
          </w:p>
        </w:tc>
        <w:tc>
          <w:tcPr>
            <w:tcW w:w="681" w:type="pct"/>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00F73">
              <w:rPr>
                <w:rFonts w:ascii="Calibri" w:hAnsi="Calibri"/>
                <w:b/>
              </w:rPr>
              <w:t>-317.4</w:t>
            </w:r>
          </w:p>
        </w:tc>
      </w:tr>
    </w:tbl>
    <w:p w:rsidR="000B5C96" w:rsidRPr="00B00F73" w:rsidRDefault="000B5C96" w:rsidP="00E54AEC">
      <w:pPr>
        <w:pStyle w:val="Footnotes"/>
        <w:numPr>
          <w:ilvl w:val="0"/>
          <w:numId w:val="312"/>
        </w:numPr>
        <w:ind w:left="284" w:hanging="284"/>
      </w:pPr>
      <w:r w:rsidRPr="00B00F73">
        <w:t>A positive number represents an increase in the relevant budget balance, a negative number represents a decrease.</w:t>
      </w:r>
    </w:p>
    <w:p w:rsidR="000B5C96" w:rsidRPr="00B00F73" w:rsidRDefault="000B5C96" w:rsidP="000B5C96">
      <w:pPr>
        <w:pStyle w:val="Footnotes"/>
        <w:numPr>
          <w:ilvl w:val="0"/>
          <w:numId w:val="7"/>
        </w:numPr>
        <w:ind w:left="284" w:hanging="284"/>
      </w:pPr>
      <w:r w:rsidRPr="00B00F73">
        <w:t>Figures may not sum to totals due to rounding.</w:t>
      </w:r>
    </w:p>
    <w:p w:rsidR="000B5C96" w:rsidRPr="00B00F73" w:rsidRDefault="000B5C96" w:rsidP="003F606A">
      <w:pPr>
        <w:pStyle w:val="CostingsH7"/>
      </w:pPr>
      <w:r w:rsidRPr="00B00F73">
        <w:t>Methodology</w:t>
      </w:r>
    </w:p>
    <w:p w:rsidR="000B5C96" w:rsidRPr="00B00F73" w:rsidRDefault="000B5C96" w:rsidP="003F606A">
      <w:pPr>
        <w:pStyle w:val="BodyText"/>
      </w:pPr>
      <w:r w:rsidRPr="00B00F73">
        <w:t>Administered and most departmental expenditure estimates for the proposal are as specified in the request.  Departmental costs associated with implementing the proposal are based on the costs of similar programs.</w:t>
      </w:r>
    </w:p>
    <w:p w:rsidR="000B5C96" w:rsidRPr="00B00F73" w:rsidRDefault="000B5C96" w:rsidP="003F606A">
      <w:pPr>
        <w:pStyle w:val="CostingsH7"/>
      </w:pPr>
      <w:r w:rsidRPr="00B00F73">
        <w:t>Data sources</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r w:rsidRPr="00B00F73">
        <w:t>Australia Council 2014-15 annual report.</w:t>
      </w:r>
    </w:p>
    <w:p w:rsidR="000B5C96" w:rsidRPr="00B00F73" w:rsidRDefault="000B5C96" w:rsidP="000B5C96">
      <w:pPr>
        <w:pStyle w:val="Heading6"/>
        <w:numPr>
          <w:ilvl w:val="0"/>
          <w:numId w:val="5"/>
        </w:numPr>
        <w:tabs>
          <w:tab w:val="right" w:pos="1418"/>
          <w:tab w:val="right" w:pos="1701"/>
          <w:tab w:val="right" w:pos="1985"/>
        </w:tabs>
      </w:pPr>
      <w:r w:rsidRPr="00B00F73">
        <w:t>Attachment A: Ensuring the independence and flourishing of the arts—financial implications</w:t>
      </w:r>
    </w:p>
    <w:p w:rsidR="000B5C96" w:rsidRPr="00B00F73" w:rsidRDefault="000B5C96" w:rsidP="003F606A">
      <w:pPr>
        <w:pStyle w:val="Caption"/>
        <w:rPr>
          <w:vertAlign w:val="superscript"/>
        </w:rPr>
      </w:pPr>
      <w:r w:rsidRPr="00B00F73">
        <w:t>Table A1: Combined impact of all components—Financial implications (outturn prices)</w:t>
      </w:r>
      <w:r w:rsidRPr="00B00F73">
        <w:rPr>
          <w:vertAlign w:val="superscript"/>
        </w:rPr>
        <w:t>(a)(b)</w:t>
      </w:r>
    </w:p>
    <w:tbl>
      <w:tblPr>
        <w:tblStyle w:val="TableGrid70"/>
        <w:tblW w:w="4994"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3"/>
        <w:gridCol w:w="1134"/>
        <w:gridCol w:w="1134"/>
        <w:gridCol w:w="1134"/>
        <w:gridCol w:w="1134"/>
        <w:gridCol w:w="1134"/>
      </w:tblGrid>
      <w:tr w:rsidR="000B5C96" w:rsidRPr="00B00F73"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B00F73" w:rsidRDefault="000B5C96" w:rsidP="003F606A">
            <w:pPr>
              <w:keepNext/>
              <w:keepLines/>
              <w:spacing w:line="240" w:lineRule="auto"/>
              <w:ind w:left="57" w:right="57"/>
              <w:rPr>
                <w:b/>
                <w:szCs w:val="20"/>
              </w:rPr>
            </w:pPr>
            <w:r w:rsidRPr="00B00F73">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B00F73"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00F73">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B00F73"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00F73">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B00F73"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00F73">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B00F73"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00F73">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B00F73"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B00F73">
              <w:rPr>
                <w:b/>
              </w:rPr>
              <w:t>Total</w:t>
            </w:r>
            <w:r w:rsidRPr="00B00F73">
              <w:rPr>
                <w:b/>
                <w:szCs w:val="20"/>
              </w:rPr>
              <w:t xml:space="preserve"> to 2019–20</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B00F73" w:rsidRDefault="000B5C96" w:rsidP="003F606A">
            <w:pPr>
              <w:keepNext/>
              <w:keepLines/>
              <w:ind w:left="57" w:right="57"/>
              <w:rPr>
                <w:b/>
              </w:rPr>
            </w:pPr>
            <w:r w:rsidRPr="00B00F73">
              <w:rPr>
                <w:b/>
              </w:rPr>
              <w:t>Impact on fiscal and underlying cash balances</w:t>
            </w:r>
          </w:p>
        </w:tc>
      </w:tr>
      <w:tr w:rsidR="000B5C96" w:rsidRPr="00B00F73"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ind w:left="57" w:right="57"/>
              <w:rPr>
                <w:b/>
              </w:rPr>
            </w:pPr>
            <w:r w:rsidRPr="00B00F73">
              <w:rPr>
                <w:b/>
              </w:rPr>
              <w:t>Administered</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00F73">
              <w:rPr>
                <w:rFonts w:ascii="Calibri" w:hAnsi="Calibri"/>
                <w:b/>
              </w:rPr>
              <w:t>-4.7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00F73">
              <w:rPr>
                <w:rFonts w:ascii="Calibri" w:hAnsi="Calibri"/>
                <w:b/>
              </w:rPr>
              <w:t>-4.7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00F73">
              <w:rPr>
                <w:rFonts w:ascii="Calibri" w:hAnsi="Calibri"/>
                <w:b/>
              </w:rPr>
              <w:t>-4.7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00F73">
              <w:rPr>
                <w:rFonts w:ascii="Calibri" w:hAnsi="Calibri"/>
                <w:b/>
              </w:rPr>
              <w:t>-4.7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00F73">
              <w:rPr>
                <w:rFonts w:ascii="Calibri" w:hAnsi="Calibri"/>
                <w:b/>
              </w:rPr>
              <w:t>-18.8</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Regional Arts Fund</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-1.9</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-1.9</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-1.9</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-1.9</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B00F73">
              <w:rPr>
                <w:rFonts w:ascii="Calibri" w:hAnsi="Calibri"/>
                <w:b/>
                <w:i/>
              </w:rPr>
              <w:t>-7.6</w:t>
            </w:r>
          </w:p>
        </w:tc>
      </w:tr>
      <w:tr w:rsidR="000B5C96" w:rsidRPr="00B00F73"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Live Music Office</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-1.3</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-1.3</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-1.3</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-1.3</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B00F73">
              <w:rPr>
                <w:rFonts w:ascii="Calibri" w:hAnsi="Calibri"/>
                <w:b/>
                <w:i/>
              </w:rPr>
              <w:t>-5.0</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Expand Music: Count Us In</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-0.4</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-0.4</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-0.4</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-0.4</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B00F73">
              <w:rPr>
                <w:rFonts w:ascii="Calibri" w:hAnsi="Calibri"/>
                <w:b/>
                <w:i/>
              </w:rPr>
              <w:t>-1.6</w:t>
            </w:r>
          </w:p>
        </w:tc>
      </w:tr>
      <w:tr w:rsidR="000B5C96" w:rsidRPr="00B00F73"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Australian authors’ advocacy body</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-1.2</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-1.2</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-1.2</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-1.2</w:t>
            </w:r>
          </w:p>
        </w:tc>
        <w:tc>
          <w:tcPr>
            <w:tcW w:w="682"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B00F73">
              <w:rPr>
                <w:rFonts w:ascii="Calibri" w:hAnsi="Calibri"/>
                <w:b/>
                <w:i/>
              </w:rPr>
              <w:t>-4.6</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ind w:left="57" w:right="57"/>
              <w:rPr>
                <w:b/>
              </w:rPr>
            </w:pPr>
            <w:r w:rsidRPr="00B00F73">
              <w:rPr>
                <w:b/>
              </w:rPr>
              <w:t xml:space="preserve">Departmental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00F73">
              <w:rPr>
                <w:rFonts w:ascii="Calibri" w:hAnsi="Calibri"/>
                <w:b/>
              </w:rPr>
              <w:t>-73.8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00F73">
              <w:rPr>
                <w:rFonts w:ascii="Calibri" w:hAnsi="Calibri"/>
                <w:b/>
              </w:rPr>
              <w:t>-75.3</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00F73">
              <w:rPr>
                <w:rFonts w:ascii="Calibri" w:hAnsi="Calibri"/>
                <w:b/>
              </w:rPr>
              <w:t>-75.0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00F73">
              <w:rPr>
                <w:rFonts w:ascii="Calibri" w:hAnsi="Calibri"/>
                <w:b/>
              </w:rPr>
              <w:t>-74.6</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00F73">
              <w:rPr>
                <w:rFonts w:ascii="Calibri" w:hAnsi="Calibri"/>
                <w:b/>
              </w:rPr>
              <w:t>-298.6</w:t>
            </w:r>
          </w:p>
        </w:tc>
      </w:tr>
      <w:tr w:rsidR="000B5C96" w:rsidRPr="00B00F73"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Restore Australia Council funding</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-8.0</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-8.1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-8.2</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-8.4</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-32.8</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 xml:space="preserve">ArtStart program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-0.8</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-0.8</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-0.8</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-0.8</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-3.0</w:t>
            </w:r>
          </w:p>
        </w:tc>
      </w:tr>
      <w:tr w:rsidR="000B5C96" w:rsidRPr="00B00F73"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Australia Council grants and initiatives</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-55.7</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-55.0</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-54.4</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-53.6</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-218.7</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Public art display</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-5.0</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-5.0</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-5.0</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-5.0</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-20.0</w:t>
            </w:r>
          </w:p>
        </w:tc>
      </w:tr>
      <w:tr w:rsidR="000B5C96" w:rsidRPr="00B00F73"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Playing Australia</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-2.0</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-4.0</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-4.2</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-4.4</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-14.6</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‘In Australia’ rule</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sidRPr="00B00F73">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sz w:val="24"/>
                <w:szCs w:val="24"/>
              </w:rPr>
            </w:pPr>
            <w:r>
              <w:rPr>
                <w:rFonts w:ascii="Calibri" w:hAnsi="Calibri"/>
                <w:i/>
                <w:color w:val="000000"/>
              </w:rPr>
              <w:t>..</w:t>
            </w:r>
          </w:p>
        </w:tc>
      </w:tr>
      <w:tr w:rsidR="000B5C96" w:rsidRPr="00B00F73"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Arts Research and Development fund</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-5.0</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Artist in residence</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-1.0</w:t>
            </w:r>
          </w:p>
        </w:tc>
      </w:tr>
      <w:tr w:rsidR="000B5C96" w:rsidRPr="00B00F73"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National voices in the arts</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-1.0</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National arts week</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-1.0</w:t>
            </w:r>
          </w:p>
        </w:tc>
      </w:tr>
      <w:tr w:rsidR="000B5C96" w:rsidRPr="00B00F73"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Regional Arts Fund</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-0.4</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Live Music Office</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-0.4</w:t>
            </w:r>
          </w:p>
        </w:tc>
      </w:tr>
      <w:tr w:rsidR="000B5C96" w:rsidRPr="00B00F73"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Expand Music: Count Us In</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B00F73">
              <w:rPr>
                <w:rFonts w:ascii="Calibri" w:hAnsi="Calibri"/>
                <w:i/>
              </w:rPr>
              <w:t>-0.4</w:t>
            </w:r>
          </w:p>
        </w:tc>
      </w:tr>
      <w:tr w:rsidR="000B5C96" w:rsidRPr="00B00F73"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00F73" w:rsidRDefault="000B5C96" w:rsidP="003F606A">
            <w:pPr>
              <w:ind w:left="57" w:right="57"/>
              <w:rPr>
                <w:i/>
              </w:rPr>
            </w:pPr>
            <w:r w:rsidRPr="00B00F73">
              <w:rPr>
                <w:i/>
              </w:rPr>
              <w:t>Australian authors’ advocacy body</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B00F73"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00F73">
              <w:rPr>
                <w:rFonts w:ascii="Calibri" w:hAnsi="Calibri"/>
                <w:i/>
              </w:rPr>
              <w:t>-0.4</w:t>
            </w:r>
          </w:p>
        </w:tc>
      </w:tr>
      <w:tr w:rsidR="000B5C96" w:rsidRPr="00B00F73"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keepNext/>
              <w:keepLines/>
              <w:ind w:left="57" w:right="57"/>
              <w:rPr>
                <w:b/>
                <w:szCs w:val="20"/>
              </w:rPr>
            </w:pPr>
            <w:r w:rsidRPr="00B00F73">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00F73">
              <w:rPr>
                <w:rFonts w:ascii="Calibri" w:hAnsi="Calibri"/>
                <w:b/>
              </w:rPr>
              <w:t>-78.5</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00F73">
              <w:rPr>
                <w:rFonts w:ascii="Calibri" w:hAnsi="Calibri"/>
                <w:b/>
              </w:rPr>
              <w:t>-80.0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00F73">
              <w:rPr>
                <w:rFonts w:ascii="Calibri" w:hAnsi="Calibri"/>
                <w:b/>
              </w:rPr>
              <w:t>-79.7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00F73">
              <w:rPr>
                <w:rFonts w:ascii="Calibri" w:hAnsi="Calibri"/>
                <w:b/>
              </w:rPr>
              <w:t>-79.3</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00F73"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B00F73">
              <w:rPr>
                <w:rFonts w:ascii="Calibri" w:hAnsi="Calibri"/>
                <w:b/>
              </w:rPr>
              <w:t>-317.4</w:t>
            </w:r>
          </w:p>
        </w:tc>
      </w:tr>
    </w:tbl>
    <w:p w:rsidR="000B5C96" w:rsidRPr="00C103A8" w:rsidRDefault="000B5C96" w:rsidP="00E54AEC">
      <w:pPr>
        <w:pStyle w:val="Footnotes"/>
        <w:numPr>
          <w:ilvl w:val="0"/>
          <w:numId w:val="313"/>
        </w:numPr>
        <w:ind w:left="284" w:hanging="284"/>
      </w:pPr>
      <w:r w:rsidRPr="00C103A8">
        <w:t>A negative number indicates an increase in expenses in accrual and cash terms.</w:t>
      </w:r>
    </w:p>
    <w:p w:rsidR="000B5C96" w:rsidRPr="00B00F73" w:rsidRDefault="000B5C96" w:rsidP="000B5C96">
      <w:pPr>
        <w:pStyle w:val="Footnotes"/>
        <w:numPr>
          <w:ilvl w:val="0"/>
          <w:numId w:val="7"/>
        </w:numPr>
        <w:ind w:left="284" w:hanging="284"/>
      </w:pPr>
      <w:r w:rsidRPr="00B00F73">
        <w:t>Figures may not sum to totals due to rounding.</w:t>
      </w:r>
    </w:p>
    <w:p w:rsidR="000B5C96" w:rsidRPr="00B00F73" w:rsidRDefault="000B5C96" w:rsidP="003F606A">
      <w:pPr>
        <w:pStyle w:val="Footnotes"/>
        <w:numPr>
          <w:ilvl w:val="0"/>
          <w:numId w:val="0"/>
        </w:numPr>
        <w:ind w:left="284" w:hanging="284"/>
      </w:pPr>
      <w:r w:rsidRPr="00B00F73">
        <w:t>..</w:t>
      </w:r>
      <w:r w:rsidRPr="00B00F73">
        <w:tab/>
        <w:t>Not zero, but rounded to zero.</w:t>
      </w:r>
    </w:p>
    <w:p w:rsidR="000B5C96" w:rsidRPr="00B00F73" w:rsidRDefault="000B5C96" w:rsidP="003F606A">
      <w:pPr>
        <w:pStyle w:val="BodyText"/>
        <w:sectPr w:rsidR="000B5C96" w:rsidRPr="00B00F73"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15" w:name="_Toc458001987"/>
      <w:bookmarkStart w:id="216" w:name="_Toc458069472"/>
      <w:r>
        <w:t>GRN081: Alcohol and Drug Treatment</w:t>
      </w:r>
      <w:bookmarkEnd w:id="215"/>
      <w:bookmarkEnd w:id="216"/>
    </w:p>
    <w:p w:rsidR="000B5C96" w:rsidRDefault="000B5C96" w:rsidP="003F606A">
      <w:pPr>
        <w:pStyle w:val="BodyText"/>
      </w:pPr>
      <w:r>
        <w:rPr>
          <w:noProof/>
          <w:lang w:eastAsia="en-AU"/>
        </w:rPr>
        <w:drawing>
          <wp:inline distT="0" distB="0" distL="0" distR="0" wp14:anchorId="5333A278" wp14:editId="7EECC7DB">
            <wp:extent cx="2696845" cy="572135"/>
            <wp:effectExtent l="0" t="0" r="8255" b="0"/>
            <wp:docPr id="492" name="Picture 49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A518B3" w:rsidRDefault="000B5C96" w:rsidP="000B5C96">
      <w:pPr>
        <w:pStyle w:val="Heading6"/>
        <w:numPr>
          <w:ilvl w:val="0"/>
          <w:numId w:val="5"/>
        </w:numPr>
        <w:tabs>
          <w:tab w:val="right" w:pos="1418"/>
          <w:tab w:val="right" w:pos="1701"/>
          <w:tab w:val="right" w:pos="1985"/>
        </w:tabs>
      </w:pPr>
      <w:r w:rsidRPr="00A518B3">
        <w:t>Policy costing—during the caretaker period for the 2016 general election</w:t>
      </w:r>
    </w:p>
    <w:tbl>
      <w:tblPr>
        <w:tblStyle w:val="TableGrid71"/>
        <w:tblW w:w="8340" w:type="dxa"/>
        <w:tblLayout w:type="fixed"/>
        <w:tblCellMar>
          <w:left w:w="108" w:type="dxa"/>
          <w:right w:w="108" w:type="dxa"/>
        </w:tblCellMar>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EA7F7A" w:rsidRDefault="000B5C96" w:rsidP="003F606A">
            <w:pPr>
              <w:pStyle w:val="PullOutBoxHeading"/>
              <w:rPr>
                <w:b/>
              </w:rPr>
            </w:pPr>
            <w:r w:rsidRPr="00EA7F7A">
              <w:rPr>
                <w:b/>
              </w:rPr>
              <w:t>Name of proposal:</w:t>
            </w:r>
          </w:p>
        </w:tc>
        <w:tc>
          <w:tcPr>
            <w:tcW w:w="5335" w:type="dxa"/>
          </w:tcPr>
          <w:p w:rsidR="000B5C96" w:rsidRPr="00EA7F7A" w:rsidRDefault="000B5C96" w:rsidP="003F606A">
            <w:pPr>
              <w:pStyle w:val="PullOutBoxHeading"/>
              <w:cnfStyle w:val="100000000000" w:firstRow="1" w:lastRow="0" w:firstColumn="0" w:lastColumn="0" w:oddVBand="0" w:evenVBand="0" w:oddHBand="0" w:evenHBand="0" w:firstRowFirstColumn="0" w:firstRowLastColumn="0" w:lastRowFirstColumn="0" w:lastRowLastColumn="0"/>
              <w:rPr>
                <w:b/>
              </w:rPr>
            </w:pPr>
            <w:r w:rsidRPr="00EA7F7A">
              <w:rPr>
                <w:b/>
              </w:rPr>
              <w:t>Alcohol and other drug treatment</w:t>
            </w:r>
          </w:p>
        </w:tc>
      </w:tr>
      <w:tr w:rsidR="000B5C96" w:rsidRPr="00A518B3"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A518B3" w:rsidRDefault="000B5C96" w:rsidP="003F606A">
            <w:pPr>
              <w:pStyle w:val="PullOutBoxBodyText"/>
            </w:pPr>
            <w:r w:rsidRPr="00A518B3">
              <w:t>Summary of proposal:</w:t>
            </w:r>
          </w:p>
        </w:tc>
        <w:tc>
          <w:tcPr>
            <w:tcW w:w="5335" w:type="dxa"/>
          </w:tcPr>
          <w:p w:rsidR="000B5C96" w:rsidRPr="00A518B3"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A518B3">
              <w:t>The proposal would provide additional Commonwealth funding for alcohol and other drug treatment services to improve treatment outcomes and provide certainty to treatment providers.</w:t>
            </w:r>
          </w:p>
          <w:p w:rsidR="000B5C96" w:rsidRPr="00A518B3"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A518B3">
              <w:t>$900 million over three years would be provided and the profile of the funding would be as follows:</w:t>
            </w:r>
          </w:p>
          <w:p w:rsidR="000B5C96" w:rsidRPr="00A518B3"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pPr>
            <w:r w:rsidRPr="00A518B3">
              <w:t>2017-18: $200 million</w:t>
            </w:r>
          </w:p>
          <w:p w:rsidR="000B5C96" w:rsidRPr="00A518B3"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pPr>
            <w:r w:rsidRPr="00A518B3">
              <w:t>2018-19: $300 million</w:t>
            </w:r>
          </w:p>
          <w:p w:rsidR="000B5C96" w:rsidRPr="00A518B3" w:rsidRDefault="000B5C96" w:rsidP="000B5C96">
            <w:pPr>
              <w:pStyle w:val="PullOutBoxBullet"/>
              <w:numPr>
                <w:ilvl w:val="0"/>
                <w:numId w:val="2"/>
              </w:numPr>
              <w:ind w:left="397"/>
              <w:cnfStyle w:val="000000100000" w:firstRow="0" w:lastRow="0" w:firstColumn="0" w:lastColumn="0" w:oddVBand="0" w:evenVBand="0" w:oddHBand="1" w:evenHBand="0" w:firstRowFirstColumn="0" w:firstRowLastColumn="0" w:lastRowFirstColumn="0" w:lastRowLastColumn="0"/>
            </w:pPr>
            <w:r w:rsidRPr="00A518B3">
              <w:t>2019-20: $400 million.</w:t>
            </w:r>
          </w:p>
          <w:p w:rsidR="000B5C96" w:rsidRPr="00A518B3"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A518B3">
              <w:t>Departmental costs for administering this proposal would be met from within the capped funding amounts.</w:t>
            </w:r>
          </w:p>
          <w:p w:rsidR="000B5C96" w:rsidRPr="00A518B3"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A518B3">
              <w:t>The proposal would have effect from 1 July 2017.</w:t>
            </w:r>
          </w:p>
        </w:tc>
      </w:tr>
      <w:tr w:rsidR="000B5C96" w:rsidRPr="00A518B3"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A518B3" w:rsidRDefault="000B5C96" w:rsidP="003F606A">
            <w:pPr>
              <w:pStyle w:val="PullOutBoxBodyText"/>
            </w:pPr>
            <w:r w:rsidRPr="00A518B3">
              <w:t>Person/party requesting costing:</w:t>
            </w:r>
          </w:p>
        </w:tc>
        <w:tc>
          <w:tcPr>
            <w:tcW w:w="5335" w:type="dxa"/>
          </w:tcPr>
          <w:p w:rsidR="000B5C96" w:rsidRPr="00A518B3"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A518B3">
              <w:t>Senator Richard Di Natale, Australian Greens</w:t>
            </w:r>
          </w:p>
        </w:tc>
      </w:tr>
      <w:tr w:rsidR="000B5C96" w:rsidRPr="00A518B3"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A518B3" w:rsidRDefault="000B5C96" w:rsidP="003F606A">
            <w:pPr>
              <w:pStyle w:val="PullOutBoxBodyText"/>
            </w:pPr>
            <w:r w:rsidRPr="00A518B3">
              <w:t>Date of public release of policy:</w:t>
            </w:r>
          </w:p>
        </w:tc>
        <w:tc>
          <w:tcPr>
            <w:tcW w:w="5335" w:type="dxa"/>
          </w:tcPr>
          <w:p w:rsidR="000B5C96" w:rsidRPr="00A518B3"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A518B3">
              <w:t>30 June 2016</w:t>
            </w:r>
          </w:p>
          <w:p w:rsidR="000B5C96" w:rsidRPr="00A518B3" w:rsidRDefault="00E46526" w:rsidP="003F606A">
            <w:pPr>
              <w:pStyle w:val="PullOutBoxBodyText"/>
              <w:cnfStyle w:val="000000100000" w:firstRow="0" w:lastRow="0" w:firstColumn="0" w:lastColumn="0" w:oddVBand="0" w:evenVBand="0" w:oddHBand="1" w:evenHBand="0" w:firstRowFirstColumn="0" w:firstRowLastColumn="0" w:lastRowFirstColumn="0" w:lastRowLastColumn="0"/>
            </w:pPr>
            <w:hyperlink r:id="rId586" w:history="1">
              <w:r w:rsidR="000B5C96" w:rsidRPr="00A518B3">
                <w:rPr>
                  <w:color w:val="0000FF"/>
                  <w:u w:val="single"/>
                </w:rPr>
                <w:t>http://greens.org.au/alcohol-drug-treatment</w:t>
              </w:r>
            </w:hyperlink>
          </w:p>
        </w:tc>
      </w:tr>
      <w:tr w:rsidR="000B5C96" w:rsidRPr="00A518B3"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A518B3" w:rsidRDefault="000B5C96" w:rsidP="003F606A">
            <w:pPr>
              <w:pStyle w:val="PullOutBoxBodyText"/>
            </w:pPr>
            <w:r w:rsidRPr="00A518B3">
              <w:t>Date costing request received:</w:t>
            </w:r>
          </w:p>
        </w:tc>
        <w:tc>
          <w:tcPr>
            <w:tcW w:w="5335" w:type="dxa"/>
          </w:tcPr>
          <w:p w:rsidR="000B5C96" w:rsidRPr="00A518B3"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A518B3">
              <w:t>1 July 2016</w:t>
            </w:r>
          </w:p>
        </w:tc>
      </w:tr>
      <w:tr w:rsidR="000B5C96" w:rsidRPr="00A518B3"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A518B3" w:rsidRDefault="000B5C96" w:rsidP="003F606A">
            <w:pPr>
              <w:pStyle w:val="PullOutBoxBodyText"/>
            </w:pPr>
            <w:r w:rsidRPr="00A518B3">
              <w:t>Date costing completed:</w:t>
            </w:r>
          </w:p>
        </w:tc>
        <w:tc>
          <w:tcPr>
            <w:tcW w:w="5335" w:type="dxa"/>
          </w:tcPr>
          <w:p w:rsidR="000B5C96" w:rsidRPr="00A518B3"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A518B3">
              <w:t>1 July 2016</w:t>
            </w:r>
          </w:p>
        </w:tc>
      </w:tr>
      <w:tr w:rsidR="000B5C96" w:rsidRPr="00A518B3"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A518B3" w:rsidRDefault="000B5C96" w:rsidP="003F606A">
            <w:pPr>
              <w:pStyle w:val="PullOutBoxBodyText"/>
            </w:pPr>
            <w:r w:rsidRPr="00A518B3">
              <w:t>Expiry date for the costing:</w:t>
            </w:r>
          </w:p>
        </w:tc>
        <w:tc>
          <w:tcPr>
            <w:tcW w:w="5335" w:type="dxa"/>
          </w:tcPr>
          <w:p w:rsidR="000B5C96" w:rsidRPr="00A518B3"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A518B3">
              <w:t>Release of the next economic and fiscal outlook report</w:t>
            </w:r>
          </w:p>
        </w:tc>
      </w:tr>
    </w:tbl>
    <w:p w:rsidR="000B5C96" w:rsidRPr="00A518B3" w:rsidRDefault="000B5C96" w:rsidP="003F606A">
      <w:pPr>
        <w:pStyle w:val="CostingsH7"/>
      </w:pPr>
      <w:r w:rsidRPr="00A518B3">
        <w:t>Costing overview</w:t>
      </w:r>
    </w:p>
    <w:p w:rsidR="000B5C96" w:rsidRPr="00A518B3" w:rsidRDefault="000B5C96" w:rsidP="003F606A">
      <w:pPr>
        <w:pStyle w:val="BodyText"/>
      </w:pPr>
      <w:r w:rsidRPr="00A518B3">
        <w:t xml:space="preserve">This proposal would be expected to decrease the fiscal and underlying cash balances by $900.0 million over the 2016-17 Budget forward estimates period.  The impacts are due to an increase in administered expenses of $897.2 million and an increase in departmental expenses of $2.8 million.  </w:t>
      </w:r>
    </w:p>
    <w:p w:rsidR="000B5C96" w:rsidRPr="00A518B3" w:rsidRDefault="000B5C96" w:rsidP="003F606A">
      <w:pPr>
        <w:pStyle w:val="BodyText"/>
        <w:keepNext/>
        <w:keepLines/>
      </w:pPr>
      <w:r w:rsidRPr="00A518B3">
        <w:t xml:space="preserve">This proposal would not be expected to have an impact beyond the 2016-17 Budget forward estimates period as the funding for the proposal would terminate on 30 June 2020.  A breakdown of expenses by administered and departmental impacts is provided at </w:t>
      </w:r>
      <w:r w:rsidRPr="00A518B3">
        <w:rPr>
          <w:u w:val="single"/>
        </w:rPr>
        <w:t>Attachment A</w:t>
      </w:r>
      <w:r w:rsidRPr="00A518B3">
        <w:t>.</w:t>
      </w:r>
    </w:p>
    <w:p w:rsidR="000B5C96" w:rsidRPr="00A518B3" w:rsidRDefault="000B5C96" w:rsidP="003F606A">
      <w:pPr>
        <w:pStyle w:val="BodyText"/>
      </w:pPr>
      <w:r w:rsidRPr="00A518B3">
        <w:t>This costing is considered to be of high reliability as the total capped Commonwealth funding is as specified in the proposal.</w:t>
      </w:r>
    </w:p>
    <w:p w:rsidR="000B5C96" w:rsidRPr="00A518B3" w:rsidRDefault="000B5C96" w:rsidP="003F606A">
      <w:pPr>
        <w:pStyle w:val="Caption"/>
      </w:pPr>
      <w:r w:rsidRPr="00A518B3">
        <w:t>Table 1: Financial implications (outturn prices)</w:t>
      </w:r>
      <w:r w:rsidRPr="00A518B3">
        <w:rPr>
          <w:vertAlign w:val="superscript"/>
        </w:rPr>
        <w:t>(a)</w:t>
      </w:r>
      <w:r>
        <w:rPr>
          <w:vertAlign w:val="superscript"/>
        </w:rPr>
        <w:t>(b)</w:t>
      </w:r>
    </w:p>
    <w:tbl>
      <w:tblPr>
        <w:tblStyle w:val="TableGrid72"/>
        <w:tblW w:w="4993" w:type="pct"/>
        <w:tblLook w:val="04A0" w:firstRow="1" w:lastRow="0" w:firstColumn="1" w:lastColumn="0" w:noHBand="0" w:noVBand="1"/>
      </w:tblPr>
      <w:tblGrid>
        <w:gridCol w:w="2644"/>
        <w:gridCol w:w="1133"/>
        <w:gridCol w:w="1134"/>
        <w:gridCol w:w="1134"/>
        <w:gridCol w:w="1134"/>
        <w:gridCol w:w="1132"/>
      </w:tblGrid>
      <w:tr w:rsidR="000B5C96" w:rsidRPr="00A518B3"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A518B3" w:rsidRDefault="000B5C96" w:rsidP="003F606A">
            <w:pPr>
              <w:keepNext/>
              <w:keepLines/>
              <w:rPr>
                <w:sz w:val="20"/>
                <w:szCs w:val="20"/>
              </w:rPr>
            </w:pPr>
            <w:r w:rsidRPr="00A518B3">
              <w:rPr>
                <w:sz w:val="20"/>
                <w:szCs w:val="20"/>
              </w:rPr>
              <w:t>Impact on ($m)</w:t>
            </w:r>
          </w:p>
        </w:tc>
        <w:tc>
          <w:tcPr>
            <w:tcW w:w="682" w:type="pct"/>
          </w:tcPr>
          <w:p w:rsidR="000B5C96" w:rsidRPr="00A518B3" w:rsidRDefault="000B5C96" w:rsidP="003F606A">
            <w:pPr>
              <w:keepNext/>
              <w:keepLines/>
              <w:jc w:val="right"/>
              <w:cnfStyle w:val="100000000000" w:firstRow="1" w:lastRow="0" w:firstColumn="0" w:lastColumn="0" w:oddVBand="0" w:evenVBand="0" w:oddHBand="0" w:evenHBand="0" w:firstRowFirstColumn="0" w:firstRowLastColumn="0" w:lastRowFirstColumn="0" w:lastRowLastColumn="0"/>
              <w:rPr>
                <w:sz w:val="20"/>
                <w:szCs w:val="20"/>
              </w:rPr>
            </w:pPr>
            <w:r w:rsidRPr="00A518B3">
              <w:rPr>
                <w:sz w:val="20"/>
                <w:szCs w:val="20"/>
              </w:rPr>
              <w:t>2016–17</w:t>
            </w:r>
          </w:p>
        </w:tc>
        <w:tc>
          <w:tcPr>
            <w:tcW w:w="682" w:type="pct"/>
          </w:tcPr>
          <w:p w:rsidR="000B5C96" w:rsidRPr="00A518B3" w:rsidRDefault="000B5C96" w:rsidP="003F606A">
            <w:pPr>
              <w:keepNext/>
              <w:keepLines/>
              <w:jc w:val="right"/>
              <w:cnfStyle w:val="100000000000" w:firstRow="1" w:lastRow="0" w:firstColumn="0" w:lastColumn="0" w:oddVBand="0" w:evenVBand="0" w:oddHBand="0" w:evenHBand="0" w:firstRowFirstColumn="0" w:firstRowLastColumn="0" w:lastRowFirstColumn="0" w:lastRowLastColumn="0"/>
              <w:rPr>
                <w:sz w:val="20"/>
                <w:szCs w:val="20"/>
              </w:rPr>
            </w:pPr>
            <w:r w:rsidRPr="00A518B3">
              <w:rPr>
                <w:sz w:val="20"/>
                <w:szCs w:val="20"/>
              </w:rPr>
              <w:t>2017–18</w:t>
            </w:r>
          </w:p>
        </w:tc>
        <w:tc>
          <w:tcPr>
            <w:tcW w:w="682" w:type="pct"/>
          </w:tcPr>
          <w:p w:rsidR="000B5C96" w:rsidRPr="00A518B3" w:rsidRDefault="000B5C96" w:rsidP="003F606A">
            <w:pPr>
              <w:keepNext/>
              <w:keepLines/>
              <w:jc w:val="right"/>
              <w:cnfStyle w:val="100000000000" w:firstRow="1" w:lastRow="0" w:firstColumn="0" w:lastColumn="0" w:oddVBand="0" w:evenVBand="0" w:oddHBand="0" w:evenHBand="0" w:firstRowFirstColumn="0" w:firstRowLastColumn="0" w:lastRowFirstColumn="0" w:lastRowLastColumn="0"/>
              <w:rPr>
                <w:sz w:val="20"/>
                <w:szCs w:val="20"/>
              </w:rPr>
            </w:pPr>
            <w:r w:rsidRPr="00A518B3">
              <w:rPr>
                <w:sz w:val="20"/>
                <w:szCs w:val="20"/>
              </w:rPr>
              <w:t>2018–19</w:t>
            </w:r>
          </w:p>
        </w:tc>
        <w:tc>
          <w:tcPr>
            <w:tcW w:w="682" w:type="pct"/>
          </w:tcPr>
          <w:p w:rsidR="000B5C96" w:rsidRPr="00A518B3" w:rsidRDefault="000B5C96" w:rsidP="003F606A">
            <w:pPr>
              <w:keepNext/>
              <w:keepLines/>
              <w:jc w:val="right"/>
              <w:cnfStyle w:val="100000000000" w:firstRow="1" w:lastRow="0" w:firstColumn="0" w:lastColumn="0" w:oddVBand="0" w:evenVBand="0" w:oddHBand="0" w:evenHBand="0" w:firstRowFirstColumn="0" w:firstRowLastColumn="0" w:lastRowFirstColumn="0" w:lastRowLastColumn="0"/>
              <w:rPr>
                <w:sz w:val="20"/>
                <w:szCs w:val="20"/>
              </w:rPr>
            </w:pPr>
            <w:r w:rsidRPr="00A518B3">
              <w:rPr>
                <w:sz w:val="20"/>
                <w:szCs w:val="20"/>
              </w:rPr>
              <w:t>2019–20</w:t>
            </w:r>
          </w:p>
        </w:tc>
        <w:tc>
          <w:tcPr>
            <w:tcW w:w="681" w:type="pct"/>
          </w:tcPr>
          <w:p w:rsidR="000B5C96" w:rsidRPr="00A518B3" w:rsidRDefault="000B5C96" w:rsidP="003F606A">
            <w:pPr>
              <w:keepNext/>
              <w:keepLines/>
              <w:jc w:val="right"/>
              <w:cnfStyle w:val="100000000000" w:firstRow="1" w:lastRow="0" w:firstColumn="0" w:lastColumn="0" w:oddVBand="0" w:evenVBand="0" w:oddHBand="0" w:evenHBand="0" w:firstRowFirstColumn="0" w:firstRowLastColumn="0" w:lastRowFirstColumn="0" w:lastRowLastColumn="0"/>
              <w:rPr>
                <w:sz w:val="20"/>
                <w:szCs w:val="20"/>
              </w:rPr>
            </w:pPr>
            <w:r w:rsidRPr="00A518B3">
              <w:rPr>
                <w:sz w:val="20"/>
                <w:szCs w:val="20"/>
              </w:rPr>
              <w:t>Total</w:t>
            </w:r>
          </w:p>
        </w:tc>
      </w:tr>
      <w:tr w:rsidR="000B5C96" w:rsidRPr="00A518B3"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A518B3" w:rsidRDefault="000B5C96" w:rsidP="003F606A">
            <w:pPr>
              <w:keepNext/>
              <w:keepLines/>
              <w:rPr>
                <w:rFonts w:ascii="Calibri" w:hAnsi="Calibri"/>
                <w:sz w:val="20"/>
                <w:szCs w:val="20"/>
              </w:rPr>
            </w:pPr>
            <w:r w:rsidRPr="00A518B3">
              <w:rPr>
                <w:rFonts w:ascii="Calibri" w:hAnsi="Calibri"/>
                <w:sz w:val="20"/>
                <w:szCs w:val="20"/>
              </w:rPr>
              <w:t>Fiscal balance</w:t>
            </w:r>
          </w:p>
        </w:tc>
        <w:tc>
          <w:tcPr>
            <w:tcW w:w="682" w:type="pct"/>
            <w:vAlign w:val="center"/>
          </w:tcPr>
          <w:p w:rsidR="000B5C96" w:rsidRPr="00A518B3" w:rsidRDefault="000B5C96" w:rsidP="003F606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518B3">
              <w:rPr>
                <w:rFonts w:ascii="Calibri" w:hAnsi="Calibri"/>
                <w:sz w:val="20"/>
                <w:szCs w:val="20"/>
              </w:rPr>
              <w:t xml:space="preserve">- </w:t>
            </w:r>
          </w:p>
        </w:tc>
        <w:tc>
          <w:tcPr>
            <w:tcW w:w="682" w:type="pct"/>
            <w:vAlign w:val="center"/>
          </w:tcPr>
          <w:p w:rsidR="000B5C96" w:rsidRPr="00A518B3" w:rsidRDefault="000B5C96" w:rsidP="003F606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518B3">
              <w:rPr>
                <w:rFonts w:ascii="Calibri" w:hAnsi="Calibri"/>
                <w:sz w:val="20"/>
                <w:szCs w:val="20"/>
              </w:rPr>
              <w:t xml:space="preserve">-200.0 </w:t>
            </w:r>
          </w:p>
        </w:tc>
        <w:tc>
          <w:tcPr>
            <w:tcW w:w="682" w:type="pct"/>
            <w:vAlign w:val="center"/>
          </w:tcPr>
          <w:p w:rsidR="000B5C96" w:rsidRPr="00A518B3" w:rsidRDefault="000B5C96" w:rsidP="003F606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518B3">
              <w:rPr>
                <w:rFonts w:ascii="Calibri" w:hAnsi="Calibri"/>
                <w:sz w:val="20"/>
                <w:szCs w:val="20"/>
              </w:rPr>
              <w:t xml:space="preserve">-300.0 </w:t>
            </w:r>
          </w:p>
        </w:tc>
        <w:tc>
          <w:tcPr>
            <w:tcW w:w="682" w:type="pct"/>
            <w:vAlign w:val="center"/>
          </w:tcPr>
          <w:p w:rsidR="000B5C96" w:rsidRPr="00A518B3" w:rsidRDefault="000B5C96" w:rsidP="003F606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518B3">
              <w:rPr>
                <w:rFonts w:ascii="Calibri" w:hAnsi="Calibri"/>
                <w:sz w:val="20"/>
                <w:szCs w:val="20"/>
              </w:rPr>
              <w:t xml:space="preserve">-400.0 </w:t>
            </w:r>
          </w:p>
        </w:tc>
        <w:tc>
          <w:tcPr>
            <w:tcW w:w="681" w:type="pct"/>
            <w:vAlign w:val="center"/>
          </w:tcPr>
          <w:p w:rsidR="000B5C96" w:rsidRPr="00A518B3" w:rsidRDefault="000B5C96" w:rsidP="003F606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A518B3">
              <w:rPr>
                <w:rFonts w:ascii="Calibri" w:hAnsi="Calibri"/>
                <w:b/>
                <w:sz w:val="20"/>
                <w:szCs w:val="20"/>
              </w:rPr>
              <w:t xml:space="preserve">-900.0 </w:t>
            </w:r>
          </w:p>
        </w:tc>
      </w:tr>
      <w:tr w:rsidR="000B5C96" w:rsidRPr="00A518B3"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A518B3" w:rsidRDefault="000B5C96" w:rsidP="003F606A">
            <w:pPr>
              <w:keepNext/>
              <w:keepLines/>
              <w:rPr>
                <w:rFonts w:ascii="Calibri" w:hAnsi="Calibri"/>
                <w:sz w:val="20"/>
                <w:szCs w:val="20"/>
              </w:rPr>
            </w:pPr>
            <w:r w:rsidRPr="00A518B3">
              <w:rPr>
                <w:rFonts w:ascii="Calibri" w:hAnsi="Calibri"/>
                <w:sz w:val="20"/>
                <w:szCs w:val="20"/>
              </w:rPr>
              <w:t>Underlying cash balance</w:t>
            </w:r>
          </w:p>
        </w:tc>
        <w:tc>
          <w:tcPr>
            <w:tcW w:w="682" w:type="pct"/>
            <w:vAlign w:val="center"/>
          </w:tcPr>
          <w:p w:rsidR="000B5C96" w:rsidRPr="00A518B3" w:rsidRDefault="000B5C96" w:rsidP="003F606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8B3">
              <w:rPr>
                <w:rFonts w:ascii="Calibri" w:hAnsi="Calibri"/>
                <w:sz w:val="20"/>
                <w:szCs w:val="20"/>
              </w:rPr>
              <w:t xml:space="preserve">- </w:t>
            </w:r>
          </w:p>
        </w:tc>
        <w:tc>
          <w:tcPr>
            <w:tcW w:w="682" w:type="pct"/>
            <w:vAlign w:val="center"/>
          </w:tcPr>
          <w:p w:rsidR="000B5C96" w:rsidRPr="00A518B3" w:rsidRDefault="000B5C96" w:rsidP="003F606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8B3">
              <w:rPr>
                <w:rFonts w:ascii="Calibri" w:hAnsi="Calibri"/>
                <w:sz w:val="20"/>
                <w:szCs w:val="20"/>
              </w:rPr>
              <w:t xml:space="preserve">-200.0 </w:t>
            </w:r>
          </w:p>
        </w:tc>
        <w:tc>
          <w:tcPr>
            <w:tcW w:w="682" w:type="pct"/>
            <w:vAlign w:val="center"/>
          </w:tcPr>
          <w:p w:rsidR="000B5C96" w:rsidRPr="00A518B3" w:rsidRDefault="000B5C96" w:rsidP="003F606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8B3">
              <w:rPr>
                <w:rFonts w:ascii="Calibri" w:hAnsi="Calibri"/>
                <w:sz w:val="20"/>
                <w:szCs w:val="20"/>
              </w:rPr>
              <w:t xml:space="preserve">-300.0 </w:t>
            </w:r>
          </w:p>
        </w:tc>
        <w:tc>
          <w:tcPr>
            <w:tcW w:w="682" w:type="pct"/>
            <w:vAlign w:val="center"/>
          </w:tcPr>
          <w:p w:rsidR="000B5C96" w:rsidRPr="00A518B3" w:rsidRDefault="000B5C96" w:rsidP="003F606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8B3">
              <w:rPr>
                <w:rFonts w:ascii="Calibri" w:hAnsi="Calibri"/>
                <w:sz w:val="20"/>
                <w:szCs w:val="20"/>
              </w:rPr>
              <w:t xml:space="preserve">-400.0 </w:t>
            </w:r>
          </w:p>
        </w:tc>
        <w:tc>
          <w:tcPr>
            <w:tcW w:w="681" w:type="pct"/>
            <w:vAlign w:val="center"/>
          </w:tcPr>
          <w:p w:rsidR="000B5C96" w:rsidRPr="00A518B3" w:rsidRDefault="000B5C96" w:rsidP="003F606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518B3">
              <w:rPr>
                <w:rFonts w:ascii="Calibri" w:hAnsi="Calibri"/>
                <w:b/>
                <w:sz w:val="20"/>
                <w:szCs w:val="20"/>
              </w:rPr>
              <w:t xml:space="preserve">-900.0 </w:t>
            </w:r>
          </w:p>
        </w:tc>
      </w:tr>
    </w:tbl>
    <w:p w:rsidR="000B5C96" w:rsidRPr="00A518B3" w:rsidRDefault="000B5C96" w:rsidP="00E54AEC">
      <w:pPr>
        <w:pStyle w:val="Footnotes"/>
        <w:numPr>
          <w:ilvl w:val="0"/>
          <w:numId w:val="314"/>
        </w:numPr>
        <w:ind w:left="284" w:hanging="284"/>
      </w:pPr>
      <w:r w:rsidRPr="00A518B3">
        <w:rPr>
          <w:lang w:eastAsia="en-AU"/>
        </w:rPr>
        <w:t>A positive number represents an increase in the relevant budget balance, a negative number a decrease.</w:t>
      </w:r>
    </w:p>
    <w:p w:rsidR="000B5C96" w:rsidRPr="00A518B3" w:rsidRDefault="000B5C96" w:rsidP="000B5C96">
      <w:pPr>
        <w:pStyle w:val="Footnotes"/>
        <w:numPr>
          <w:ilvl w:val="0"/>
          <w:numId w:val="7"/>
        </w:numPr>
        <w:ind w:left="284" w:hanging="284"/>
      </w:pPr>
      <w:r w:rsidRPr="00A518B3">
        <w:t>Figures may not sum to totals due to rounding</w:t>
      </w:r>
      <w:r w:rsidRPr="00A518B3" w:rsidDel="0066665A">
        <w:t>.</w:t>
      </w:r>
    </w:p>
    <w:p w:rsidR="000B5C96" w:rsidRPr="009404F8" w:rsidRDefault="000B5C96" w:rsidP="000B5C96">
      <w:pPr>
        <w:pStyle w:val="Footnotes"/>
        <w:numPr>
          <w:ilvl w:val="0"/>
          <w:numId w:val="121"/>
        </w:numPr>
        <w:ind w:left="284" w:hanging="284"/>
        <w:rPr>
          <w:rFonts w:ascii="Calibri" w:eastAsia="Calibri" w:hAnsi="Calibri" w:cs="Times New Roman"/>
        </w:rPr>
      </w:pPr>
      <w:r w:rsidRPr="009404F8">
        <w:rPr>
          <w:rFonts w:ascii="Calibri" w:eastAsia="Calibri" w:hAnsi="Calibri" w:cs="Times New Roman"/>
        </w:rPr>
        <w:t>Indicates nil.</w:t>
      </w:r>
    </w:p>
    <w:p w:rsidR="000B5C96" w:rsidRPr="00A518B3" w:rsidRDefault="000B5C96" w:rsidP="003F606A">
      <w:pPr>
        <w:pStyle w:val="CostingsH7"/>
      </w:pPr>
      <w:r w:rsidRPr="00A518B3">
        <w:t>Methodology</w:t>
      </w:r>
    </w:p>
    <w:p w:rsidR="000B5C96" w:rsidRPr="00A518B3" w:rsidRDefault="000B5C96" w:rsidP="003F606A">
      <w:pPr>
        <w:pStyle w:val="BodyText"/>
      </w:pPr>
      <w:r w:rsidRPr="00A518B3">
        <w:t>Departmental expense estimates are accommodated within the capped funding amounts as specified in the request.  These estimates are based on similar programs and account for the net effect of indexation parameters and the efficiency dividend, in accordance with the Department of Finance’s costing practices.</w:t>
      </w:r>
    </w:p>
    <w:p w:rsidR="000B5C96" w:rsidRPr="00A518B3" w:rsidRDefault="000B5C96" w:rsidP="003F606A">
      <w:pPr>
        <w:pStyle w:val="BodyText"/>
      </w:pPr>
      <w:r w:rsidRPr="00A518B3">
        <w:t xml:space="preserve">Administered expense estimates are the remainder of the capped funding amounts after allowing for estimated departmental expenditure. </w:t>
      </w:r>
    </w:p>
    <w:p w:rsidR="000B5C96" w:rsidRPr="00A518B3" w:rsidRDefault="000B5C96" w:rsidP="003F606A">
      <w:pPr>
        <w:pStyle w:val="CostingsH7"/>
      </w:pPr>
      <w:r w:rsidRPr="00A518B3">
        <w:t>Data sources</w:t>
      </w:r>
    </w:p>
    <w:p w:rsidR="000B5C96" w:rsidRDefault="000B5C96" w:rsidP="003F606A">
      <w:pPr>
        <w:pStyle w:val="BodyText"/>
        <w:rPr>
          <w:lang w:eastAsia="en-AU"/>
        </w:rPr>
        <w:sectPr w:rsidR="000B5C96" w:rsidSect="008430E8">
          <w:pgSz w:w="11907" w:h="16839" w:code="9"/>
          <w:pgMar w:top="1361" w:right="1797" w:bottom="1474" w:left="1797" w:header="283" w:footer="454" w:gutter="0"/>
          <w:cols w:space="708"/>
          <w:docGrid w:linePitch="360"/>
        </w:sectPr>
      </w:pPr>
      <w:r w:rsidRPr="00A518B3">
        <w:rPr>
          <w:lang w:eastAsia="en-AU"/>
        </w:rPr>
        <w:t>The Department of Finance provided indexation and efficiency dividend parameters.</w:t>
      </w:r>
    </w:p>
    <w:p w:rsidR="000B5C96" w:rsidRPr="00050619" w:rsidRDefault="000B5C96" w:rsidP="000B5C96">
      <w:pPr>
        <w:pStyle w:val="Heading6"/>
        <w:numPr>
          <w:ilvl w:val="0"/>
          <w:numId w:val="5"/>
        </w:numPr>
        <w:tabs>
          <w:tab w:val="right" w:pos="1418"/>
          <w:tab w:val="right" w:pos="1701"/>
          <w:tab w:val="right" w:pos="1985"/>
        </w:tabs>
      </w:pPr>
      <w:r w:rsidRPr="00050619">
        <w:t>Attachment A: Alcohol and other drug treatment—financial implications</w:t>
      </w:r>
    </w:p>
    <w:p w:rsidR="000B5C96" w:rsidRPr="00050619" w:rsidRDefault="000B5C96" w:rsidP="003F606A">
      <w:pPr>
        <w:pStyle w:val="Caption"/>
        <w:rPr>
          <w:vertAlign w:val="superscript"/>
        </w:rPr>
      </w:pPr>
      <w:r w:rsidRPr="00050619">
        <w:t>Table A1: Alcohol and other drug treatment—Financial implications</w:t>
      </w:r>
      <w:r w:rsidRPr="00050619">
        <w:rPr>
          <w:vertAlign w:val="superscript"/>
        </w:rPr>
        <w:t>(a)(b)</w:t>
      </w:r>
    </w:p>
    <w:tbl>
      <w:tblPr>
        <w:tblStyle w:val="TableGrid73"/>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05061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050619" w:rsidRDefault="000B5C96" w:rsidP="003F606A">
            <w:pPr>
              <w:keepNext/>
              <w:keepLines/>
              <w:ind w:left="57" w:right="57"/>
              <w:rPr>
                <w:sz w:val="20"/>
                <w:szCs w:val="20"/>
              </w:rPr>
            </w:pPr>
            <w:r w:rsidRPr="00050619">
              <w:rPr>
                <w:sz w:val="20"/>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50619" w:rsidRDefault="000B5C96" w:rsidP="003F606A">
            <w:pPr>
              <w:keepNext/>
              <w:keepLines/>
              <w:ind w:left="57" w:right="57"/>
              <w:jc w:val="center"/>
              <w:cnfStyle w:val="100000000000" w:firstRow="1" w:lastRow="0" w:firstColumn="0" w:lastColumn="0" w:oddVBand="0" w:evenVBand="0" w:oddHBand="0" w:evenHBand="0" w:firstRowFirstColumn="0" w:firstRowLastColumn="0" w:lastRowFirstColumn="0" w:lastRowLastColumn="0"/>
              <w:rPr>
                <w:sz w:val="20"/>
                <w:szCs w:val="20"/>
              </w:rPr>
            </w:pPr>
            <w:r w:rsidRPr="00050619">
              <w:rPr>
                <w:sz w:val="20"/>
              </w:rPr>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50619" w:rsidRDefault="000B5C96" w:rsidP="003F606A">
            <w:pPr>
              <w:keepNext/>
              <w:keepLines/>
              <w:ind w:left="57" w:right="57"/>
              <w:jc w:val="center"/>
              <w:cnfStyle w:val="100000000000" w:firstRow="1" w:lastRow="0" w:firstColumn="0" w:lastColumn="0" w:oddVBand="0" w:evenVBand="0" w:oddHBand="0" w:evenHBand="0" w:firstRowFirstColumn="0" w:firstRowLastColumn="0" w:lastRowFirstColumn="0" w:lastRowLastColumn="0"/>
              <w:rPr>
                <w:sz w:val="20"/>
                <w:szCs w:val="20"/>
              </w:rPr>
            </w:pPr>
            <w:r w:rsidRPr="00050619">
              <w:rPr>
                <w:sz w:val="20"/>
              </w:rPr>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50619" w:rsidRDefault="000B5C96" w:rsidP="003F606A">
            <w:pPr>
              <w:keepNext/>
              <w:keepLines/>
              <w:ind w:left="57" w:right="57"/>
              <w:jc w:val="center"/>
              <w:cnfStyle w:val="100000000000" w:firstRow="1" w:lastRow="0" w:firstColumn="0" w:lastColumn="0" w:oddVBand="0" w:evenVBand="0" w:oddHBand="0" w:evenHBand="0" w:firstRowFirstColumn="0" w:firstRowLastColumn="0" w:lastRowFirstColumn="0" w:lastRowLastColumn="0"/>
              <w:rPr>
                <w:sz w:val="20"/>
                <w:szCs w:val="20"/>
              </w:rPr>
            </w:pPr>
            <w:r w:rsidRPr="00050619">
              <w:rPr>
                <w:sz w:val="20"/>
              </w:rPr>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50619" w:rsidRDefault="000B5C96" w:rsidP="003F606A">
            <w:pPr>
              <w:keepNext/>
              <w:keepLines/>
              <w:ind w:left="57" w:right="57"/>
              <w:jc w:val="center"/>
              <w:cnfStyle w:val="100000000000" w:firstRow="1" w:lastRow="0" w:firstColumn="0" w:lastColumn="0" w:oddVBand="0" w:evenVBand="0" w:oddHBand="0" w:evenHBand="0" w:firstRowFirstColumn="0" w:firstRowLastColumn="0" w:lastRowFirstColumn="0" w:lastRowLastColumn="0"/>
              <w:rPr>
                <w:sz w:val="20"/>
                <w:szCs w:val="20"/>
              </w:rPr>
            </w:pPr>
            <w:r w:rsidRPr="00050619">
              <w:rPr>
                <w:sz w:val="20"/>
              </w:rPr>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050619" w:rsidRDefault="000B5C96" w:rsidP="003F606A">
            <w:pPr>
              <w:keepNext/>
              <w:keepLines/>
              <w:ind w:left="57" w:right="57"/>
              <w:jc w:val="cente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050619">
              <w:rPr>
                <w:sz w:val="20"/>
              </w:rPr>
              <w:t>Total</w:t>
            </w:r>
            <w:r w:rsidRPr="00050619">
              <w:rPr>
                <w:sz w:val="20"/>
                <w:szCs w:val="20"/>
              </w:rPr>
              <w:t xml:space="preserve"> to 2019–20</w:t>
            </w:r>
          </w:p>
        </w:tc>
      </w:tr>
      <w:tr w:rsidR="000B5C96" w:rsidRPr="0005061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050619" w:rsidRDefault="000B5C96" w:rsidP="003F606A">
            <w:pPr>
              <w:keepNext/>
              <w:keepLines/>
              <w:ind w:left="57" w:right="57"/>
              <w:rPr>
                <w:rFonts w:ascii="Calibri" w:hAnsi="Calibri"/>
                <w:b/>
                <w:sz w:val="20"/>
              </w:rPr>
            </w:pPr>
            <w:r w:rsidRPr="00050619">
              <w:rPr>
                <w:rFonts w:ascii="Calibri" w:hAnsi="Calibri"/>
                <w:b/>
                <w:sz w:val="20"/>
              </w:rPr>
              <w:t>Impact on fiscal and underlying cash balances</w:t>
            </w:r>
          </w:p>
        </w:tc>
      </w:tr>
      <w:tr w:rsidR="000B5C96" w:rsidRPr="0005061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050619" w:rsidRDefault="000B5C96" w:rsidP="003F606A">
            <w:pPr>
              <w:keepNext/>
              <w:keepLines/>
              <w:ind w:left="57" w:right="57"/>
              <w:rPr>
                <w:rFonts w:ascii="Calibri" w:hAnsi="Calibri"/>
                <w:i/>
                <w:sz w:val="20"/>
                <w:szCs w:val="20"/>
              </w:rPr>
            </w:pPr>
            <w:r w:rsidRPr="00050619">
              <w:rPr>
                <w:rFonts w:ascii="Calibri" w:hAnsi="Calibri"/>
                <w:i/>
                <w:sz w:val="20"/>
                <w:szCs w:val="20"/>
              </w:rPr>
              <w:t>Administered</w:t>
            </w:r>
          </w:p>
        </w:tc>
        <w:tc>
          <w:tcPr>
            <w:tcW w:w="682" w:type="pct"/>
            <w:tcBorders>
              <w:top w:val="single" w:sz="4" w:space="0" w:color="788184"/>
              <w:left w:val="single" w:sz="4" w:space="0" w:color="788184"/>
              <w:bottom w:val="single" w:sz="4" w:space="0" w:color="788184"/>
              <w:right w:val="single" w:sz="4" w:space="0" w:color="788184"/>
            </w:tcBorders>
          </w:tcPr>
          <w:p w:rsidR="000B5C96" w:rsidRPr="00050619"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050619">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050619"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050619">
              <w:rPr>
                <w:rFonts w:ascii="Calibri" w:hAnsi="Calibri"/>
                <w:i/>
                <w:color w:val="000000"/>
                <w:sz w:val="20"/>
                <w:szCs w:val="20"/>
              </w:rPr>
              <w:t xml:space="preserve">-199.2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050619"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050619">
              <w:rPr>
                <w:rFonts w:ascii="Calibri" w:hAnsi="Calibri"/>
                <w:i/>
                <w:color w:val="000000"/>
                <w:sz w:val="20"/>
                <w:szCs w:val="20"/>
              </w:rPr>
              <w:t xml:space="preserve">-299.1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050619"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050619">
              <w:rPr>
                <w:rFonts w:ascii="Calibri" w:hAnsi="Calibri"/>
                <w:i/>
                <w:color w:val="000000"/>
                <w:sz w:val="20"/>
                <w:szCs w:val="20"/>
              </w:rPr>
              <w:t xml:space="preserve">-398.9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050619"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050619">
              <w:rPr>
                <w:rFonts w:ascii="Calibri" w:hAnsi="Calibri"/>
                <w:b/>
                <w:i/>
                <w:color w:val="000000"/>
                <w:sz w:val="20"/>
                <w:szCs w:val="20"/>
              </w:rPr>
              <w:t xml:space="preserve">-897.2 </w:t>
            </w:r>
          </w:p>
        </w:tc>
      </w:tr>
      <w:tr w:rsidR="000B5C96" w:rsidRPr="0005061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050619" w:rsidRDefault="000B5C96" w:rsidP="003F606A">
            <w:pPr>
              <w:keepNext/>
              <w:keepLines/>
              <w:ind w:left="57" w:right="57"/>
              <w:rPr>
                <w:rFonts w:ascii="Calibri" w:hAnsi="Calibri"/>
                <w:i/>
                <w:sz w:val="20"/>
                <w:szCs w:val="20"/>
              </w:rPr>
            </w:pPr>
            <w:r w:rsidRPr="00050619">
              <w:rPr>
                <w:rFonts w:ascii="Calibri" w:hAnsi="Calibri"/>
                <w:i/>
                <w:sz w:val="20"/>
                <w:szCs w:val="20"/>
              </w:rPr>
              <w:t>Departmental</w:t>
            </w:r>
          </w:p>
        </w:tc>
        <w:tc>
          <w:tcPr>
            <w:tcW w:w="682" w:type="pct"/>
            <w:tcBorders>
              <w:top w:val="single" w:sz="4" w:space="0" w:color="788184"/>
              <w:left w:val="single" w:sz="4" w:space="0" w:color="788184"/>
              <w:bottom w:val="single" w:sz="4" w:space="0" w:color="788184"/>
              <w:right w:val="single" w:sz="4" w:space="0" w:color="788184"/>
            </w:tcBorders>
          </w:tcPr>
          <w:p w:rsidR="000B5C96" w:rsidRPr="00050619"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050619">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050619"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050619">
              <w:rPr>
                <w:rFonts w:ascii="Calibri" w:hAnsi="Calibri"/>
                <w:i/>
                <w:color w:val="000000"/>
                <w:sz w:val="20"/>
                <w:szCs w:val="20"/>
              </w:rPr>
              <w:t>-0.8</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050619"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050619">
              <w:rPr>
                <w:rFonts w:ascii="Calibri" w:hAnsi="Calibri"/>
                <w:i/>
                <w:color w:val="000000"/>
                <w:sz w:val="20"/>
                <w:szCs w:val="20"/>
              </w:rPr>
              <w:t>-0.9</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050619"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050619">
              <w:rPr>
                <w:rFonts w:ascii="Calibri" w:hAnsi="Calibri"/>
                <w:i/>
                <w:color w:val="000000"/>
                <w:sz w:val="20"/>
                <w:szCs w:val="20"/>
              </w:rPr>
              <w:t>-1.1</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050619" w:rsidRDefault="000B5C96" w:rsidP="003F606A">
            <w:pPr>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 w:val="20"/>
              </w:rPr>
            </w:pPr>
            <w:r w:rsidRPr="00050619">
              <w:rPr>
                <w:rFonts w:ascii="Calibri" w:hAnsi="Calibri"/>
                <w:b/>
                <w:i/>
                <w:color w:val="000000"/>
                <w:sz w:val="20"/>
                <w:szCs w:val="20"/>
              </w:rPr>
              <w:t>-2.8</w:t>
            </w:r>
          </w:p>
        </w:tc>
      </w:tr>
      <w:tr w:rsidR="000B5C96" w:rsidRPr="00050619"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050619" w:rsidRDefault="000B5C96" w:rsidP="003F606A">
            <w:pPr>
              <w:keepNext/>
              <w:keepLines/>
              <w:ind w:left="57" w:right="57"/>
              <w:rPr>
                <w:rFonts w:ascii="Calibri" w:hAnsi="Calibri"/>
                <w:b/>
                <w:sz w:val="20"/>
                <w:szCs w:val="20"/>
              </w:rPr>
            </w:pPr>
            <w:r w:rsidRPr="00050619">
              <w:rPr>
                <w:rFonts w:ascii="Calibri" w:hAnsi="Calibri"/>
                <w:b/>
                <w:sz w:val="20"/>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050619"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050619">
              <w:rPr>
                <w:rFonts w:ascii="Calibri" w:hAnsi="Calibri"/>
                <w:b/>
                <w:i/>
                <w:sz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050619"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050619">
              <w:rPr>
                <w:rFonts w:ascii="Calibri" w:hAnsi="Calibri"/>
                <w:b/>
                <w:i/>
                <w:color w:val="000000"/>
                <w:sz w:val="20"/>
                <w:szCs w:val="20"/>
              </w:rPr>
              <w:t xml:space="preserve">-200.0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050619"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050619">
              <w:rPr>
                <w:rFonts w:ascii="Calibri" w:hAnsi="Calibri"/>
                <w:b/>
                <w:i/>
                <w:color w:val="000000"/>
                <w:sz w:val="20"/>
                <w:szCs w:val="20"/>
              </w:rPr>
              <w:t xml:space="preserve">-300.0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050619"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050619">
              <w:rPr>
                <w:rFonts w:ascii="Calibri" w:hAnsi="Calibri"/>
                <w:b/>
                <w:i/>
                <w:color w:val="000000"/>
                <w:sz w:val="20"/>
                <w:szCs w:val="20"/>
              </w:rPr>
              <w:t xml:space="preserve">-400.0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050619" w:rsidRDefault="000B5C96" w:rsidP="003F606A">
            <w:pPr>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050619">
              <w:rPr>
                <w:rFonts w:ascii="Calibri" w:hAnsi="Calibri"/>
                <w:b/>
                <w:i/>
                <w:color w:val="000000"/>
                <w:sz w:val="20"/>
                <w:szCs w:val="20"/>
              </w:rPr>
              <w:t xml:space="preserve">-900.0 </w:t>
            </w:r>
          </w:p>
        </w:tc>
      </w:tr>
    </w:tbl>
    <w:p w:rsidR="000B5C96" w:rsidRPr="00050619" w:rsidRDefault="000B5C96" w:rsidP="00E54AEC">
      <w:pPr>
        <w:pStyle w:val="Footnotes"/>
        <w:numPr>
          <w:ilvl w:val="0"/>
          <w:numId w:val="315"/>
        </w:numPr>
        <w:ind w:left="284" w:hanging="284"/>
      </w:pPr>
      <w:r w:rsidRPr="00050619">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050619" w:rsidRDefault="000B5C96" w:rsidP="000B5C96">
      <w:pPr>
        <w:pStyle w:val="Footnotes"/>
        <w:numPr>
          <w:ilvl w:val="0"/>
          <w:numId w:val="7"/>
        </w:numPr>
        <w:ind w:left="284" w:hanging="284"/>
      </w:pPr>
      <w:r w:rsidRPr="00050619">
        <w:t>Figures may not sum to totals due to rounding.</w:t>
      </w:r>
    </w:p>
    <w:p w:rsidR="000B5C96" w:rsidRPr="00050619" w:rsidRDefault="000B5C96" w:rsidP="000B5C96">
      <w:pPr>
        <w:pStyle w:val="Footnotes"/>
        <w:numPr>
          <w:ilvl w:val="0"/>
          <w:numId w:val="121"/>
        </w:numPr>
        <w:ind w:left="284" w:hanging="284"/>
      </w:pPr>
      <w:r w:rsidRPr="00050619">
        <w:t>Indicates nil.</w:t>
      </w:r>
    </w:p>
    <w:p w:rsidR="000B5C96" w:rsidRDefault="000B5C96" w:rsidP="003F606A">
      <w:pPr>
        <w:pStyle w:val="BodyText"/>
        <w:rPr>
          <w:lang w:eastAsia="en-AU"/>
        </w:rPr>
      </w:pPr>
    </w:p>
    <w:p w:rsidR="000B5C96" w:rsidRPr="00A518B3" w:rsidRDefault="000B5C96" w:rsidP="003F606A">
      <w:pPr>
        <w:pStyle w:val="BodyText"/>
        <w:rPr>
          <w:lang w:eastAsia="en-AU"/>
        </w:rPr>
        <w:sectPr w:rsidR="000B5C96" w:rsidRPr="00A518B3"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17" w:name="_Toc458001988"/>
      <w:bookmarkStart w:id="218" w:name="_Toc458069473"/>
      <w:r>
        <w:t>GRN083: Hospital Funding We Deserve</w:t>
      </w:r>
      <w:bookmarkEnd w:id="217"/>
      <w:bookmarkEnd w:id="218"/>
    </w:p>
    <w:p w:rsidR="000B5C96" w:rsidRDefault="000B5C96" w:rsidP="003F606A">
      <w:pPr>
        <w:pStyle w:val="BodyText"/>
      </w:pPr>
      <w:r>
        <w:rPr>
          <w:noProof/>
          <w:lang w:eastAsia="en-AU"/>
        </w:rPr>
        <w:drawing>
          <wp:inline distT="0" distB="0" distL="0" distR="0" wp14:anchorId="5CBC284C" wp14:editId="3962E2AC">
            <wp:extent cx="2696845" cy="572135"/>
            <wp:effectExtent l="0" t="0" r="8255" b="0"/>
            <wp:docPr id="494" name="Picture 49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Default="000B5C96" w:rsidP="000B5C96">
      <w:pPr>
        <w:pStyle w:val="Heading6"/>
        <w:numPr>
          <w:ilvl w:val="0"/>
          <w:numId w:val="5"/>
        </w:numPr>
        <w:tabs>
          <w:tab w:val="right" w:pos="1418"/>
          <w:tab w:val="right" w:pos="1701"/>
          <w:tab w:val="right" w:pos="1985"/>
        </w:tabs>
      </w:pPr>
      <w:r w:rsidRPr="00002D5D">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Hospital Funding We Deserve</w:t>
            </w:r>
          </w:p>
        </w:tc>
      </w:tr>
      <w:tr w:rsidR="000B5C96" w:rsidTr="003F606A">
        <w:tc>
          <w:tcPr>
            <w:tcW w:w="3005" w:type="dxa"/>
          </w:tcPr>
          <w:p w:rsidR="000B5C96" w:rsidRDefault="000B5C96" w:rsidP="003F606A">
            <w:pPr>
              <w:pStyle w:val="PullOutBoxBodyText"/>
            </w:pPr>
            <w:r>
              <w:t>Summary of proposal:</w:t>
            </w:r>
          </w:p>
        </w:tc>
        <w:tc>
          <w:tcPr>
            <w:tcW w:w="5335" w:type="dxa"/>
          </w:tcPr>
          <w:p w:rsidR="000B5C96" w:rsidRPr="0075205B" w:rsidRDefault="000B5C96" w:rsidP="003F606A">
            <w:pPr>
              <w:pStyle w:val="PullOutBoxBodyText"/>
            </w:pPr>
            <w:r w:rsidRPr="0075205B">
              <w:t>The proposal includes the following three components:</w:t>
            </w:r>
          </w:p>
          <w:p w:rsidR="000B5C96" w:rsidRPr="0075205B" w:rsidRDefault="000B5C96" w:rsidP="003F606A">
            <w:pPr>
              <w:pStyle w:val="PullOutBoxBodyText"/>
              <w:rPr>
                <w:u w:val="single"/>
              </w:rPr>
            </w:pPr>
            <w:r w:rsidRPr="0075205B">
              <w:rPr>
                <w:u w:val="single"/>
              </w:rPr>
              <w:t>Component 1 – Hospital funding</w:t>
            </w:r>
          </w:p>
          <w:p w:rsidR="000B5C96" w:rsidRPr="0075205B" w:rsidRDefault="000B5C96" w:rsidP="003F606A">
            <w:pPr>
              <w:pStyle w:val="PullOutBoxBodyText"/>
            </w:pPr>
            <w:r w:rsidRPr="0075205B">
              <w:t xml:space="preserve">This component would set the annual growth in Commonwealth funding to states </w:t>
            </w:r>
            <w:r>
              <w:t xml:space="preserve">and territories </w:t>
            </w:r>
            <w:r w:rsidRPr="0075205B">
              <w:t>for public hospitals from 1 July 2017 to 50 per cent of the efficient growth in public hospital costs.</w:t>
            </w:r>
          </w:p>
          <w:p w:rsidR="000B5C96" w:rsidRPr="0075205B" w:rsidRDefault="000B5C96" w:rsidP="003F606A">
            <w:pPr>
              <w:pStyle w:val="PullOutBoxBodyText"/>
              <w:rPr>
                <w:u w:val="single"/>
              </w:rPr>
            </w:pPr>
            <w:r w:rsidRPr="0075205B">
              <w:rPr>
                <w:u w:val="single"/>
              </w:rPr>
              <w:t>Component 2 – Darebin Community Health Centre National Partnership Payment (NPP)</w:t>
            </w:r>
          </w:p>
          <w:p w:rsidR="000B5C96" w:rsidRPr="0075205B" w:rsidRDefault="000B5C96" w:rsidP="003F606A">
            <w:pPr>
              <w:pStyle w:val="PullOutBoxBodyText"/>
              <w:rPr>
                <w:u w:val="single"/>
              </w:rPr>
            </w:pPr>
            <w:r w:rsidRPr="0075205B">
              <w:t>This component would provide $8.8 million in 2016-17 for Darebin Community Health Centre Preston in Preston</w:t>
            </w:r>
            <w:r>
              <w:t>,</w:t>
            </w:r>
            <w:r w:rsidRPr="0075205B">
              <w:t xml:space="preserve"> Victoria.</w:t>
            </w:r>
          </w:p>
          <w:p w:rsidR="000B5C96" w:rsidRPr="0075205B" w:rsidRDefault="000B5C96" w:rsidP="003F606A">
            <w:pPr>
              <w:pStyle w:val="PullOutBoxBodyText"/>
              <w:rPr>
                <w:u w:val="single"/>
              </w:rPr>
            </w:pPr>
            <w:r w:rsidRPr="0075205B">
              <w:rPr>
                <w:u w:val="single"/>
              </w:rPr>
              <w:t>Component 3 – Tweed Hospital NPP</w:t>
            </w:r>
          </w:p>
          <w:p w:rsidR="000B5C96" w:rsidRPr="0075205B" w:rsidRDefault="000B5C96" w:rsidP="003F606A">
            <w:pPr>
              <w:pStyle w:val="PullOutBoxBodyText"/>
            </w:pPr>
            <w:r w:rsidRPr="0075205B">
              <w:t>This component would provide $100 million in 2016-17 for Tweed Hospital in Tweed Heads</w:t>
            </w:r>
            <w:r>
              <w:t>,</w:t>
            </w:r>
            <w:r w:rsidRPr="0075205B">
              <w:t xml:space="preserve"> New South Wales.</w:t>
            </w:r>
          </w:p>
        </w:tc>
      </w:tr>
      <w:tr w:rsidR="000B5C96" w:rsidTr="003F606A">
        <w:tc>
          <w:tcPr>
            <w:tcW w:w="3005" w:type="dxa"/>
          </w:tcPr>
          <w:p w:rsidR="000B5C96" w:rsidRDefault="000B5C96" w:rsidP="003F606A">
            <w:pPr>
              <w:pStyle w:val="PullOutBoxBodyText"/>
            </w:pPr>
            <w:r>
              <w:t>Person/party requesting costing:</w:t>
            </w:r>
          </w:p>
        </w:tc>
        <w:tc>
          <w:tcPr>
            <w:tcW w:w="5335" w:type="dxa"/>
          </w:tcPr>
          <w:p w:rsidR="000B5C96" w:rsidRPr="0075205B" w:rsidRDefault="000B5C96" w:rsidP="003F606A">
            <w:pPr>
              <w:pStyle w:val="PullOutBoxBodyText"/>
            </w:pPr>
            <w:r w:rsidRPr="0075205B">
              <w:t>Senator Richard Di Natale, Australian Greens</w:t>
            </w:r>
          </w:p>
        </w:tc>
      </w:tr>
      <w:tr w:rsidR="000B5C96" w:rsidTr="003F606A">
        <w:tc>
          <w:tcPr>
            <w:tcW w:w="3005" w:type="dxa"/>
          </w:tcPr>
          <w:p w:rsidR="000B5C96" w:rsidRDefault="000B5C96" w:rsidP="003F606A">
            <w:pPr>
              <w:pStyle w:val="PullOutBoxBodyText"/>
            </w:pPr>
            <w:r>
              <w:t>Date of public release of policy:</w:t>
            </w:r>
          </w:p>
        </w:tc>
        <w:tc>
          <w:tcPr>
            <w:tcW w:w="5335" w:type="dxa"/>
          </w:tcPr>
          <w:p w:rsidR="000B5C96" w:rsidRDefault="000B5C96" w:rsidP="003F606A">
            <w:pPr>
              <w:pStyle w:val="PullOutBoxBodyText"/>
            </w:pPr>
            <w:r w:rsidRPr="0075205B">
              <w:t xml:space="preserve">30 March 2016 </w:t>
            </w:r>
          </w:p>
          <w:p w:rsidR="000B5C96" w:rsidRPr="0075205B" w:rsidRDefault="00E46526" w:rsidP="003F606A">
            <w:pPr>
              <w:pStyle w:val="PullOutBoxBodyText"/>
            </w:pPr>
            <w:hyperlink r:id="rId587" w:history="1">
              <w:r w:rsidR="000B5C96" w:rsidRPr="00885283">
                <w:rPr>
                  <w:rStyle w:val="Hyperlink"/>
                </w:rPr>
                <w:t>http://greens.org.au/healthcare</w:t>
              </w:r>
            </w:hyperlink>
          </w:p>
        </w:tc>
      </w:tr>
      <w:tr w:rsidR="000B5C96" w:rsidTr="003F606A">
        <w:tc>
          <w:tcPr>
            <w:tcW w:w="3005" w:type="dxa"/>
          </w:tcPr>
          <w:p w:rsidR="000B5C96" w:rsidRDefault="000B5C96" w:rsidP="003F606A">
            <w:pPr>
              <w:pStyle w:val="PullOutBoxBodyText"/>
            </w:pPr>
            <w:r>
              <w:t>Date costing request received:</w:t>
            </w:r>
          </w:p>
        </w:tc>
        <w:tc>
          <w:tcPr>
            <w:tcW w:w="5335" w:type="dxa"/>
          </w:tcPr>
          <w:p w:rsidR="000B5C96" w:rsidRPr="0075205B" w:rsidRDefault="000B5C96" w:rsidP="003F606A">
            <w:pPr>
              <w:pStyle w:val="PullOutBoxBodyText"/>
            </w:pPr>
            <w:r w:rsidRPr="0075205B">
              <w:t>1 July 2016</w:t>
            </w:r>
          </w:p>
        </w:tc>
      </w:tr>
      <w:tr w:rsidR="000B5C96" w:rsidTr="003F606A">
        <w:tc>
          <w:tcPr>
            <w:tcW w:w="3005" w:type="dxa"/>
          </w:tcPr>
          <w:p w:rsidR="000B5C96" w:rsidRDefault="000B5C96" w:rsidP="003F606A">
            <w:pPr>
              <w:pStyle w:val="PullOutBoxBodyText"/>
            </w:pPr>
            <w:r>
              <w:t>Date costing completed:</w:t>
            </w:r>
          </w:p>
        </w:tc>
        <w:tc>
          <w:tcPr>
            <w:tcW w:w="5335" w:type="dxa"/>
          </w:tcPr>
          <w:p w:rsidR="000B5C96" w:rsidRPr="0075205B" w:rsidRDefault="000B5C96" w:rsidP="003F606A">
            <w:pPr>
              <w:pStyle w:val="PullOutBoxBodyText"/>
            </w:pPr>
            <w:r w:rsidRPr="0075205B">
              <w:t>1 July 2016</w:t>
            </w:r>
          </w:p>
        </w:tc>
      </w:tr>
      <w:tr w:rsidR="000B5C96" w:rsidTr="003F606A">
        <w:tc>
          <w:tcPr>
            <w:tcW w:w="3005" w:type="dxa"/>
          </w:tcPr>
          <w:p w:rsidR="000B5C96" w:rsidRPr="00220BE5" w:rsidRDefault="000B5C96" w:rsidP="003F606A">
            <w:pPr>
              <w:pStyle w:val="PullOutBoxBodyText"/>
            </w:pPr>
            <w:r>
              <w:t>Additional information requested:</w:t>
            </w:r>
          </w:p>
        </w:tc>
        <w:tc>
          <w:tcPr>
            <w:tcW w:w="5335" w:type="dxa"/>
          </w:tcPr>
          <w:p w:rsidR="000B5C96" w:rsidRPr="0075205B" w:rsidRDefault="000B5C96" w:rsidP="003F606A">
            <w:pPr>
              <w:pStyle w:val="PullOutBoxBodyText"/>
            </w:pPr>
            <w:r w:rsidRPr="0075205B">
              <w:t>On 1 July 2016 clarification was sought from the office of Senator Di Natale (the office) as to the start date for Component 1.</w:t>
            </w:r>
          </w:p>
        </w:tc>
      </w:tr>
      <w:tr w:rsidR="000B5C96" w:rsidTr="003F606A">
        <w:tc>
          <w:tcPr>
            <w:tcW w:w="3005" w:type="dxa"/>
          </w:tcPr>
          <w:p w:rsidR="000B5C96" w:rsidRPr="00220BE5" w:rsidRDefault="000B5C96" w:rsidP="003F606A">
            <w:pPr>
              <w:pStyle w:val="PullOutBoxBodyText"/>
            </w:pPr>
            <w:r>
              <w:t>Additional information received:</w:t>
            </w:r>
          </w:p>
        </w:tc>
        <w:tc>
          <w:tcPr>
            <w:tcW w:w="5335" w:type="dxa"/>
          </w:tcPr>
          <w:p w:rsidR="000B5C96" w:rsidRPr="0075205B" w:rsidRDefault="000B5C96" w:rsidP="003F606A">
            <w:pPr>
              <w:pStyle w:val="PullOutBoxBodyText"/>
            </w:pPr>
            <w:r w:rsidRPr="0075205B">
              <w:t>On 1 July 2016 the office advised that the start date for Component 1 is 1 July 2017.</w:t>
            </w:r>
          </w:p>
        </w:tc>
      </w:tr>
      <w:tr w:rsidR="000B5C96" w:rsidTr="003F606A">
        <w:tc>
          <w:tcPr>
            <w:tcW w:w="3005" w:type="dxa"/>
          </w:tcPr>
          <w:p w:rsidR="000B5C96" w:rsidRPr="00220BE5" w:rsidRDefault="000B5C96" w:rsidP="003F606A">
            <w:pPr>
              <w:pStyle w:val="PullOutBoxBodyText"/>
            </w:pPr>
            <w:r w:rsidRPr="00220BE5">
              <w:t>Expiry date for the costing:</w:t>
            </w:r>
          </w:p>
        </w:tc>
        <w:tc>
          <w:tcPr>
            <w:tcW w:w="5335" w:type="dxa"/>
          </w:tcPr>
          <w:p w:rsidR="000B5C96" w:rsidRPr="00220BE5" w:rsidRDefault="000B5C96" w:rsidP="003F606A">
            <w:pPr>
              <w:pStyle w:val="PullOutBoxBodyText"/>
            </w:pPr>
            <w:r w:rsidRPr="002434ED">
              <w:t>Release of the next economic and fiscal outlook report</w:t>
            </w:r>
          </w:p>
        </w:tc>
      </w:tr>
    </w:tbl>
    <w:p w:rsidR="000B5C96" w:rsidRPr="00C87CBB" w:rsidRDefault="000B5C96" w:rsidP="003F606A">
      <w:pPr>
        <w:pStyle w:val="CostingsH7"/>
      </w:pPr>
      <w:r w:rsidRPr="00C87CBB">
        <w:t>Costing overview</w:t>
      </w:r>
    </w:p>
    <w:p w:rsidR="000B5C96" w:rsidRPr="00C87CBB" w:rsidRDefault="000B5C96" w:rsidP="003F606A">
      <w:pPr>
        <w:pStyle w:val="BodyText"/>
      </w:pPr>
      <w:r w:rsidRPr="00C87CBB">
        <w:t>The proposal would be expected to decrease the fiscal and underlying cash balances by $792.8 million over the 2016-17 Budget forward estimates period.  This impact is entirely due to an increase in administered expenses.</w:t>
      </w:r>
    </w:p>
    <w:p w:rsidR="000B5C96" w:rsidRPr="00C87CBB" w:rsidRDefault="000B5C96" w:rsidP="003F606A">
      <w:pPr>
        <w:pStyle w:val="BodyText"/>
      </w:pPr>
      <w:r w:rsidRPr="00C87CBB">
        <w:t>Departmental expenses have not been included for the Department of Health or The Treasury as the proposed options are not expected to impact significantly on administrative activities currently undertaken by these agencies.</w:t>
      </w:r>
    </w:p>
    <w:p w:rsidR="000B5C96" w:rsidRPr="00C87CBB" w:rsidRDefault="000B5C96" w:rsidP="003F606A">
      <w:pPr>
        <w:pStyle w:val="BodyText"/>
      </w:pPr>
      <w:r w:rsidRPr="00C87CBB">
        <w:t xml:space="preserve">A breakdown of the financial impact by component over the 2016-17 Budget forward estimates period is provided at </w:t>
      </w:r>
      <w:r w:rsidRPr="00C87CBB">
        <w:rPr>
          <w:u w:val="single"/>
        </w:rPr>
        <w:t>Attachment A</w:t>
      </w:r>
      <w:r w:rsidRPr="00C87CBB">
        <w:t>.  The proposal would have an ongoing impact beyond the forward estimates period (relating to Component 1 only) growing to an annual impact of around $4 billion in 2026-27.</w:t>
      </w:r>
    </w:p>
    <w:p w:rsidR="000B5C96" w:rsidRPr="00C87CBB" w:rsidRDefault="000B5C96" w:rsidP="003F606A">
      <w:pPr>
        <w:pStyle w:val="BodyText"/>
      </w:pPr>
      <w:r w:rsidRPr="00C87CBB">
        <w:t xml:space="preserve">The financial implications provided are considered to be of low reliability as, while Components 2 and 3 are specified capped amounts, the estimates for Component 1 are highly sensitive to: </w:t>
      </w:r>
    </w:p>
    <w:p w:rsidR="000B5C96" w:rsidRPr="008E2B8B" w:rsidRDefault="000B5C96" w:rsidP="000B5C96">
      <w:pPr>
        <w:pStyle w:val="ListBullet"/>
        <w:numPr>
          <w:ilvl w:val="0"/>
          <w:numId w:val="123"/>
        </w:numPr>
        <w:ind w:left="454" w:hanging="454"/>
        <w:rPr>
          <w:lang w:eastAsia="en-AU"/>
        </w:rPr>
      </w:pPr>
      <w:r w:rsidRPr="008E2B8B">
        <w:rPr>
          <w:lang w:eastAsia="en-AU"/>
        </w:rPr>
        <w:t>the growth in the National Efficient Price (NEP) and volume (National Weighted Activity Units) which determine the level of activity based funding</w:t>
      </w:r>
    </w:p>
    <w:p w:rsidR="000B5C96" w:rsidRPr="008E2B8B" w:rsidRDefault="000B5C96" w:rsidP="000B5C96">
      <w:pPr>
        <w:pStyle w:val="ListBullet"/>
        <w:numPr>
          <w:ilvl w:val="0"/>
          <w:numId w:val="123"/>
        </w:numPr>
        <w:ind w:left="454" w:hanging="454"/>
        <w:rPr>
          <w:lang w:eastAsia="en-AU"/>
        </w:rPr>
      </w:pPr>
      <w:r w:rsidRPr="008E2B8B">
        <w:rPr>
          <w:lang w:eastAsia="en-AU"/>
        </w:rPr>
        <w:t>the National Efficient Cost which determines the level of hospital block funding.</w:t>
      </w:r>
    </w:p>
    <w:p w:rsidR="000B5C96" w:rsidRPr="00C87CBB" w:rsidRDefault="000B5C96" w:rsidP="003F606A">
      <w:pPr>
        <w:pStyle w:val="BodyText"/>
      </w:pPr>
      <w:r w:rsidRPr="00C87CBB">
        <w:t>Since the Commonwealth funding of public hospitals has been linked to the efficient growth in the cost of hospital services from 2014-15, there have been material revisions to these cost drivers.</w:t>
      </w:r>
    </w:p>
    <w:p w:rsidR="000B5C96" w:rsidRPr="00C87CBB" w:rsidRDefault="000B5C96" w:rsidP="003F606A">
      <w:pPr>
        <w:pStyle w:val="Caption"/>
      </w:pPr>
      <w:r w:rsidRPr="00C87CBB">
        <w:t>Table 1: Financial implications (outturn prices)</w:t>
      </w:r>
      <w:r w:rsidRPr="00C87CBB">
        <w:rPr>
          <w:vertAlign w:val="superscript"/>
        </w:rPr>
        <w:t>(a)</w:t>
      </w:r>
      <w:r>
        <w:rPr>
          <w:vertAlign w:val="superscript"/>
        </w:rPr>
        <w:t>(b)</w:t>
      </w:r>
    </w:p>
    <w:tbl>
      <w:tblPr>
        <w:tblStyle w:val="TableGrid74"/>
        <w:tblW w:w="4993" w:type="pct"/>
        <w:tblLook w:val="04A0" w:firstRow="1" w:lastRow="0" w:firstColumn="1" w:lastColumn="0" w:noHBand="0" w:noVBand="1"/>
      </w:tblPr>
      <w:tblGrid>
        <w:gridCol w:w="2645"/>
        <w:gridCol w:w="1134"/>
        <w:gridCol w:w="1133"/>
        <w:gridCol w:w="1133"/>
        <w:gridCol w:w="1133"/>
        <w:gridCol w:w="1132"/>
      </w:tblGrid>
      <w:tr w:rsidR="000B5C96" w:rsidRPr="00C87CBB"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C87CBB" w:rsidRDefault="000B5C96" w:rsidP="003F606A">
            <w:pPr>
              <w:keepNext/>
              <w:keepLines/>
              <w:spacing w:line="240" w:lineRule="auto"/>
              <w:ind w:left="57" w:right="57"/>
              <w:rPr>
                <w:szCs w:val="20"/>
              </w:rPr>
            </w:pPr>
            <w:r w:rsidRPr="00C87CBB">
              <w:rPr>
                <w:szCs w:val="20"/>
              </w:rPr>
              <w:t>Impact on ($m)</w:t>
            </w:r>
          </w:p>
        </w:tc>
        <w:tc>
          <w:tcPr>
            <w:tcW w:w="682" w:type="pct"/>
          </w:tcPr>
          <w:p w:rsidR="000B5C96" w:rsidRPr="00C87CB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87CBB">
              <w:rPr>
                <w:szCs w:val="20"/>
              </w:rPr>
              <w:t>2016–17</w:t>
            </w:r>
          </w:p>
        </w:tc>
        <w:tc>
          <w:tcPr>
            <w:tcW w:w="682" w:type="pct"/>
          </w:tcPr>
          <w:p w:rsidR="000B5C96" w:rsidRPr="00C87CB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87CBB">
              <w:rPr>
                <w:szCs w:val="20"/>
              </w:rPr>
              <w:t>2017–18</w:t>
            </w:r>
          </w:p>
        </w:tc>
        <w:tc>
          <w:tcPr>
            <w:tcW w:w="682" w:type="pct"/>
          </w:tcPr>
          <w:p w:rsidR="000B5C96" w:rsidRPr="00C87CB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C87CBB">
              <w:rPr>
                <w:szCs w:val="20"/>
              </w:rPr>
              <w:t>2018–19</w:t>
            </w:r>
          </w:p>
        </w:tc>
        <w:tc>
          <w:tcPr>
            <w:tcW w:w="682" w:type="pct"/>
          </w:tcPr>
          <w:p w:rsidR="000B5C96" w:rsidRPr="00C87CB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C87CBB">
              <w:rPr>
                <w:szCs w:val="20"/>
              </w:rPr>
              <w:t>2019–20</w:t>
            </w:r>
          </w:p>
        </w:tc>
        <w:tc>
          <w:tcPr>
            <w:tcW w:w="681" w:type="pct"/>
          </w:tcPr>
          <w:p w:rsidR="000B5C96" w:rsidRPr="00C87CB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C87CBB">
              <w:rPr>
                <w:b/>
                <w:szCs w:val="20"/>
              </w:rPr>
              <w:t>Total</w:t>
            </w:r>
          </w:p>
        </w:tc>
      </w:tr>
      <w:tr w:rsidR="000B5C96" w:rsidRPr="00C87CB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C87CBB" w:rsidRDefault="000B5C96" w:rsidP="003F606A">
            <w:pPr>
              <w:keepNext/>
              <w:keepLines/>
              <w:spacing w:line="240" w:lineRule="auto"/>
              <w:ind w:left="57" w:right="57"/>
              <w:rPr>
                <w:szCs w:val="20"/>
              </w:rPr>
            </w:pPr>
            <w:r w:rsidRPr="00C87CBB">
              <w:rPr>
                <w:szCs w:val="20"/>
              </w:rPr>
              <w:t>Fiscal balance</w:t>
            </w:r>
          </w:p>
        </w:tc>
        <w:tc>
          <w:tcPr>
            <w:tcW w:w="682" w:type="pct"/>
          </w:tcPr>
          <w:p w:rsidR="000B5C96" w:rsidRPr="00C87C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C87CBB">
              <w:rPr>
                <w:rFonts w:ascii="Calibri" w:hAnsi="Calibri"/>
              </w:rPr>
              <w:t>-108.8</w:t>
            </w:r>
          </w:p>
        </w:tc>
        <w:tc>
          <w:tcPr>
            <w:tcW w:w="682" w:type="pct"/>
          </w:tcPr>
          <w:p w:rsidR="000B5C96" w:rsidRPr="00C87C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C87CBB">
              <w:rPr>
                <w:rFonts w:ascii="Calibri" w:hAnsi="Calibri"/>
              </w:rPr>
              <w:t>-110</w:t>
            </w:r>
          </w:p>
        </w:tc>
        <w:tc>
          <w:tcPr>
            <w:tcW w:w="682" w:type="pct"/>
          </w:tcPr>
          <w:p w:rsidR="000B5C96" w:rsidRPr="00C87C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C87CBB">
              <w:rPr>
                <w:rFonts w:ascii="Calibri" w:hAnsi="Calibri"/>
              </w:rPr>
              <w:t>-226</w:t>
            </w:r>
          </w:p>
        </w:tc>
        <w:tc>
          <w:tcPr>
            <w:tcW w:w="682" w:type="pct"/>
          </w:tcPr>
          <w:p w:rsidR="000B5C96" w:rsidRPr="00C87C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C87CBB">
              <w:rPr>
                <w:rFonts w:ascii="Calibri" w:hAnsi="Calibri"/>
              </w:rPr>
              <w:t>-348</w:t>
            </w:r>
          </w:p>
        </w:tc>
        <w:tc>
          <w:tcPr>
            <w:tcW w:w="681" w:type="pct"/>
          </w:tcPr>
          <w:p w:rsidR="000B5C96" w:rsidRPr="00C87CBB"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C87CBB">
              <w:rPr>
                <w:rFonts w:ascii="Calibri" w:hAnsi="Calibri"/>
                <w:b/>
              </w:rPr>
              <w:t>-792.8</w:t>
            </w:r>
          </w:p>
        </w:tc>
      </w:tr>
      <w:tr w:rsidR="000B5C96" w:rsidRPr="00C87CBB"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C87CBB" w:rsidRDefault="000B5C96" w:rsidP="003F606A">
            <w:pPr>
              <w:keepNext/>
              <w:keepLines/>
              <w:spacing w:line="240" w:lineRule="auto"/>
              <w:ind w:left="57" w:right="57"/>
              <w:rPr>
                <w:szCs w:val="20"/>
              </w:rPr>
            </w:pPr>
            <w:r w:rsidRPr="00C87CBB">
              <w:rPr>
                <w:szCs w:val="20"/>
              </w:rPr>
              <w:t>Underlying cash balance</w:t>
            </w:r>
          </w:p>
        </w:tc>
        <w:tc>
          <w:tcPr>
            <w:tcW w:w="682" w:type="pct"/>
          </w:tcPr>
          <w:p w:rsidR="000B5C96" w:rsidRPr="00C87CB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C87CBB">
              <w:rPr>
                <w:rFonts w:ascii="Calibri" w:hAnsi="Calibri"/>
              </w:rPr>
              <w:t>-108.8</w:t>
            </w:r>
          </w:p>
        </w:tc>
        <w:tc>
          <w:tcPr>
            <w:tcW w:w="682" w:type="pct"/>
          </w:tcPr>
          <w:p w:rsidR="000B5C96" w:rsidRPr="00C87CB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C87CBB">
              <w:rPr>
                <w:rFonts w:ascii="Calibri" w:hAnsi="Calibri"/>
              </w:rPr>
              <w:t>-110</w:t>
            </w:r>
          </w:p>
        </w:tc>
        <w:tc>
          <w:tcPr>
            <w:tcW w:w="682" w:type="pct"/>
          </w:tcPr>
          <w:p w:rsidR="000B5C96" w:rsidRPr="00C87CB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C87CBB">
              <w:rPr>
                <w:rFonts w:ascii="Calibri" w:hAnsi="Calibri"/>
              </w:rPr>
              <w:t>-226</w:t>
            </w:r>
          </w:p>
        </w:tc>
        <w:tc>
          <w:tcPr>
            <w:tcW w:w="682" w:type="pct"/>
          </w:tcPr>
          <w:p w:rsidR="000B5C96" w:rsidRPr="00C87CB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C87CBB">
              <w:rPr>
                <w:rFonts w:ascii="Calibri" w:hAnsi="Calibri"/>
              </w:rPr>
              <w:t>-348</w:t>
            </w:r>
          </w:p>
        </w:tc>
        <w:tc>
          <w:tcPr>
            <w:tcW w:w="681" w:type="pct"/>
          </w:tcPr>
          <w:p w:rsidR="000B5C96" w:rsidRPr="00C87CBB"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C87CBB">
              <w:rPr>
                <w:rFonts w:ascii="Calibri" w:hAnsi="Calibri"/>
                <w:b/>
              </w:rPr>
              <w:t>-792.8</w:t>
            </w:r>
          </w:p>
        </w:tc>
      </w:tr>
    </w:tbl>
    <w:p w:rsidR="000B5C96" w:rsidRPr="00BB7D0D" w:rsidRDefault="000B5C96" w:rsidP="00E54AEC">
      <w:pPr>
        <w:pStyle w:val="Footnotes"/>
        <w:numPr>
          <w:ilvl w:val="0"/>
          <w:numId w:val="316"/>
        </w:numPr>
        <w:ind w:left="284" w:hanging="284"/>
      </w:pPr>
      <w:r w:rsidRPr="00BB7D0D">
        <w:t>A positive number indicates an increase in the relevant budget balance, a negative number a decrease.</w:t>
      </w:r>
    </w:p>
    <w:p w:rsidR="000B5C96" w:rsidRPr="00C87CBB" w:rsidRDefault="000B5C96" w:rsidP="000B5C96">
      <w:pPr>
        <w:pStyle w:val="Footnotes"/>
        <w:numPr>
          <w:ilvl w:val="0"/>
          <w:numId w:val="7"/>
        </w:numPr>
        <w:ind w:left="284" w:hanging="284"/>
      </w:pPr>
      <w:r w:rsidRPr="00C87CBB">
        <w:t>Figures may not sum to totals due to rounding.</w:t>
      </w:r>
    </w:p>
    <w:p w:rsidR="000B5C96" w:rsidRPr="00C87CBB" w:rsidRDefault="000B5C96" w:rsidP="003F606A">
      <w:pPr>
        <w:pStyle w:val="CostingsH7"/>
      </w:pPr>
      <w:r w:rsidRPr="00C87CBB">
        <w:t>Key assumptions</w:t>
      </w:r>
    </w:p>
    <w:p w:rsidR="000B5C96" w:rsidRPr="00C87CBB" w:rsidRDefault="000B5C96" w:rsidP="003F606A">
      <w:pPr>
        <w:pStyle w:val="BodyText"/>
      </w:pPr>
      <w:r w:rsidRPr="00C87CBB">
        <w:t>For Component 1, it has been assumed that:</w:t>
      </w:r>
    </w:p>
    <w:p w:rsidR="000B5C96" w:rsidRPr="00C87CBB" w:rsidRDefault="000B5C96" w:rsidP="000B5C96">
      <w:pPr>
        <w:pStyle w:val="ListBullet"/>
        <w:numPr>
          <w:ilvl w:val="0"/>
          <w:numId w:val="123"/>
        </w:numPr>
        <w:ind w:left="454" w:hanging="454"/>
        <w:rPr>
          <w:lang w:eastAsia="en-AU"/>
        </w:rPr>
      </w:pPr>
      <w:r w:rsidRPr="00C87CBB">
        <w:rPr>
          <w:lang w:eastAsia="en-AU"/>
        </w:rPr>
        <w:t>the amount provided for public health activities under the National Health Reform Agreement 2011 (2011 NHRA) would continue from 2017-18</w:t>
      </w:r>
    </w:p>
    <w:p w:rsidR="000B5C96" w:rsidRPr="00C87CBB" w:rsidRDefault="000B5C96" w:rsidP="000B5C96">
      <w:pPr>
        <w:pStyle w:val="ListBullet"/>
        <w:numPr>
          <w:ilvl w:val="0"/>
          <w:numId w:val="123"/>
        </w:numPr>
        <w:ind w:left="454" w:hanging="454"/>
        <w:rPr>
          <w:lang w:eastAsia="en-AU"/>
        </w:rPr>
      </w:pPr>
      <w:r w:rsidRPr="00C87CBB">
        <w:rPr>
          <w:lang w:eastAsia="en-AU"/>
        </w:rPr>
        <w:t>for the base policy setting, beyond 2019-20 Commonwealth funding for public hospitals would be indexed by a combination of population growth and the consumer price index, and would not include amounts provided for public h</w:t>
      </w:r>
      <w:r>
        <w:rPr>
          <w:lang w:eastAsia="en-AU"/>
        </w:rPr>
        <w:t>ealth activities under the 2011 </w:t>
      </w:r>
      <w:r w:rsidRPr="00C87CBB">
        <w:rPr>
          <w:lang w:eastAsia="en-AU"/>
        </w:rPr>
        <w:t>NHRA.</w:t>
      </w:r>
    </w:p>
    <w:p w:rsidR="000B5C96" w:rsidRPr="00BB7D0D" w:rsidRDefault="000B5C96" w:rsidP="003F606A">
      <w:pPr>
        <w:pStyle w:val="CostingsH7"/>
      </w:pPr>
      <w:r w:rsidRPr="00BB7D0D">
        <w:t>Methodology</w:t>
      </w:r>
    </w:p>
    <w:p w:rsidR="000B5C96" w:rsidRPr="00BB7D0D" w:rsidRDefault="000B5C96" w:rsidP="003F606A">
      <w:pPr>
        <w:pStyle w:val="CostingsH8"/>
        <w:rPr>
          <w:rFonts w:eastAsia="Calibri"/>
        </w:rPr>
      </w:pPr>
      <w:r w:rsidRPr="00BB7D0D">
        <w:rPr>
          <w:rFonts w:eastAsia="Calibri"/>
        </w:rPr>
        <w:t>Component 1: Hospital funding</w:t>
      </w:r>
    </w:p>
    <w:p w:rsidR="000B5C96" w:rsidRPr="00DC789D" w:rsidRDefault="000B5C96" w:rsidP="003F606A">
      <w:pPr>
        <w:pStyle w:val="CostingsH9"/>
        <w:rPr>
          <w:i w:val="0"/>
          <w:color w:val="auto"/>
          <w:sz w:val="22"/>
          <w:u w:val="single"/>
        </w:rPr>
      </w:pPr>
      <w:r w:rsidRPr="00DC789D">
        <w:rPr>
          <w:i w:val="0"/>
          <w:color w:val="auto"/>
          <w:sz w:val="22"/>
          <w:u w:val="single"/>
        </w:rPr>
        <w:t>Base policy setting</w:t>
      </w:r>
    </w:p>
    <w:p w:rsidR="000B5C96" w:rsidRPr="00BB7D0D" w:rsidRDefault="000B5C96" w:rsidP="003F606A">
      <w:pPr>
        <w:pStyle w:val="BodyText"/>
      </w:pPr>
      <w:r w:rsidRPr="00BB7D0D">
        <w:t>Commonwealth public hospital funding estimates are drawn from the 2016-17 Budget.</w:t>
      </w:r>
    </w:p>
    <w:p w:rsidR="000B5C96" w:rsidRPr="00DC789D" w:rsidRDefault="000B5C96" w:rsidP="003F606A">
      <w:pPr>
        <w:pStyle w:val="CostingsH9"/>
        <w:rPr>
          <w:i w:val="0"/>
          <w:color w:val="auto"/>
          <w:sz w:val="22"/>
          <w:u w:val="single"/>
        </w:rPr>
      </w:pPr>
      <w:r w:rsidRPr="00DC789D">
        <w:rPr>
          <w:i w:val="0"/>
          <w:color w:val="auto"/>
          <w:sz w:val="22"/>
          <w:u w:val="single"/>
        </w:rPr>
        <w:t>Proposed policy settings: 50 per cent of the efficient growth in public hospital costs</w:t>
      </w:r>
    </w:p>
    <w:p w:rsidR="000B5C96" w:rsidRPr="00BB7D0D" w:rsidRDefault="000B5C96" w:rsidP="003F606A">
      <w:pPr>
        <w:pStyle w:val="BodyText"/>
      </w:pPr>
      <w:r w:rsidRPr="00BB7D0D">
        <w:t>From 1 July 2017 the estimates reflect the Commonwealth funding 50 per cent of the efficient growth in the cost of hospital services.  These estimates were derived from the Department of Health’s 2016</w:t>
      </w:r>
      <w:r w:rsidRPr="00BB7D0D">
        <w:noBreakHyphen/>
        <w:t>17 Budget hospital funding model (</w:t>
      </w:r>
      <w:r w:rsidRPr="00BB7D0D">
        <w:rPr>
          <w:i/>
        </w:rPr>
        <w:t>see Data sources</w:t>
      </w:r>
      <w:r w:rsidRPr="00BB7D0D">
        <w:t>).</w:t>
      </w:r>
    </w:p>
    <w:p w:rsidR="000B5C96" w:rsidRPr="00BB7D0D" w:rsidRDefault="000B5C96" w:rsidP="003F606A">
      <w:pPr>
        <w:pStyle w:val="BodyText"/>
      </w:pPr>
      <w:r w:rsidRPr="00BB7D0D">
        <w:t>The impact of this proposal is the difference between estimates under the base policy setting and those under the proposal.</w:t>
      </w:r>
    </w:p>
    <w:p w:rsidR="000B5C96" w:rsidRPr="00BB7D0D" w:rsidRDefault="000B5C96" w:rsidP="003F606A">
      <w:pPr>
        <w:pStyle w:val="BodyText"/>
      </w:pPr>
      <w:r w:rsidRPr="00BB7D0D">
        <w:t>Amounts have been rounded to the nearest $1 million.</w:t>
      </w:r>
    </w:p>
    <w:p w:rsidR="000B5C96" w:rsidRPr="00BB7D0D" w:rsidRDefault="000B5C96" w:rsidP="003F606A">
      <w:pPr>
        <w:pStyle w:val="CostingsH8"/>
        <w:rPr>
          <w:rFonts w:eastAsia="Calibri"/>
        </w:rPr>
      </w:pPr>
      <w:r w:rsidRPr="00BB7D0D">
        <w:rPr>
          <w:rFonts w:eastAsia="Calibri"/>
        </w:rPr>
        <w:t>Component 2: Darebin Community Health Centre NPP and Component 3: Tweed Hospital NPP</w:t>
      </w:r>
    </w:p>
    <w:p w:rsidR="000B5C96" w:rsidRPr="00BB7D0D" w:rsidRDefault="000B5C96" w:rsidP="003F606A">
      <w:pPr>
        <w:pStyle w:val="BodyText"/>
      </w:pPr>
      <w:r w:rsidRPr="00BB7D0D">
        <w:t>Administered expenditure estimates for both components are as specified in the request.</w:t>
      </w:r>
    </w:p>
    <w:p w:rsidR="000B5C96" w:rsidRPr="00BB7D0D" w:rsidRDefault="000B5C96" w:rsidP="003F606A">
      <w:pPr>
        <w:pStyle w:val="CostingsH7"/>
      </w:pPr>
      <w:r w:rsidRPr="00BB7D0D">
        <w:t>Data sources</w:t>
      </w:r>
    </w:p>
    <w:p w:rsidR="000B5C96" w:rsidRPr="00BB7D0D" w:rsidRDefault="000B5C96" w:rsidP="000B5C96">
      <w:pPr>
        <w:pStyle w:val="ListParagraph"/>
        <w:keepLines/>
        <w:numPr>
          <w:ilvl w:val="0"/>
          <w:numId w:val="119"/>
        </w:numPr>
        <w:tabs>
          <w:tab w:val="num" w:pos="454"/>
        </w:tabs>
        <w:spacing w:after="113"/>
        <w:ind w:left="357" w:hanging="357"/>
        <w:contextualSpacing w:val="0"/>
        <w:rPr>
          <w:rFonts w:ascii="Calibri" w:eastAsia="Times New Roman" w:hAnsi="Calibri" w:cs="Times New Roman"/>
          <w:spacing w:val="-1"/>
          <w:lang w:eastAsia="en-AU"/>
        </w:rPr>
      </w:pPr>
      <w:r w:rsidRPr="00BB7D0D">
        <w:rPr>
          <w:rFonts w:ascii="Calibri" w:eastAsia="Times New Roman" w:hAnsi="Calibri" w:cs="Times New Roman"/>
          <w:spacing w:val="-1"/>
          <w:lang w:eastAsia="en-AU"/>
        </w:rPr>
        <w:t>The Department of Health provided the 2016-17 Budget hospital funding model.</w:t>
      </w:r>
    </w:p>
    <w:p w:rsidR="000B5C96" w:rsidRPr="00BB7D0D" w:rsidRDefault="000B5C96" w:rsidP="000B5C96">
      <w:pPr>
        <w:pStyle w:val="ListParagraph"/>
        <w:keepLines/>
        <w:numPr>
          <w:ilvl w:val="0"/>
          <w:numId w:val="119"/>
        </w:numPr>
        <w:tabs>
          <w:tab w:val="num" w:pos="454"/>
        </w:tabs>
        <w:spacing w:after="113"/>
        <w:ind w:left="357" w:hanging="357"/>
        <w:contextualSpacing w:val="0"/>
        <w:rPr>
          <w:rFonts w:ascii="Calibri" w:eastAsia="Times New Roman" w:hAnsi="Calibri" w:cs="Times New Roman"/>
          <w:spacing w:val="-1"/>
          <w:lang w:eastAsia="en-AU"/>
        </w:rPr>
      </w:pPr>
      <w:r w:rsidRPr="00BB7D0D">
        <w:rPr>
          <w:rFonts w:ascii="Calibri" w:eastAsia="Times New Roman" w:hAnsi="Calibri" w:cs="Times New Roman"/>
          <w:spacing w:val="-1"/>
          <w:lang w:eastAsia="en-AU"/>
        </w:rPr>
        <w:t>2016-17 Budget - Payments to support state health services.</w:t>
      </w:r>
    </w:p>
    <w:p w:rsidR="000B5C96" w:rsidRPr="00BB7D0D" w:rsidRDefault="000B5C96" w:rsidP="000B5C96">
      <w:pPr>
        <w:pStyle w:val="ListParagraph"/>
        <w:keepLines/>
        <w:numPr>
          <w:ilvl w:val="0"/>
          <w:numId w:val="119"/>
        </w:numPr>
        <w:tabs>
          <w:tab w:val="num" w:pos="454"/>
        </w:tabs>
        <w:spacing w:after="113"/>
        <w:ind w:left="357" w:hanging="357"/>
        <w:contextualSpacing w:val="0"/>
        <w:rPr>
          <w:rFonts w:ascii="Calibri" w:eastAsia="Times New Roman" w:hAnsi="Calibri" w:cs="Times New Roman"/>
          <w:spacing w:val="-1"/>
          <w:lang w:eastAsia="en-AU"/>
        </w:rPr>
      </w:pPr>
      <w:r w:rsidRPr="00BB7D0D">
        <w:rPr>
          <w:rFonts w:ascii="Calibri" w:eastAsia="Times New Roman" w:hAnsi="Calibri" w:cs="Times New Roman"/>
          <w:spacing w:val="-1"/>
          <w:lang w:eastAsia="en-AU"/>
        </w:rPr>
        <w:t xml:space="preserve">Administrator of the National Health Funding Pool: Total hospital funding </w:t>
      </w:r>
      <w:hyperlink r:id="rId588" w:history="1">
        <w:r w:rsidRPr="00BB7D0D">
          <w:rPr>
            <w:rFonts w:ascii="Calibri" w:eastAsia="Times New Roman" w:hAnsi="Calibri" w:cs="Times New Roman"/>
            <w:color w:val="0000FF"/>
            <w:spacing w:val="-1"/>
            <w:u w:val="single"/>
            <w:lang w:eastAsia="en-AU"/>
          </w:rPr>
          <w:t>http://www.publichospitalfunding.gov.au/reports/national</w:t>
        </w:r>
      </w:hyperlink>
    </w:p>
    <w:p w:rsidR="000B5C96" w:rsidRPr="00BB7D0D" w:rsidRDefault="000B5C96" w:rsidP="000B5C96">
      <w:pPr>
        <w:pStyle w:val="ListParagraph"/>
        <w:keepLines/>
        <w:numPr>
          <w:ilvl w:val="0"/>
          <w:numId w:val="119"/>
        </w:numPr>
        <w:tabs>
          <w:tab w:val="num" w:pos="907"/>
        </w:tabs>
        <w:spacing w:after="113"/>
        <w:ind w:left="357" w:hanging="357"/>
        <w:contextualSpacing w:val="0"/>
        <w:rPr>
          <w:rFonts w:ascii="Calibri" w:eastAsia="Times New Roman" w:hAnsi="Calibri" w:cs="Times New Roman"/>
          <w:spacing w:val="-1"/>
          <w:lang w:eastAsia="en-AU"/>
        </w:rPr>
      </w:pPr>
      <w:r w:rsidRPr="00BB7D0D">
        <w:rPr>
          <w:rFonts w:ascii="Calibri" w:eastAsia="Times New Roman" w:hAnsi="Calibri" w:cs="Times New Roman"/>
          <w:spacing w:val="-1"/>
          <w:lang w:eastAsia="en-AU"/>
        </w:rPr>
        <w:t>National Health Reform funding by funding type.</w:t>
      </w:r>
    </w:p>
    <w:p w:rsidR="000B5C96" w:rsidRPr="00BB7D0D" w:rsidRDefault="000B5C96" w:rsidP="000B5C96">
      <w:pPr>
        <w:pStyle w:val="ListParagraph"/>
        <w:keepNext/>
        <w:keepLines/>
        <w:numPr>
          <w:ilvl w:val="0"/>
          <w:numId w:val="119"/>
        </w:numPr>
        <w:tabs>
          <w:tab w:val="num" w:pos="454"/>
        </w:tabs>
        <w:spacing w:after="113"/>
        <w:ind w:left="357" w:hanging="357"/>
        <w:contextualSpacing w:val="0"/>
        <w:rPr>
          <w:rFonts w:ascii="Calibri" w:eastAsia="Times New Roman" w:hAnsi="Calibri" w:cs="Times New Roman"/>
          <w:spacing w:val="-1"/>
          <w:lang w:eastAsia="en-AU"/>
        </w:rPr>
      </w:pPr>
      <w:r w:rsidRPr="00BB7D0D">
        <w:rPr>
          <w:rFonts w:ascii="Calibri" w:eastAsia="Times New Roman" w:hAnsi="Calibri" w:cs="Times New Roman"/>
          <w:spacing w:val="-1"/>
          <w:lang w:eastAsia="en-AU"/>
        </w:rPr>
        <w:t>Independent Hospital Pricing Authority, National Efficient Price Determination 2016</w:t>
      </w:r>
      <w:r w:rsidRPr="00BB7D0D">
        <w:rPr>
          <w:rFonts w:ascii="Calibri" w:eastAsia="Times New Roman" w:hAnsi="Calibri" w:cs="Times New Roman"/>
          <w:spacing w:val="-1"/>
          <w:lang w:eastAsia="en-AU"/>
        </w:rPr>
        <w:noBreakHyphen/>
        <w:t xml:space="preserve">17 </w:t>
      </w:r>
      <w:hyperlink r:id="rId589" w:history="1">
        <w:r w:rsidRPr="00BB7D0D">
          <w:rPr>
            <w:rFonts w:ascii="Calibri" w:eastAsia="Times New Roman" w:hAnsi="Calibri" w:cs="Times New Roman"/>
            <w:color w:val="0000FF"/>
            <w:spacing w:val="-1"/>
            <w:u w:val="single"/>
            <w:lang w:eastAsia="en-AU"/>
          </w:rPr>
          <w:t>https://www.ihpa.gov.au/publications/national-efficient-price-determination-2016-17</w:t>
        </w:r>
      </w:hyperlink>
    </w:p>
    <w:p w:rsidR="000B5C96" w:rsidRPr="00BB7D0D" w:rsidRDefault="000B5C96" w:rsidP="000B5C96">
      <w:pPr>
        <w:pStyle w:val="ListParagraph"/>
        <w:keepLines/>
        <w:numPr>
          <w:ilvl w:val="0"/>
          <w:numId w:val="119"/>
        </w:numPr>
        <w:tabs>
          <w:tab w:val="num" w:pos="907"/>
        </w:tabs>
        <w:spacing w:after="113"/>
        <w:ind w:left="357" w:hanging="357"/>
        <w:contextualSpacing w:val="0"/>
        <w:rPr>
          <w:rFonts w:ascii="Calibri" w:eastAsia="Times New Roman" w:hAnsi="Calibri" w:cs="Times New Roman"/>
          <w:spacing w:val="-1"/>
          <w:lang w:eastAsia="en-AU"/>
        </w:rPr>
      </w:pPr>
      <w:r w:rsidRPr="00BB7D0D">
        <w:rPr>
          <w:rFonts w:ascii="Calibri" w:eastAsia="Times New Roman" w:hAnsi="Calibri" w:cs="Times New Roman"/>
          <w:spacing w:val="-1"/>
          <w:lang w:eastAsia="en-AU"/>
        </w:rPr>
        <w:t>NEP and growth in NEP.</w:t>
      </w:r>
    </w:p>
    <w:p w:rsidR="000B5C96" w:rsidRPr="00BB7D0D" w:rsidRDefault="000B5C96" w:rsidP="000B5C96">
      <w:pPr>
        <w:keepNext/>
        <w:keepLines/>
        <w:numPr>
          <w:ilvl w:val="0"/>
          <w:numId w:val="12"/>
        </w:numPr>
        <w:tabs>
          <w:tab w:val="right" w:pos="1418"/>
          <w:tab w:val="right" w:pos="1701"/>
          <w:tab w:val="right" w:pos="1985"/>
        </w:tabs>
        <w:spacing w:before="480" w:after="340" w:line="240" w:lineRule="auto"/>
        <w:outlineLvl w:val="0"/>
        <w:rPr>
          <w:rFonts w:ascii="Georgia" w:eastAsia="Calibri" w:hAnsi="Georgia" w:cs="Times New Roman"/>
          <w:bCs/>
          <w:color w:val="2B3B5F"/>
          <w:spacing w:val="-6"/>
          <w:kern w:val="32"/>
          <w:sz w:val="32"/>
          <w:szCs w:val="32"/>
        </w:rPr>
        <w:sectPr w:rsidR="000B5C96" w:rsidRPr="00BB7D0D" w:rsidSect="003F606A">
          <w:headerReference w:type="even" r:id="rId590"/>
          <w:headerReference w:type="default" r:id="rId591"/>
          <w:footerReference w:type="even" r:id="rId592"/>
          <w:footerReference w:type="default" r:id="rId593"/>
          <w:headerReference w:type="first" r:id="rId594"/>
          <w:footerReference w:type="first" r:id="rId595"/>
          <w:pgSz w:w="11906" w:h="16838"/>
          <w:pgMar w:top="1361" w:right="1797" w:bottom="1474" w:left="1797" w:header="283" w:footer="454" w:gutter="0"/>
          <w:cols w:space="708"/>
          <w:docGrid w:linePitch="360"/>
        </w:sectPr>
      </w:pPr>
    </w:p>
    <w:p w:rsidR="000B5C96" w:rsidRDefault="000B5C96" w:rsidP="003F606A">
      <w:pPr>
        <w:pStyle w:val="BodyText"/>
      </w:pPr>
    </w:p>
    <w:p w:rsidR="000B5C96" w:rsidRPr="00BB7D0D" w:rsidRDefault="000B5C96" w:rsidP="000B5C96">
      <w:pPr>
        <w:pStyle w:val="Heading6"/>
        <w:numPr>
          <w:ilvl w:val="0"/>
          <w:numId w:val="5"/>
        </w:numPr>
        <w:tabs>
          <w:tab w:val="right" w:pos="1418"/>
          <w:tab w:val="right" w:pos="1701"/>
          <w:tab w:val="right" w:pos="1985"/>
        </w:tabs>
      </w:pPr>
      <w:r w:rsidRPr="00BB7D0D">
        <w:t>Attachment A: Hospital Funding We Deserve—financial implications</w:t>
      </w:r>
    </w:p>
    <w:p w:rsidR="000B5C96" w:rsidRPr="00BB7D0D" w:rsidRDefault="000B5C96" w:rsidP="003F606A">
      <w:pPr>
        <w:pStyle w:val="Caption"/>
        <w:rPr>
          <w:vertAlign w:val="superscript"/>
        </w:rPr>
      </w:pPr>
      <w:r w:rsidRPr="00BB7D0D">
        <w:t>Table A1: Hospital Funding We Deserve—Financial implications (outturn prices)</w:t>
      </w:r>
      <w:r w:rsidRPr="00BB7D0D">
        <w:rPr>
          <w:vertAlign w:val="superscript"/>
        </w:rPr>
        <w:t>(a)(b)</w:t>
      </w:r>
    </w:p>
    <w:tbl>
      <w:tblPr>
        <w:tblStyle w:val="TableGrid75"/>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BB7D0D"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BB7D0D" w:rsidRDefault="000B5C96" w:rsidP="003F606A">
            <w:pPr>
              <w:keepNext/>
              <w:keepLines/>
              <w:rPr>
                <w:b/>
                <w:szCs w:val="20"/>
              </w:rPr>
            </w:pPr>
            <w:r w:rsidRPr="00BB7D0D">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BB7D0D" w:rsidRDefault="000B5C96" w:rsidP="003F606A">
            <w:pPr>
              <w:keepNext/>
              <w:keepLines/>
              <w:ind w:left="57" w:right="85"/>
              <w:cnfStyle w:val="100000000000" w:firstRow="1" w:lastRow="0" w:firstColumn="0" w:lastColumn="0" w:oddVBand="0" w:evenVBand="0" w:oddHBand="0" w:evenHBand="0" w:firstRowFirstColumn="0" w:firstRowLastColumn="0" w:lastRowFirstColumn="0" w:lastRowLastColumn="0"/>
              <w:rPr>
                <w:b/>
                <w:szCs w:val="20"/>
              </w:rPr>
            </w:pPr>
            <w:r w:rsidRPr="00BB7D0D">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BB7D0D" w:rsidRDefault="000B5C96" w:rsidP="003F606A">
            <w:pPr>
              <w:keepNext/>
              <w:keepLines/>
              <w:ind w:left="57" w:right="85"/>
              <w:cnfStyle w:val="100000000000" w:firstRow="1" w:lastRow="0" w:firstColumn="0" w:lastColumn="0" w:oddVBand="0" w:evenVBand="0" w:oddHBand="0" w:evenHBand="0" w:firstRowFirstColumn="0" w:firstRowLastColumn="0" w:lastRowFirstColumn="0" w:lastRowLastColumn="0"/>
              <w:rPr>
                <w:b/>
                <w:szCs w:val="20"/>
              </w:rPr>
            </w:pPr>
            <w:r w:rsidRPr="00BB7D0D">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BB7D0D" w:rsidRDefault="000B5C96" w:rsidP="003F606A">
            <w:pPr>
              <w:keepNext/>
              <w:keepLines/>
              <w:ind w:left="57" w:right="85"/>
              <w:cnfStyle w:val="100000000000" w:firstRow="1" w:lastRow="0" w:firstColumn="0" w:lastColumn="0" w:oddVBand="0" w:evenVBand="0" w:oddHBand="0" w:evenHBand="0" w:firstRowFirstColumn="0" w:firstRowLastColumn="0" w:lastRowFirstColumn="0" w:lastRowLastColumn="0"/>
              <w:rPr>
                <w:b/>
                <w:szCs w:val="20"/>
              </w:rPr>
            </w:pPr>
            <w:r w:rsidRPr="00BB7D0D">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BB7D0D" w:rsidRDefault="000B5C96" w:rsidP="003F606A">
            <w:pPr>
              <w:keepNext/>
              <w:keepLines/>
              <w:ind w:left="57" w:right="85"/>
              <w:cnfStyle w:val="100000000000" w:firstRow="1" w:lastRow="0" w:firstColumn="0" w:lastColumn="0" w:oddVBand="0" w:evenVBand="0" w:oddHBand="0" w:evenHBand="0" w:firstRowFirstColumn="0" w:firstRowLastColumn="0" w:lastRowFirstColumn="0" w:lastRowLastColumn="0"/>
              <w:rPr>
                <w:b/>
                <w:szCs w:val="20"/>
              </w:rPr>
            </w:pPr>
            <w:r w:rsidRPr="00BB7D0D">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BB7D0D" w:rsidRDefault="000B5C96" w:rsidP="003F606A">
            <w:pPr>
              <w:keepNext/>
              <w:keepLines/>
              <w:ind w:left="57" w:right="85"/>
              <w:cnfStyle w:val="100000000000" w:firstRow="1" w:lastRow="0" w:firstColumn="0" w:lastColumn="0" w:oddVBand="0" w:evenVBand="0" w:oddHBand="0" w:evenHBand="0" w:firstRowFirstColumn="0" w:firstRowLastColumn="0" w:lastRowFirstColumn="0" w:lastRowLastColumn="0"/>
              <w:rPr>
                <w:b/>
                <w:szCs w:val="20"/>
                <w:vertAlign w:val="superscript"/>
              </w:rPr>
            </w:pPr>
            <w:r w:rsidRPr="00BB7D0D">
              <w:rPr>
                <w:b/>
              </w:rPr>
              <w:t>Total</w:t>
            </w:r>
            <w:r w:rsidRPr="00BB7D0D">
              <w:rPr>
                <w:b/>
                <w:szCs w:val="20"/>
              </w:rPr>
              <w:t xml:space="preserve"> to 2019–20</w:t>
            </w:r>
          </w:p>
        </w:tc>
      </w:tr>
      <w:tr w:rsidR="000B5C96" w:rsidRPr="00BB7D0D"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BB7D0D" w:rsidRDefault="000B5C96" w:rsidP="003F606A">
            <w:pPr>
              <w:keepNext/>
              <w:keepLines/>
              <w:ind w:left="57" w:right="85"/>
              <w:rPr>
                <w:b/>
              </w:rPr>
            </w:pPr>
            <w:r w:rsidRPr="00BB7D0D">
              <w:rPr>
                <w:b/>
              </w:rPr>
              <w:t>Fiscal and underlying cash balances – expenses/payments</w:t>
            </w:r>
          </w:p>
        </w:tc>
      </w:tr>
      <w:tr w:rsidR="000B5C96" w:rsidRPr="00BB7D0D"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keepNext/>
              <w:keepLines/>
            </w:pPr>
            <w:r w:rsidRPr="00BB7D0D">
              <w:t>Component 1 - Hospital funding</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B7D0D">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B7D0D">
              <w:rPr>
                <w:rFonts w:ascii="Calibri" w:hAnsi="Calibri"/>
                <w:szCs w:val="20"/>
              </w:rPr>
              <w:t>-110</w:t>
            </w:r>
            <w:r>
              <w:rPr>
                <w:rFonts w:ascii="Calibri" w:hAnsi="Calibri"/>
                <w:szCs w:val="20"/>
              </w:rPr>
              <w:t>.0</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B7D0D">
              <w:rPr>
                <w:rFonts w:ascii="Calibri" w:hAnsi="Calibri"/>
                <w:szCs w:val="20"/>
              </w:rPr>
              <w:t>-226</w:t>
            </w:r>
            <w:r>
              <w:rPr>
                <w:rFonts w:ascii="Calibri" w:hAnsi="Calibri"/>
                <w:szCs w:val="20"/>
              </w:rPr>
              <w:t>.0</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B7D0D">
              <w:rPr>
                <w:rFonts w:ascii="Calibri" w:hAnsi="Calibri"/>
                <w:szCs w:val="20"/>
              </w:rPr>
              <w:t>-348</w:t>
            </w:r>
            <w:r>
              <w:rPr>
                <w:rFonts w:ascii="Calibri" w:hAnsi="Calibri"/>
                <w:szCs w:val="20"/>
              </w:rPr>
              <w:t>.0</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B7D0D">
              <w:rPr>
                <w:rFonts w:ascii="Calibri" w:hAnsi="Calibri"/>
                <w:b/>
                <w:szCs w:val="20"/>
              </w:rPr>
              <w:t>-684</w:t>
            </w:r>
            <w:r>
              <w:rPr>
                <w:rFonts w:ascii="Calibri" w:hAnsi="Calibri"/>
                <w:b/>
                <w:szCs w:val="20"/>
              </w:rPr>
              <w:t>.0</w:t>
            </w:r>
          </w:p>
        </w:tc>
      </w:tr>
      <w:tr w:rsidR="000B5C96" w:rsidRPr="00BB7D0D"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keepNext/>
              <w:keepLines/>
            </w:pPr>
            <w:r w:rsidRPr="00BB7D0D">
              <w:t>Component 2 – Darebin Community Health Centre NPP</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B7D0D">
              <w:rPr>
                <w:rFonts w:ascii="Calibri" w:hAnsi="Calibri"/>
                <w:szCs w:val="20"/>
              </w:rPr>
              <w:t>-8.8</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B7D0D">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B7D0D">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B7D0D">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BB7D0D">
              <w:rPr>
                <w:rFonts w:ascii="Calibri" w:hAnsi="Calibri"/>
                <w:b/>
                <w:szCs w:val="20"/>
              </w:rPr>
              <w:t>-8.8</w:t>
            </w:r>
          </w:p>
        </w:tc>
      </w:tr>
      <w:tr w:rsidR="000B5C96" w:rsidRPr="00BB7D0D"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keepNext/>
              <w:keepLines/>
            </w:pPr>
            <w:r w:rsidRPr="00BB7D0D">
              <w:t>Component 3 – Tweed Hospital NPP</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B7D0D">
              <w:rPr>
                <w:rFonts w:ascii="Calibri" w:hAnsi="Calibri"/>
                <w:szCs w:val="20"/>
              </w:rPr>
              <w:t>-100</w:t>
            </w:r>
            <w:r>
              <w:rPr>
                <w:rFonts w:ascii="Calibri" w:hAnsi="Calibri"/>
                <w:szCs w:val="20"/>
              </w:rPr>
              <w:t>.0</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B7D0D">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B7D0D">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BB7D0D">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tcPr>
          <w:p w:rsidR="000B5C96" w:rsidRPr="00BB7D0D" w:rsidRDefault="000B5C96" w:rsidP="003F606A">
            <w:pPr>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BB7D0D">
              <w:rPr>
                <w:rFonts w:ascii="Calibri" w:hAnsi="Calibri"/>
                <w:b/>
                <w:szCs w:val="20"/>
              </w:rPr>
              <w:t>-100</w:t>
            </w:r>
            <w:r>
              <w:rPr>
                <w:rFonts w:ascii="Calibri" w:hAnsi="Calibri"/>
                <w:b/>
                <w:szCs w:val="20"/>
              </w:rPr>
              <w:t>.0</w:t>
            </w:r>
          </w:p>
        </w:tc>
      </w:tr>
      <w:tr w:rsidR="000B5C96" w:rsidRPr="00BB7D0D"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BB7D0D" w:rsidRDefault="000B5C96" w:rsidP="003F606A">
            <w:pPr>
              <w:keepNext/>
              <w:keepLines/>
              <w:rPr>
                <w:b/>
              </w:rPr>
            </w:pPr>
            <w:r w:rsidRPr="00BB7D0D">
              <w:rPr>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B7D0D" w:rsidRDefault="000B5C96" w:rsidP="003F606A">
            <w:pPr>
              <w:ind w:lef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BB7D0D">
              <w:rPr>
                <w:rFonts w:ascii="Calibri" w:hAnsi="Calibri"/>
                <w:b/>
                <w:szCs w:val="20"/>
              </w:rPr>
              <w:t xml:space="preserve">-108.8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B7D0D" w:rsidRDefault="000B5C96" w:rsidP="003F606A">
            <w:pPr>
              <w:ind w:lef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BB7D0D">
              <w:rPr>
                <w:rFonts w:ascii="Calibri" w:hAnsi="Calibri"/>
                <w:b/>
                <w:szCs w:val="20"/>
              </w:rPr>
              <w:t>-110</w:t>
            </w:r>
            <w:r>
              <w:rPr>
                <w:rFonts w:ascii="Calibri" w:hAnsi="Calibri"/>
                <w:b/>
                <w:szCs w:val="20"/>
              </w:rPr>
              <w:t>.0</w:t>
            </w:r>
            <w:r w:rsidRPr="00BB7D0D">
              <w:rPr>
                <w:rFonts w:ascii="Calibri" w:hAnsi="Calibri"/>
                <w:b/>
                <w:szCs w:val="20"/>
              </w:rPr>
              <w:t xml:space="preserve">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B7D0D" w:rsidRDefault="000B5C96" w:rsidP="003F606A">
            <w:pPr>
              <w:ind w:lef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BB7D0D">
              <w:rPr>
                <w:rFonts w:ascii="Calibri" w:hAnsi="Calibri"/>
                <w:b/>
                <w:szCs w:val="20"/>
              </w:rPr>
              <w:t>-226</w:t>
            </w:r>
            <w:r>
              <w:rPr>
                <w:rFonts w:ascii="Calibri" w:hAnsi="Calibri"/>
                <w:b/>
                <w:szCs w:val="20"/>
              </w:rPr>
              <w:t>.0</w:t>
            </w:r>
            <w:r w:rsidRPr="00BB7D0D">
              <w:rPr>
                <w:rFonts w:ascii="Calibri" w:hAnsi="Calibri"/>
                <w:b/>
                <w:szCs w:val="20"/>
              </w:rPr>
              <w:t xml:space="preserve">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B7D0D" w:rsidRDefault="000B5C96" w:rsidP="003F606A">
            <w:pPr>
              <w:ind w:lef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BB7D0D">
              <w:rPr>
                <w:rFonts w:ascii="Calibri" w:hAnsi="Calibri"/>
                <w:b/>
                <w:szCs w:val="20"/>
              </w:rPr>
              <w:t>-348</w:t>
            </w:r>
            <w:r>
              <w:rPr>
                <w:rFonts w:ascii="Calibri" w:hAnsi="Calibri"/>
                <w:b/>
                <w:szCs w:val="20"/>
              </w:rPr>
              <w:t>.0</w:t>
            </w:r>
            <w:r w:rsidRPr="00BB7D0D">
              <w:rPr>
                <w:rFonts w:ascii="Calibri" w:hAnsi="Calibri"/>
                <w:b/>
                <w:szCs w:val="20"/>
              </w:rPr>
              <w:t xml:space="preserve">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BB7D0D" w:rsidRDefault="000B5C96" w:rsidP="003F606A">
            <w:pPr>
              <w:ind w:lef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BB7D0D">
              <w:rPr>
                <w:rFonts w:ascii="Calibri" w:hAnsi="Calibri"/>
                <w:b/>
                <w:szCs w:val="20"/>
              </w:rPr>
              <w:t xml:space="preserve">-792.8 </w:t>
            </w:r>
          </w:p>
        </w:tc>
      </w:tr>
    </w:tbl>
    <w:p w:rsidR="000B5C96" w:rsidRPr="00BB7D0D" w:rsidRDefault="000B5C96" w:rsidP="00E54AEC">
      <w:pPr>
        <w:pStyle w:val="Footnotes"/>
        <w:numPr>
          <w:ilvl w:val="0"/>
          <w:numId w:val="317"/>
        </w:numPr>
        <w:ind w:left="284" w:hanging="284"/>
      </w:pPr>
      <w:r w:rsidRPr="00BB7D0D">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BB7D0D" w:rsidRDefault="000B5C96" w:rsidP="000B5C96">
      <w:pPr>
        <w:pStyle w:val="Footnotes"/>
        <w:numPr>
          <w:ilvl w:val="0"/>
          <w:numId w:val="7"/>
        </w:numPr>
        <w:ind w:left="284" w:hanging="284"/>
      </w:pPr>
      <w:r w:rsidRPr="00BB7D0D">
        <w:t>Figures may not sum to totals due to rounding.</w:t>
      </w:r>
    </w:p>
    <w:p w:rsidR="000B5C96" w:rsidRPr="00BB7D0D" w:rsidRDefault="000B5C96" w:rsidP="000B5C96">
      <w:pPr>
        <w:pStyle w:val="Footnotes"/>
        <w:numPr>
          <w:ilvl w:val="0"/>
          <w:numId w:val="121"/>
        </w:numPr>
        <w:ind w:left="284" w:hanging="284"/>
      </w:pPr>
      <w:r w:rsidRPr="00BB7D0D">
        <w:t>Indicates nil.</w:t>
      </w:r>
    </w:p>
    <w:p w:rsidR="000B5C96" w:rsidRPr="00C87CBB" w:rsidRDefault="000B5C96" w:rsidP="000B5C96">
      <w:pPr>
        <w:pStyle w:val="Footnotes"/>
        <w:numPr>
          <w:ilvl w:val="0"/>
          <w:numId w:val="7"/>
        </w:numPr>
        <w:sectPr w:rsidR="000B5C96" w:rsidRPr="00C87CBB"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19" w:name="_Toc458001989"/>
      <w:bookmarkStart w:id="220" w:name="_Toc458069474"/>
      <w:r>
        <w:t>GRN084: Tackling Obesity - Sugar Sweetened Beverages</w:t>
      </w:r>
      <w:bookmarkEnd w:id="219"/>
      <w:bookmarkEnd w:id="220"/>
    </w:p>
    <w:p w:rsidR="000B5C96" w:rsidRPr="008A0AE1" w:rsidRDefault="000B5C96" w:rsidP="003F606A">
      <w:pPr>
        <w:pStyle w:val="BodyText"/>
      </w:pPr>
      <w:r>
        <w:rPr>
          <w:noProof/>
          <w:lang w:eastAsia="en-AU"/>
        </w:rPr>
        <w:drawing>
          <wp:inline distT="0" distB="0" distL="0" distR="0" wp14:anchorId="219EAC04" wp14:editId="5F39CC86">
            <wp:extent cx="2696845" cy="572135"/>
            <wp:effectExtent l="0" t="0" r="8255" b="0"/>
            <wp:docPr id="41" name="Picture 4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Default="000B5C96" w:rsidP="000B5C96">
      <w:pPr>
        <w:pStyle w:val="Heading6"/>
        <w:numPr>
          <w:ilvl w:val="0"/>
          <w:numId w:val="5"/>
        </w:numPr>
        <w:tabs>
          <w:tab w:val="right" w:pos="1418"/>
          <w:tab w:val="right" w:pos="1701"/>
          <w:tab w:val="right" w:pos="1985"/>
        </w:tabs>
      </w:pPr>
      <w:r w:rsidRPr="00002D5D">
        <w:t>Policy costing—during the caretaker period for the 2016 general election</w:t>
      </w:r>
    </w:p>
    <w:tbl>
      <w:tblPr>
        <w:tblStyle w:val="Style1"/>
        <w:tblW w:w="8528" w:type="dxa"/>
        <w:tblLayout w:type="fixed"/>
        <w:tblLook w:val="04A0" w:firstRow="1" w:lastRow="0" w:firstColumn="1" w:lastColumn="0" w:noHBand="0" w:noVBand="1"/>
      </w:tblPr>
      <w:tblGrid>
        <w:gridCol w:w="2943"/>
        <w:gridCol w:w="558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2943" w:type="dxa"/>
          </w:tcPr>
          <w:p w:rsidR="000B5C96" w:rsidRPr="00EA7F7A" w:rsidRDefault="000B5C96" w:rsidP="003F606A">
            <w:pPr>
              <w:pStyle w:val="PullOutBoxHeading"/>
              <w:rPr>
                <w:b/>
                <w:sz w:val="22"/>
              </w:rPr>
            </w:pPr>
            <w:r w:rsidRPr="00EA7F7A">
              <w:rPr>
                <w:b/>
                <w:sz w:val="22"/>
              </w:rPr>
              <w:t>Name of proposal:</w:t>
            </w:r>
          </w:p>
        </w:tc>
        <w:tc>
          <w:tcPr>
            <w:tcW w:w="5585" w:type="dxa"/>
          </w:tcPr>
          <w:p w:rsidR="000B5C96" w:rsidRPr="00EA7F7A" w:rsidRDefault="000B5C96" w:rsidP="003F606A">
            <w:pPr>
              <w:pStyle w:val="PullOutBoxHeading"/>
              <w:rPr>
                <w:b/>
                <w:sz w:val="22"/>
              </w:rPr>
            </w:pPr>
            <w:r w:rsidRPr="00EA7F7A">
              <w:rPr>
                <w:b/>
                <w:sz w:val="22"/>
              </w:rPr>
              <w:t>Tackling Obesity: Sugar sweetened beverages</w:t>
            </w:r>
          </w:p>
        </w:tc>
      </w:tr>
      <w:tr w:rsidR="000B5C96" w:rsidTr="003F606A">
        <w:tc>
          <w:tcPr>
            <w:tcW w:w="2943" w:type="dxa"/>
          </w:tcPr>
          <w:p w:rsidR="000B5C96" w:rsidRDefault="000B5C96" w:rsidP="003F606A">
            <w:pPr>
              <w:pStyle w:val="PullOutBoxBodyText"/>
            </w:pPr>
            <w:r>
              <w:t>Summary of proposal:</w:t>
            </w:r>
          </w:p>
        </w:tc>
        <w:tc>
          <w:tcPr>
            <w:tcW w:w="5585" w:type="dxa"/>
          </w:tcPr>
          <w:p w:rsidR="000B5C96" w:rsidRDefault="000B5C96" w:rsidP="003F606A">
            <w:pPr>
              <w:pStyle w:val="PullOutBoxBodyText"/>
            </w:pPr>
            <w:r>
              <w:t>This proposal would apply an excise (‘sugar tax’) of 20 per cent of the retail value of sugar-sweetened beverages (SSBs) with greater than 5g of sugar per 100ml.</w:t>
            </w:r>
          </w:p>
          <w:p w:rsidR="000B5C96" w:rsidRDefault="000B5C96" w:rsidP="003F606A">
            <w:pPr>
              <w:pStyle w:val="PullOutBoxBodyText"/>
            </w:pPr>
            <w:r>
              <w:t>The sugar tax would be paid by manufacturers, producers and importers (with an excise-equivalent import duty).</w:t>
            </w:r>
          </w:p>
          <w:p w:rsidR="000B5C96" w:rsidRDefault="000B5C96" w:rsidP="003F606A">
            <w:pPr>
              <w:pStyle w:val="PullOutBoxBodyText"/>
            </w:pPr>
            <w:r>
              <w:t>The proposal would have effect from 1 September 2016.</w:t>
            </w:r>
          </w:p>
        </w:tc>
      </w:tr>
      <w:tr w:rsidR="000B5C96" w:rsidTr="003F606A">
        <w:tc>
          <w:tcPr>
            <w:tcW w:w="2943" w:type="dxa"/>
          </w:tcPr>
          <w:p w:rsidR="000B5C96" w:rsidRDefault="000B5C96" w:rsidP="003F606A">
            <w:pPr>
              <w:pStyle w:val="PullOutBoxBodyText"/>
            </w:pPr>
            <w:r>
              <w:t>Person/party requesting costing:</w:t>
            </w:r>
          </w:p>
        </w:tc>
        <w:tc>
          <w:tcPr>
            <w:tcW w:w="5585" w:type="dxa"/>
          </w:tcPr>
          <w:p w:rsidR="000B5C96" w:rsidRDefault="000B5C96" w:rsidP="003F606A">
            <w:pPr>
              <w:pStyle w:val="PullOutBoxBodyText"/>
            </w:pPr>
            <w:r>
              <w:t>Senator Richard Di Natale, Australian Greens</w:t>
            </w:r>
          </w:p>
        </w:tc>
      </w:tr>
      <w:tr w:rsidR="000B5C96" w:rsidTr="003F606A">
        <w:tc>
          <w:tcPr>
            <w:tcW w:w="2943" w:type="dxa"/>
          </w:tcPr>
          <w:p w:rsidR="000B5C96" w:rsidRDefault="000B5C96" w:rsidP="003F606A">
            <w:pPr>
              <w:pStyle w:val="PullOutBoxBodyText"/>
            </w:pPr>
            <w:r>
              <w:t>Date of public release of policy:</w:t>
            </w:r>
          </w:p>
        </w:tc>
        <w:tc>
          <w:tcPr>
            <w:tcW w:w="5585" w:type="dxa"/>
          </w:tcPr>
          <w:p w:rsidR="000B5C96" w:rsidRDefault="000B5C96" w:rsidP="003F606A">
            <w:pPr>
              <w:pStyle w:val="PullOutBoxBodyText"/>
            </w:pPr>
            <w:r>
              <w:t>22 June 2016</w:t>
            </w:r>
          </w:p>
          <w:p w:rsidR="000B5C96" w:rsidRPr="00C17112" w:rsidRDefault="00E46526" w:rsidP="003F606A">
            <w:pPr>
              <w:pStyle w:val="PullOutBoxBodyText"/>
            </w:pPr>
            <w:hyperlink r:id="rId596" w:history="1">
              <w:r w:rsidR="000B5C96" w:rsidRPr="00885283">
                <w:rPr>
                  <w:rStyle w:val="Hyperlink"/>
                </w:rPr>
                <w:t>http://greens.org.au/sugar-tax</w:t>
              </w:r>
            </w:hyperlink>
          </w:p>
        </w:tc>
      </w:tr>
      <w:tr w:rsidR="000B5C96" w:rsidTr="003F606A">
        <w:tc>
          <w:tcPr>
            <w:tcW w:w="2943" w:type="dxa"/>
          </w:tcPr>
          <w:p w:rsidR="000B5C96" w:rsidRDefault="000B5C96" w:rsidP="003F606A">
            <w:pPr>
              <w:pStyle w:val="PullOutBoxBodyText"/>
            </w:pPr>
            <w:r>
              <w:t>Date costing request received:</w:t>
            </w:r>
          </w:p>
        </w:tc>
        <w:tc>
          <w:tcPr>
            <w:tcW w:w="5585" w:type="dxa"/>
          </w:tcPr>
          <w:p w:rsidR="000B5C96" w:rsidRDefault="000B5C96" w:rsidP="003F606A">
            <w:pPr>
              <w:pStyle w:val="PullOutBoxBodyText"/>
            </w:pPr>
            <w:r>
              <w:t>1 July 2016</w:t>
            </w:r>
          </w:p>
        </w:tc>
      </w:tr>
      <w:tr w:rsidR="000B5C96" w:rsidTr="003F606A">
        <w:tc>
          <w:tcPr>
            <w:tcW w:w="2943" w:type="dxa"/>
          </w:tcPr>
          <w:p w:rsidR="000B5C96" w:rsidRDefault="000B5C96" w:rsidP="003F606A">
            <w:pPr>
              <w:pStyle w:val="PullOutBoxBodyText"/>
            </w:pPr>
            <w:r>
              <w:t>Date costing completed:</w:t>
            </w:r>
          </w:p>
        </w:tc>
        <w:tc>
          <w:tcPr>
            <w:tcW w:w="5585" w:type="dxa"/>
          </w:tcPr>
          <w:p w:rsidR="000B5C96" w:rsidRPr="00C17112" w:rsidRDefault="000B5C96" w:rsidP="003F606A">
            <w:pPr>
              <w:pStyle w:val="PullOutBoxBodyText"/>
            </w:pPr>
            <w:r>
              <w:t>1 July 2016</w:t>
            </w:r>
          </w:p>
        </w:tc>
      </w:tr>
      <w:tr w:rsidR="000B5C96" w:rsidTr="003F606A">
        <w:tc>
          <w:tcPr>
            <w:tcW w:w="2943" w:type="dxa"/>
          </w:tcPr>
          <w:p w:rsidR="000B5C96" w:rsidRDefault="000B5C96" w:rsidP="003F606A">
            <w:pPr>
              <w:pStyle w:val="PullOutBoxBodyText"/>
            </w:pPr>
            <w:r>
              <w:t>Additional information received (including date):</w:t>
            </w:r>
          </w:p>
        </w:tc>
        <w:tc>
          <w:tcPr>
            <w:tcW w:w="5585" w:type="dxa"/>
          </w:tcPr>
          <w:p w:rsidR="000B5C96" w:rsidRPr="0050658C" w:rsidRDefault="000B5C96" w:rsidP="003F606A">
            <w:pPr>
              <w:pStyle w:val="PullOutBoxBodyText"/>
            </w:pPr>
            <w:r w:rsidRPr="0050658C">
              <w:t xml:space="preserve">On 1 July 2016 the office of Senator Di Natale confirmed that: </w:t>
            </w:r>
          </w:p>
          <w:p w:rsidR="000B5C96" w:rsidRPr="0050658C" w:rsidRDefault="000B5C96" w:rsidP="003F606A">
            <w:pPr>
              <w:pStyle w:val="PullOutBoxBodyText"/>
            </w:pPr>
            <w:r w:rsidRPr="0050658C">
              <w:t>the proposal would start on 1 September 2016</w:t>
            </w:r>
          </w:p>
          <w:p w:rsidR="000B5C96" w:rsidRDefault="000B5C96" w:rsidP="003F606A">
            <w:pPr>
              <w:pStyle w:val="PullOutBoxBodyText"/>
            </w:pPr>
            <w:r>
              <w:t>the definition of SSB would include</w:t>
            </w:r>
            <w:r w:rsidRPr="0050658C">
              <w:t xml:space="preserve"> any water-based, ready-to-drink</w:t>
            </w:r>
            <w:r w:rsidRPr="00D041BC">
              <w:t>, and non-alcoholic beverage that contains naturally occurring sugars and/or added caloric sweeteners such as sucrose, corn syr</w:t>
            </w:r>
            <w:r>
              <w:t>up or fruit juice concentrates</w:t>
            </w:r>
          </w:p>
          <w:p w:rsidR="000B5C96" w:rsidRPr="00D041BC" w:rsidRDefault="000B5C96" w:rsidP="003F606A">
            <w:pPr>
              <w:pStyle w:val="PullOutBoxBodyText"/>
            </w:pPr>
            <w:r>
              <w:t>t</w:t>
            </w:r>
            <w:r w:rsidRPr="00D041BC">
              <w:t xml:space="preserve">his </w:t>
            </w:r>
            <w:r>
              <w:t>definition would include, but is not limited to,</w:t>
            </w:r>
            <w:r w:rsidRPr="00D041BC">
              <w:t xml:space="preserve"> soft drinks, mineral water, fruit drinks, sports drinks, energy and vitamin water drinks, sweetened iced tea, and lemonade.</w:t>
            </w:r>
          </w:p>
        </w:tc>
      </w:tr>
      <w:tr w:rsidR="000B5C96" w:rsidTr="003F606A">
        <w:tc>
          <w:tcPr>
            <w:tcW w:w="2943" w:type="dxa"/>
          </w:tcPr>
          <w:p w:rsidR="000B5C96" w:rsidRPr="00220BE5" w:rsidRDefault="000B5C96" w:rsidP="003F606A">
            <w:pPr>
              <w:pStyle w:val="PullOutBoxBodyText"/>
            </w:pPr>
            <w:r w:rsidRPr="00220BE5">
              <w:t>Expiry date for the costing:</w:t>
            </w:r>
          </w:p>
        </w:tc>
        <w:tc>
          <w:tcPr>
            <w:tcW w:w="5585" w:type="dxa"/>
          </w:tcPr>
          <w:p w:rsidR="000B5C96" w:rsidRPr="00220BE5" w:rsidRDefault="000B5C96" w:rsidP="003F606A">
            <w:pPr>
              <w:pStyle w:val="PullOutBoxBodyText"/>
            </w:pPr>
            <w:r>
              <w:t>Release of the next economic and fiscal outlook report</w:t>
            </w:r>
          </w:p>
        </w:tc>
      </w:tr>
    </w:tbl>
    <w:p w:rsidR="000B5C96" w:rsidRPr="00D5762F" w:rsidRDefault="000B5C96" w:rsidP="003F606A">
      <w:pPr>
        <w:pStyle w:val="CostingsH7"/>
      </w:pPr>
      <w:r w:rsidRPr="00D5762F">
        <w:t>Costing overview</w:t>
      </w:r>
    </w:p>
    <w:p w:rsidR="000B5C96" w:rsidRPr="00D5762F" w:rsidRDefault="000B5C96" w:rsidP="003F606A">
      <w:pPr>
        <w:pStyle w:val="BodyText"/>
        <w:keepNext/>
        <w:keepLines/>
      </w:pPr>
      <w:r w:rsidRPr="00D5762F">
        <w:t>This proposal would be expected to increase the fiscal balance by $2,085 million and increase the underlying cash balance by $2,075 million over the 2016-17 Budget forward estimates period.  On a fiscal balance basis, this impact reflects a net increase in revenue of $2,060 million and a net decrease in expenses of $25 million.</w:t>
      </w:r>
    </w:p>
    <w:p w:rsidR="000B5C96" w:rsidRPr="00D5762F" w:rsidRDefault="000B5C96" w:rsidP="003F606A">
      <w:pPr>
        <w:pStyle w:val="BodyText"/>
      </w:pPr>
      <w:r w:rsidRPr="00D5762F">
        <w:t>The fiscal balance impact differs from the underlying cash balance impact because of a lag in when sugar tax receipts would be received compared to the recognition of tax revenue.</w:t>
      </w:r>
    </w:p>
    <w:p w:rsidR="000B5C96" w:rsidRPr="00D5762F" w:rsidRDefault="000B5C96" w:rsidP="003F606A">
      <w:pPr>
        <w:pStyle w:val="BodyText"/>
      </w:pPr>
      <w:r w:rsidRPr="00D5762F">
        <w:t>This proposal would have an ongoing impact that extends beyond the 2016-17 Budget forward estimates period.</w:t>
      </w:r>
    </w:p>
    <w:p w:rsidR="000B5C96" w:rsidRPr="00D5762F" w:rsidRDefault="000B5C96" w:rsidP="003F606A">
      <w:pPr>
        <w:pStyle w:val="BodyText"/>
      </w:pPr>
      <w:r w:rsidRPr="00D5762F">
        <w:t>A detailed breakdown of the financial implications of this proposal over the 2016</w:t>
      </w:r>
      <w:r w:rsidRPr="00D5762F">
        <w:noBreakHyphen/>
        <w:t xml:space="preserve">17 Budget forward estimates period is presented at </w:t>
      </w:r>
      <w:r w:rsidRPr="00D5762F">
        <w:rPr>
          <w:u w:val="single"/>
        </w:rPr>
        <w:t>Attachment A</w:t>
      </w:r>
      <w:r w:rsidRPr="00D5762F">
        <w:t>.</w:t>
      </w:r>
    </w:p>
    <w:p w:rsidR="000B5C96" w:rsidRPr="00D5762F" w:rsidRDefault="000B5C96" w:rsidP="003F606A">
      <w:pPr>
        <w:pStyle w:val="BodyText"/>
      </w:pPr>
      <w:r w:rsidRPr="00D5762F">
        <w:t>Based on an assessment of proposals with a similar degree of administrative complexity, additional departmental expenses have been estimated at $7 million in each year the sugar tax is in operation, with $7 million in additional set up expenses in the year of implementation.</w:t>
      </w:r>
    </w:p>
    <w:p w:rsidR="000B5C96" w:rsidRPr="00D5762F" w:rsidRDefault="000B5C96" w:rsidP="003F606A">
      <w:pPr>
        <w:pStyle w:val="BodyText"/>
      </w:pPr>
      <w:r w:rsidRPr="00D5762F">
        <w:t>This costing is considered to be of low to medium reliability.  The estimates are based on Australian Bureau of Statistics (ABS) data, manufacturer and retailer survey data and several assumptions.  While the assumed behavioural response is based on academic research, it is uncertain whether this would be representative of the response to a sugar tax of the magnitude proposed.</w:t>
      </w:r>
    </w:p>
    <w:p w:rsidR="000B5C96" w:rsidRPr="00D5762F" w:rsidRDefault="000B5C96" w:rsidP="003F606A">
      <w:pPr>
        <w:pStyle w:val="Caption"/>
      </w:pPr>
      <w:r w:rsidRPr="00D5762F">
        <w:t>Table 1: Financial implications (outturn prices)</w:t>
      </w:r>
      <w:r w:rsidRPr="00D5762F">
        <w:rPr>
          <w:vertAlign w:val="superscript"/>
        </w:rPr>
        <w:t>(a)(b)</w:t>
      </w:r>
    </w:p>
    <w:tbl>
      <w:tblPr>
        <w:tblStyle w:val="TableGrid76"/>
        <w:tblW w:w="4993" w:type="pct"/>
        <w:tblLook w:val="04A0" w:firstRow="1" w:lastRow="0" w:firstColumn="1" w:lastColumn="0" w:noHBand="0" w:noVBand="1"/>
      </w:tblPr>
      <w:tblGrid>
        <w:gridCol w:w="2644"/>
        <w:gridCol w:w="1133"/>
        <w:gridCol w:w="1134"/>
        <w:gridCol w:w="1134"/>
        <w:gridCol w:w="1134"/>
        <w:gridCol w:w="1132"/>
      </w:tblGrid>
      <w:tr w:rsidR="000B5C96" w:rsidRPr="00D5762F"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D5762F" w:rsidRDefault="000B5C96" w:rsidP="003F606A">
            <w:pPr>
              <w:keepLines/>
              <w:spacing w:line="240" w:lineRule="auto"/>
              <w:ind w:left="57" w:right="57"/>
              <w:rPr>
                <w:szCs w:val="20"/>
              </w:rPr>
            </w:pPr>
            <w:r w:rsidRPr="00D5762F">
              <w:rPr>
                <w:szCs w:val="20"/>
              </w:rPr>
              <w:t>Impact on ($m)</w:t>
            </w:r>
          </w:p>
        </w:tc>
        <w:tc>
          <w:tcPr>
            <w:tcW w:w="682" w:type="pct"/>
          </w:tcPr>
          <w:p w:rsidR="000B5C96" w:rsidRPr="00D5762F" w:rsidRDefault="000B5C96" w:rsidP="003F606A">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5762F">
              <w:rPr>
                <w:szCs w:val="20"/>
              </w:rPr>
              <w:t>2016–17</w:t>
            </w:r>
          </w:p>
        </w:tc>
        <w:tc>
          <w:tcPr>
            <w:tcW w:w="682" w:type="pct"/>
          </w:tcPr>
          <w:p w:rsidR="000B5C96" w:rsidRPr="00D5762F" w:rsidRDefault="000B5C96" w:rsidP="003F606A">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5762F">
              <w:rPr>
                <w:szCs w:val="20"/>
              </w:rPr>
              <w:t>2017–18</w:t>
            </w:r>
          </w:p>
        </w:tc>
        <w:tc>
          <w:tcPr>
            <w:tcW w:w="682" w:type="pct"/>
          </w:tcPr>
          <w:p w:rsidR="000B5C96" w:rsidRPr="00D5762F" w:rsidRDefault="000B5C96" w:rsidP="003F606A">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D5762F">
              <w:rPr>
                <w:szCs w:val="20"/>
              </w:rPr>
              <w:t>2018–19</w:t>
            </w:r>
          </w:p>
        </w:tc>
        <w:tc>
          <w:tcPr>
            <w:tcW w:w="682" w:type="pct"/>
          </w:tcPr>
          <w:p w:rsidR="000B5C96" w:rsidRPr="00D5762F" w:rsidRDefault="000B5C96" w:rsidP="003F606A">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D5762F">
              <w:rPr>
                <w:szCs w:val="20"/>
              </w:rPr>
              <w:t>2019–20</w:t>
            </w:r>
          </w:p>
        </w:tc>
        <w:tc>
          <w:tcPr>
            <w:tcW w:w="681" w:type="pct"/>
          </w:tcPr>
          <w:p w:rsidR="000B5C96" w:rsidRPr="00D5762F" w:rsidRDefault="000B5C96" w:rsidP="003F606A">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D5762F">
              <w:rPr>
                <w:b/>
                <w:szCs w:val="20"/>
              </w:rPr>
              <w:t>Total</w:t>
            </w:r>
          </w:p>
        </w:tc>
      </w:tr>
      <w:tr w:rsidR="000B5C96" w:rsidRPr="00D5762F"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D5762F" w:rsidRDefault="000B5C96" w:rsidP="003F606A">
            <w:pPr>
              <w:keepLines/>
              <w:ind w:left="57" w:right="57"/>
              <w:rPr>
                <w:szCs w:val="20"/>
              </w:rPr>
            </w:pPr>
            <w:r w:rsidRPr="00D5762F">
              <w:rPr>
                <w:szCs w:val="20"/>
              </w:rPr>
              <w:t>Fiscal balance</w:t>
            </w:r>
          </w:p>
        </w:tc>
        <w:tc>
          <w:tcPr>
            <w:tcW w:w="682" w:type="pct"/>
          </w:tcPr>
          <w:p w:rsidR="000B5C96" w:rsidRPr="00D5762F" w:rsidRDefault="000B5C96" w:rsidP="003F606A">
            <w:pPr>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D5762F">
              <w:rPr>
                <w:rFonts w:ascii="Calibri" w:hAnsi="Calibri"/>
                <w:szCs w:val="20"/>
              </w:rPr>
              <w:t>386.0</w:t>
            </w:r>
          </w:p>
        </w:tc>
        <w:tc>
          <w:tcPr>
            <w:tcW w:w="682" w:type="pct"/>
          </w:tcPr>
          <w:p w:rsidR="000B5C96" w:rsidRPr="00D5762F" w:rsidRDefault="000B5C96" w:rsidP="003F606A">
            <w:pPr>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D5762F">
              <w:rPr>
                <w:rFonts w:ascii="Calibri" w:hAnsi="Calibri"/>
                <w:szCs w:val="20"/>
              </w:rPr>
              <w:t>553.0</w:t>
            </w:r>
          </w:p>
        </w:tc>
        <w:tc>
          <w:tcPr>
            <w:tcW w:w="682" w:type="pct"/>
          </w:tcPr>
          <w:p w:rsidR="000B5C96" w:rsidRPr="00D5762F" w:rsidRDefault="000B5C96" w:rsidP="003F606A">
            <w:pPr>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D5762F">
              <w:rPr>
                <w:rFonts w:ascii="Calibri" w:hAnsi="Calibri"/>
                <w:szCs w:val="20"/>
              </w:rPr>
              <w:t>563.0</w:t>
            </w:r>
          </w:p>
        </w:tc>
        <w:tc>
          <w:tcPr>
            <w:tcW w:w="682" w:type="pct"/>
          </w:tcPr>
          <w:p w:rsidR="000B5C96" w:rsidRPr="00D5762F" w:rsidRDefault="000B5C96" w:rsidP="003F606A">
            <w:pPr>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D5762F">
              <w:rPr>
                <w:rFonts w:ascii="Calibri" w:hAnsi="Calibri"/>
                <w:szCs w:val="20"/>
              </w:rPr>
              <w:t>583.0</w:t>
            </w:r>
          </w:p>
        </w:tc>
        <w:tc>
          <w:tcPr>
            <w:tcW w:w="681" w:type="pct"/>
          </w:tcPr>
          <w:p w:rsidR="000B5C96" w:rsidRPr="00D5762F" w:rsidRDefault="000B5C96" w:rsidP="003F606A">
            <w:pPr>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D5762F">
              <w:rPr>
                <w:rFonts w:ascii="Calibri" w:hAnsi="Calibri"/>
                <w:b/>
                <w:szCs w:val="20"/>
              </w:rPr>
              <w:t>2,085.0</w:t>
            </w:r>
          </w:p>
        </w:tc>
      </w:tr>
      <w:tr w:rsidR="000B5C96" w:rsidRPr="00D5762F"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D5762F" w:rsidRDefault="000B5C96" w:rsidP="003F606A">
            <w:pPr>
              <w:keepLines/>
              <w:ind w:left="57" w:right="57"/>
              <w:rPr>
                <w:szCs w:val="20"/>
              </w:rPr>
            </w:pPr>
            <w:r w:rsidRPr="00D5762F">
              <w:rPr>
                <w:szCs w:val="20"/>
              </w:rPr>
              <w:t>Underlying cash balance</w:t>
            </w:r>
          </w:p>
        </w:tc>
        <w:tc>
          <w:tcPr>
            <w:tcW w:w="682" w:type="pct"/>
          </w:tcPr>
          <w:p w:rsidR="000B5C96" w:rsidRPr="00D5762F" w:rsidRDefault="000B5C96" w:rsidP="003F606A">
            <w:pPr>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5762F">
              <w:rPr>
                <w:rFonts w:ascii="Calibri" w:hAnsi="Calibri"/>
                <w:szCs w:val="20"/>
              </w:rPr>
              <w:t>386.0</w:t>
            </w:r>
          </w:p>
        </w:tc>
        <w:tc>
          <w:tcPr>
            <w:tcW w:w="682" w:type="pct"/>
          </w:tcPr>
          <w:p w:rsidR="000B5C96" w:rsidRPr="00D5762F" w:rsidRDefault="000B5C96" w:rsidP="003F606A">
            <w:pPr>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5762F">
              <w:rPr>
                <w:rFonts w:ascii="Calibri" w:hAnsi="Calibri"/>
                <w:szCs w:val="20"/>
              </w:rPr>
              <w:t>543.0</w:t>
            </w:r>
          </w:p>
        </w:tc>
        <w:tc>
          <w:tcPr>
            <w:tcW w:w="682" w:type="pct"/>
          </w:tcPr>
          <w:p w:rsidR="000B5C96" w:rsidRPr="00D5762F" w:rsidRDefault="000B5C96" w:rsidP="003F606A">
            <w:pPr>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5762F">
              <w:rPr>
                <w:rFonts w:ascii="Calibri" w:hAnsi="Calibri"/>
                <w:szCs w:val="20"/>
              </w:rPr>
              <w:t>563.0</w:t>
            </w:r>
          </w:p>
        </w:tc>
        <w:tc>
          <w:tcPr>
            <w:tcW w:w="682" w:type="pct"/>
          </w:tcPr>
          <w:p w:rsidR="000B5C96" w:rsidRPr="00D5762F" w:rsidRDefault="000B5C96" w:rsidP="003F606A">
            <w:pPr>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D5762F">
              <w:rPr>
                <w:rFonts w:ascii="Calibri" w:hAnsi="Calibri"/>
                <w:szCs w:val="20"/>
              </w:rPr>
              <w:t>583.0</w:t>
            </w:r>
          </w:p>
        </w:tc>
        <w:tc>
          <w:tcPr>
            <w:tcW w:w="681" w:type="pct"/>
          </w:tcPr>
          <w:p w:rsidR="000B5C96" w:rsidRPr="00D5762F" w:rsidRDefault="000B5C96" w:rsidP="003F606A">
            <w:pPr>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D5762F">
              <w:rPr>
                <w:rFonts w:ascii="Calibri" w:hAnsi="Calibri"/>
                <w:b/>
                <w:szCs w:val="20"/>
              </w:rPr>
              <w:t>2,075.0</w:t>
            </w:r>
          </w:p>
        </w:tc>
      </w:tr>
    </w:tbl>
    <w:p w:rsidR="000B5C96" w:rsidRPr="00D5762F" w:rsidRDefault="000B5C96" w:rsidP="00E54AEC">
      <w:pPr>
        <w:pStyle w:val="Footnotes"/>
        <w:numPr>
          <w:ilvl w:val="0"/>
          <w:numId w:val="318"/>
        </w:numPr>
        <w:ind w:left="284" w:hanging="284"/>
      </w:pPr>
      <w:r w:rsidRPr="00D5762F">
        <w:t>A positive number indicates an increase in the relevant budget balance, a negative number a decrease.</w:t>
      </w:r>
    </w:p>
    <w:p w:rsidR="000B5C96" w:rsidRPr="00D5762F" w:rsidRDefault="000B5C96" w:rsidP="000B5C96">
      <w:pPr>
        <w:pStyle w:val="Footnotes"/>
        <w:numPr>
          <w:ilvl w:val="0"/>
          <w:numId w:val="7"/>
        </w:numPr>
        <w:ind w:left="284" w:hanging="284"/>
      </w:pPr>
      <w:r w:rsidRPr="00D5762F">
        <w:t>Figures may not sum to totals due to rounding.</w:t>
      </w:r>
    </w:p>
    <w:p w:rsidR="000B5C96" w:rsidRPr="00D5762F" w:rsidRDefault="000B5C96" w:rsidP="003F606A">
      <w:pPr>
        <w:pStyle w:val="CostingsH7"/>
      </w:pPr>
      <w:r w:rsidRPr="00D5762F">
        <w:t>Key assumptions</w:t>
      </w:r>
    </w:p>
    <w:p w:rsidR="000B5C96" w:rsidRPr="00D5762F" w:rsidRDefault="000B5C96" w:rsidP="003F606A">
      <w:pPr>
        <w:pStyle w:val="BodyText"/>
      </w:pPr>
      <w:r w:rsidRPr="00D5762F">
        <w:t>The Parliamentary Budget Office (PBO) has made the following assumptions regarding this costing:</w:t>
      </w:r>
    </w:p>
    <w:p w:rsidR="000B5C96" w:rsidRPr="00D5762F" w:rsidRDefault="000B5C96" w:rsidP="003F606A">
      <w:pPr>
        <w:pStyle w:val="CostingsH8"/>
        <w:rPr>
          <w:rFonts w:eastAsia="Calibri"/>
        </w:rPr>
      </w:pPr>
      <w:r w:rsidRPr="00D5762F">
        <w:rPr>
          <w:rFonts w:eastAsia="Calibri"/>
        </w:rPr>
        <w:t>General assumptions</w:t>
      </w:r>
    </w:p>
    <w:p w:rsidR="000B5C96" w:rsidRPr="00D5762F" w:rsidRDefault="000B5C96" w:rsidP="000B5C96">
      <w:pPr>
        <w:pStyle w:val="ListBullet"/>
        <w:numPr>
          <w:ilvl w:val="0"/>
          <w:numId w:val="123"/>
        </w:numPr>
        <w:ind w:left="454" w:hanging="454"/>
        <w:rPr>
          <w:lang w:eastAsia="en-AU"/>
        </w:rPr>
      </w:pPr>
      <w:r w:rsidRPr="00D5762F">
        <w:rPr>
          <w:lang w:eastAsia="en-AU"/>
        </w:rPr>
        <w:t>The baseline estimates of the volume of SSBs are based on average daily consumption figures from the ABS Australian Health Survey in 2010</w:t>
      </w:r>
      <w:r w:rsidRPr="00D5762F">
        <w:rPr>
          <w:lang w:eastAsia="en-AU"/>
        </w:rPr>
        <w:noBreakHyphen/>
        <w:t>11, grossed up to account for participants underreporting their consumption, and grown in line with long run trends.</w:t>
      </w:r>
    </w:p>
    <w:p w:rsidR="000B5C96" w:rsidRDefault="000B5C96" w:rsidP="000B5C96">
      <w:pPr>
        <w:pStyle w:val="ListBullet"/>
        <w:numPr>
          <w:ilvl w:val="0"/>
          <w:numId w:val="123"/>
        </w:numPr>
        <w:ind w:left="454" w:hanging="454"/>
        <w:sectPr w:rsidR="000B5C96" w:rsidSect="008430E8">
          <w:pgSz w:w="11907" w:h="16839" w:code="9"/>
          <w:pgMar w:top="1361" w:right="1797" w:bottom="1474" w:left="1797" w:header="283" w:footer="454" w:gutter="0"/>
          <w:cols w:space="708"/>
          <w:docGrid w:linePitch="360"/>
        </w:sectPr>
      </w:pPr>
    </w:p>
    <w:p w:rsidR="000B5C96" w:rsidRDefault="000B5C96" w:rsidP="000B5C96">
      <w:pPr>
        <w:pStyle w:val="ListBullet"/>
        <w:numPr>
          <w:ilvl w:val="0"/>
          <w:numId w:val="123"/>
        </w:numPr>
        <w:ind w:left="454" w:hanging="454"/>
      </w:pPr>
      <w:r>
        <w:t>The estimates of SSB prices are based on data on the value of beverages sold and purchased in Australia from various surveys of manufacturers and households.</w:t>
      </w:r>
    </w:p>
    <w:p w:rsidR="000B5C96" w:rsidRDefault="000B5C96" w:rsidP="000B5C96">
      <w:pPr>
        <w:pStyle w:val="ListBullet"/>
        <w:numPr>
          <w:ilvl w:val="0"/>
          <w:numId w:val="123"/>
        </w:numPr>
        <w:ind w:left="454" w:hanging="454"/>
      </w:pPr>
      <w:r>
        <w:t>The mark-up between the price received by the manufacturer or importer and the retail price paid by the consumer is assumed to be 50 per cent.</w:t>
      </w:r>
    </w:p>
    <w:p w:rsidR="000B5C96" w:rsidRDefault="000B5C96" w:rsidP="000B5C96">
      <w:pPr>
        <w:pStyle w:val="ListBullet"/>
        <w:numPr>
          <w:ilvl w:val="0"/>
          <w:numId w:val="123"/>
        </w:numPr>
        <w:ind w:left="454" w:hanging="454"/>
      </w:pPr>
      <w:r>
        <w:t>There is assumed to be a one month lag between the manufacture or importation of these beverages and their consumption.</w:t>
      </w:r>
    </w:p>
    <w:p w:rsidR="000B5C96" w:rsidRDefault="000B5C96" w:rsidP="000B5C96">
      <w:pPr>
        <w:pStyle w:val="ListBullet"/>
        <w:numPr>
          <w:ilvl w:val="0"/>
          <w:numId w:val="123"/>
        </w:numPr>
        <w:ind w:left="454" w:hanging="454"/>
      </w:pPr>
      <w:r>
        <w:t>While the proposal is assumed to result in price increases of the affected beverages, this costing does not take into account any impact on the Consumer Price Index (CPI) or consequential CPI related impacts on transfer payments.</w:t>
      </w:r>
    </w:p>
    <w:p w:rsidR="000B5C96" w:rsidRDefault="000B5C96" w:rsidP="003F606A">
      <w:pPr>
        <w:pStyle w:val="CostingsH8"/>
      </w:pPr>
      <w:r w:rsidRPr="00887760">
        <w:t>Behavioural response assumptions</w:t>
      </w:r>
    </w:p>
    <w:p w:rsidR="000B5C96" w:rsidRDefault="000B5C96" w:rsidP="000B5C96">
      <w:pPr>
        <w:pStyle w:val="ListBullet"/>
        <w:numPr>
          <w:ilvl w:val="0"/>
          <w:numId w:val="123"/>
        </w:numPr>
        <w:ind w:left="454" w:hanging="454"/>
      </w:pPr>
      <w:r>
        <w:t>All price impacts from the sugar tax are passed through to the final consumers of SSBs.  In response, consumers are assumed to decrease their consumption of SSBs.</w:t>
      </w:r>
    </w:p>
    <w:p w:rsidR="000B5C96" w:rsidRDefault="000B5C96" w:rsidP="000B5C96">
      <w:pPr>
        <w:pStyle w:val="ListBullet2"/>
        <w:numPr>
          <w:ilvl w:val="0"/>
          <w:numId w:val="124"/>
        </w:numPr>
        <w:ind w:left="908" w:hanging="454"/>
      </w:pPr>
      <w:r>
        <w:t>This response effect largely offsets the increase in the retail price of beverages from the sugar tax, with the result that there is only a small change in the overall value of retail beverage sales and Goods and Services Tax (GST) revenue.</w:t>
      </w:r>
    </w:p>
    <w:p w:rsidR="000B5C96" w:rsidRDefault="000B5C96" w:rsidP="000B5C96">
      <w:pPr>
        <w:pStyle w:val="ListBullet"/>
        <w:numPr>
          <w:ilvl w:val="0"/>
          <w:numId w:val="123"/>
        </w:numPr>
        <w:ind w:left="454" w:hanging="454"/>
      </w:pPr>
      <w:r>
        <w:t>Manufacturers are assumed to change the sugar content of some SSBs so that they are no longer subject to the sugar tax.</w:t>
      </w:r>
    </w:p>
    <w:p w:rsidR="000B5C96" w:rsidRDefault="000B5C96" w:rsidP="000B5C96">
      <w:pPr>
        <w:pStyle w:val="ListBullet2"/>
        <w:numPr>
          <w:ilvl w:val="0"/>
          <w:numId w:val="124"/>
        </w:numPr>
        <w:ind w:left="908" w:hanging="454"/>
      </w:pPr>
      <w:r>
        <w:t>It is assumed that the closer a SSB’s original average sugar content is to the threshold the more likely a manufacturer is to change the sugar content of a SSB.</w:t>
      </w:r>
    </w:p>
    <w:p w:rsidR="000B5C96" w:rsidRDefault="000B5C96" w:rsidP="003F606A">
      <w:pPr>
        <w:pStyle w:val="CostingsH8"/>
      </w:pPr>
      <w:r w:rsidRPr="00887760">
        <w:t>Timing</w:t>
      </w:r>
    </w:p>
    <w:p w:rsidR="000B5C96" w:rsidRDefault="000B5C96" w:rsidP="000B5C96">
      <w:pPr>
        <w:pStyle w:val="ListBullet"/>
        <w:numPr>
          <w:ilvl w:val="0"/>
          <w:numId w:val="123"/>
        </w:numPr>
        <w:ind w:left="454" w:hanging="454"/>
      </w:pPr>
      <w:r>
        <w:t>The sugar tax payments are assumed to be made to the Australian Taxation Office (ATO) weekly and in arrears, similar to alcohol excise payments.  On a fiscal balance basis all sugar tax revenue is recognised in the week the tax is levied on the manufacturer or importer.  On an underlying cash balance basis sugar tax receipts are recognised when they are collected by the ATO.</w:t>
      </w:r>
    </w:p>
    <w:p w:rsidR="000B5C96" w:rsidRDefault="000B5C96" w:rsidP="000B5C96">
      <w:pPr>
        <w:pStyle w:val="ListBullet"/>
        <w:numPr>
          <w:ilvl w:val="0"/>
          <w:numId w:val="123"/>
        </w:numPr>
        <w:ind w:left="454" w:hanging="454"/>
      </w:pPr>
      <w:r>
        <w:t>On a fiscal balance basis all GST revenue is recognised in the year the tax is levied on the consumer.  The payment of GST to the states and territories is recognised as an expense when GST is received by the Commonwealth.</w:t>
      </w:r>
    </w:p>
    <w:p w:rsidR="000B5C96" w:rsidRDefault="000B5C96" w:rsidP="000B5C96">
      <w:pPr>
        <w:pStyle w:val="ListBullet"/>
        <w:numPr>
          <w:ilvl w:val="0"/>
          <w:numId w:val="123"/>
        </w:numPr>
        <w:ind w:left="454" w:hanging="454"/>
      </w:pPr>
      <w:r>
        <w:t>On an underlying cash balance basis GST receipts are recognised when they are collected by the ATO.  This reflects the fact that GST payments are made to the ATO in arrears, and accounts for the fact that businesses can either remit their GST annually, quarterly, or monthly.  In aggregate, it is assumed that a proportion of GST is received in year and the remainder is received in the next year.</w:t>
      </w:r>
    </w:p>
    <w:p w:rsidR="000B5C96" w:rsidRDefault="000B5C96" w:rsidP="000B5C96">
      <w:pPr>
        <w:pStyle w:val="ListBullet"/>
        <w:numPr>
          <w:ilvl w:val="0"/>
          <w:numId w:val="123"/>
        </w:numPr>
        <w:ind w:left="454" w:hanging="454"/>
      </w:pPr>
      <w:r>
        <w:t>There is assumed to be no delay between the receipt of GST by the Commonwealth and associated payments to states and territories.</w:t>
      </w:r>
    </w:p>
    <w:p w:rsidR="000B5C96" w:rsidRPr="00FC6579" w:rsidRDefault="000B5C96" w:rsidP="003F606A">
      <w:pPr>
        <w:pStyle w:val="CostingsH7"/>
      </w:pPr>
      <w:r w:rsidRPr="00FC6579">
        <w:t>Methodology</w:t>
      </w:r>
    </w:p>
    <w:p w:rsidR="000B5C96" w:rsidRPr="00887760" w:rsidRDefault="000B5C96" w:rsidP="003F606A">
      <w:pPr>
        <w:pStyle w:val="BodyText"/>
      </w:pPr>
      <w:r w:rsidRPr="00887760">
        <w:t>The revenue impact of the prop</w:t>
      </w:r>
      <w:r>
        <w:t>osal consists of</w:t>
      </w:r>
      <w:r w:rsidRPr="00887760">
        <w:t xml:space="preserve"> the estimated amount of sugar tax and the </w:t>
      </w:r>
      <w:r>
        <w:t xml:space="preserve">estimated </w:t>
      </w:r>
      <w:r w:rsidRPr="00887760">
        <w:t>change in GST revenue.  The impact on receipts was calculated by modifying the revenue impact to reflect timing of sugar tax collections and GST payments.</w:t>
      </w:r>
    </w:p>
    <w:p w:rsidR="000B5C96" w:rsidRPr="00887760" w:rsidRDefault="000B5C96" w:rsidP="003F606A">
      <w:pPr>
        <w:pStyle w:val="BodyText"/>
        <w:rPr>
          <w:rFonts w:asciiTheme="majorHAnsi" w:hAnsiTheme="majorHAnsi"/>
          <w:bCs/>
          <w:iCs/>
          <w:color w:val="2B3B5F"/>
          <w:kern w:val="20"/>
          <w:sz w:val="28"/>
          <w:szCs w:val="28"/>
        </w:rPr>
      </w:pPr>
      <w:r w:rsidRPr="00887760">
        <w:t>Sugar tax estimates were rounded to the nearest $10 million.  Impacts on GST were rounded to the nearest $5 million.  Departmental expense amounts were rounded to the nearest $1</w:t>
      </w:r>
      <w:r>
        <w:t> </w:t>
      </w:r>
      <w:r w:rsidRPr="00887760">
        <w:t>million.</w:t>
      </w:r>
    </w:p>
    <w:p w:rsidR="000B5C96" w:rsidRPr="00FC6579" w:rsidRDefault="000B5C96" w:rsidP="003F606A">
      <w:pPr>
        <w:pStyle w:val="CostingsH7"/>
      </w:pPr>
      <w:r w:rsidRPr="00FC6579">
        <w:t>Data sources</w:t>
      </w:r>
    </w:p>
    <w:p w:rsidR="000B5C96" w:rsidRDefault="000B5C96" w:rsidP="000B5C96">
      <w:pPr>
        <w:pStyle w:val="ListBullet"/>
        <w:numPr>
          <w:ilvl w:val="0"/>
          <w:numId w:val="123"/>
        </w:numPr>
        <w:ind w:left="454" w:hanging="454"/>
      </w:pPr>
      <w:r>
        <w:t xml:space="preserve">Population Projections as at the </w:t>
      </w:r>
      <w:r w:rsidRPr="00887760">
        <w:t>2016 Pre-election Economic and Fiscal Outlook</w:t>
      </w:r>
    </w:p>
    <w:p w:rsidR="000B5C96" w:rsidRDefault="000B5C96" w:rsidP="000B5C96">
      <w:pPr>
        <w:pStyle w:val="ListBullet"/>
        <w:numPr>
          <w:ilvl w:val="0"/>
          <w:numId w:val="123"/>
        </w:numPr>
        <w:ind w:left="454" w:hanging="454"/>
      </w:pPr>
      <w:r>
        <w:t>ABS Consumer Price Index, Australia, March 2016</w:t>
      </w:r>
    </w:p>
    <w:p w:rsidR="000B5C96" w:rsidRDefault="000B5C96" w:rsidP="000B5C96">
      <w:pPr>
        <w:pStyle w:val="ListBullet"/>
        <w:numPr>
          <w:ilvl w:val="0"/>
          <w:numId w:val="123"/>
        </w:numPr>
        <w:ind w:left="454" w:hanging="454"/>
      </w:pPr>
      <w:r>
        <w:t>ABS Australians Demographic Statistics, December 2015</w:t>
      </w:r>
    </w:p>
    <w:p w:rsidR="000B5C96" w:rsidRDefault="000B5C96" w:rsidP="000B5C96">
      <w:pPr>
        <w:pStyle w:val="ListBullet"/>
        <w:numPr>
          <w:ilvl w:val="0"/>
          <w:numId w:val="123"/>
        </w:numPr>
        <w:ind w:left="454" w:hanging="454"/>
      </w:pPr>
      <w:r>
        <w:t>ABS Australian Health Survey: Nutrition First Results - Foods and Nutrients, 2011-12</w:t>
      </w:r>
    </w:p>
    <w:p w:rsidR="000B5C96" w:rsidRDefault="000B5C96" w:rsidP="000B5C96">
      <w:pPr>
        <w:pStyle w:val="ListBullet"/>
        <w:numPr>
          <w:ilvl w:val="0"/>
          <w:numId w:val="123"/>
        </w:numPr>
        <w:ind w:left="454" w:hanging="454"/>
      </w:pPr>
      <w:r>
        <w:t>ABS Household Expenditure Survey, Australia: Summary of Results, 2009-10</w:t>
      </w:r>
    </w:p>
    <w:p w:rsidR="000B5C96" w:rsidRDefault="000B5C96" w:rsidP="000B5C96">
      <w:pPr>
        <w:pStyle w:val="ListBullet"/>
        <w:numPr>
          <w:ilvl w:val="0"/>
          <w:numId w:val="123"/>
        </w:numPr>
        <w:ind w:left="454" w:hanging="454"/>
      </w:pPr>
      <w:r>
        <w:t>Retail World, 49th Annual Report - December 2015</w:t>
      </w:r>
    </w:p>
    <w:p w:rsidR="000B5C96" w:rsidRDefault="000B5C96" w:rsidP="000B5C96">
      <w:pPr>
        <w:pStyle w:val="ListBullet"/>
        <w:numPr>
          <w:ilvl w:val="0"/>
          <w:numId w:val="123"/>
        </w:numPr>
        <w:ind w:left="454" w:hanging="454"/>
      </w:pPr>
      <w:r>
        <w:t>Sharma et al (2014), ‘The Effects of Taxing Sugar-Sweetened Beverages Across Different Income Groups’, Health Economics</w:t>
      </w:r>
    </w:p>
    <w:p w:rsidR="000B5C96" w:rsidRDefault="000B5C96" w:rsidP="000B5C96">
      <w:pPr>
        <w:pStyle w:val="ListBullet"/>
        <w:numPr>
          <w:ilvl w:val="0"/>
          <w:numId w:val="123"/>
        </w:numPr>
        <w:ind w:left="454" w:hanging="454"/>
      </w:pPr>
      <w:r>
        <w:t>Capps and Hanselman (2012), ‘A Pilot Study of the Market for Energy Drinks’, Journal of Food Distribution Research</w:t>
      </w:r>
    </w:p>
    <w:p w:rsidR="000B5C96" w:rsidRDefault="000B5C96" w:rsidP="000B5C96">
      <w:pPr>
        <w:pStyle w:val="ListBullet"/>
        <w:numPr>
          <w:ilvl w:val="0"/>
          <w:numId w:val="123"/>
        </w:numPr>
        <w:ind w:left="454" w:hanging="454"/>
      </w:pPr>
      <w:r>
        <w:t>Cawley &amp; Frisvold (2015), ‘The Incidence of Taxes on Sugar-Sweetened Beverages: The Case of Berkeley, California’, National Bureau of Economic Research Working Paper</w:t>
      </w:r>
    </w:p>
    <w:p w:rsidR="000B5C96" w:rsidRDefault="000B5C96" w:rsidP="000B5C96">
      <w:pPr>
        <w:pStyle w:val="ListBullet"/>
        <w:numPr>
          <w:ilvl w:val="0"/>
          <w:numId w:val="123"/>
        </w:numPr>
        <w:ind w:left="454" w:hanging="454"/>
      </w:pPr>
      <w:r>
        <w:t>‘How much sugar is in … ?’, Rethink Sugary Drink website: www.rethinksugarydrink.org.au/how-much-sugar</w:t>
      </w:r>
    </w:p>
    <w:p w:rsidR="000B5C96" w:rsidRDefault="000B5C96" w:rsidP="000B5C96">
      <w:pPr>
        <w:pStyle w:val="ListBullet"/>
        <w:numPr>
          <w:ilvl w:val="0"/>
          <w:numId w:val="123"/>
        </w:numPr>
        <w:ind w:left="454" w:hanging="454"/>
        <w:sectPr w:rsidR="000B5C96" w:rsidSect="008430E8">
          <w:pgSz w:w="11907" w:h="16839" w:code="9"/>
          <w:pgMar w:top="1361" w:right="1797" w:bottom="1474" w:left="1797" w:header="283" w:footer="454" w:gutter="0"/>
          <w:cols w:space="708"/>
          <w:docGrid w:linePitch="360"/>
        </w:sectPr>
      </w:pPr>
    </w:p>
    <w:p w:rsidR="000B5C96" w:rsidRPr="00D5762F" w:rsidRDefault="000B5C96" w:rsidP="000B5C96">
      <w:pPr>
        <w:pStyle w:val="Heading6"/>
        <w:numPr>
          <w:ilvl w:val="0"/>
          <w:numId w:val="5"/>
        </w:numPr>
        <w:tabs>
          <w:tab w:val="right" w:pos="1418"/>
          <w:tab w:val="right" w:pos="1701"/>
          <w:tab w:val="right" w:pos="1985"/>
        </w:tabs>
      </w:pPr>
      <w:r w:rsidRPr="00D5762F">
        <w:t>Attachment A: Tackling Obesity: Sugar sweetened beverages—financial implications</w:t>
      </w:r>
    </w:p>
    <w:p w:rsidR="000B5C96" w:rsidRPr="00D5762F" w:rsidRDefault="000B5C96" w:rsidP="003F606A">
      <w:pPr>
        <w:spacing w:before="114" w:after="114"/>
        <w:rPr>
          <w:rFonts w:ascii="Calibri" w:eastAsia="Calibri" w:hAnsi="Calibri" w:cs="Times New Roman"/>
        </w:rPr>
      </w:pPr>
      <w:r w:rsidRPr="00D5762F">
        <w:rPr>
          <w:rFonts w:ascii="Calibri" w:eastAsia="Calibri" w:hAnsi="Calibri" w:cs="Times New Roman"/>
        </w:rPr>
        <w:t>The following tables include the detailed financial implications for this proposal.</w:t>
      </w:r>
    </w:p>
    <w:p w:rsidR="000B5C96" w:rsidRPr="00D5762F" w:rsidRDefault="000B5C96" w:rsidP="003F606A">
      <w:pPr>
        <w:pStyle w:val="Caption"/>
        <w:rPr>
          <w:vertAlign w:val="superscript"/>
        </w:rPr>
      </w:pPr>
      <w:r w:rsidRPr="00D5762F">
        <w:t>Table A1: Tackling Obesity: Sugar sweetened beverages—Fiscal balance</w:t>
      </w:r>
      <w:r w:rsidRPr="00D5762F">
        <w:rPr>
          <w:vertAlign w:val="superscript"/>
        </w:rPr>
        <w:t>(a)(b)</w:t>
      </w:r>
    </w:p>
    <w:tbl>
      <w:tblPr>
        <w:tblStyle w:val="TableGrid77"/>
        <w:tblW w:w="4995" w:type="pct"/>
        <w:tblLook w:val="04A0" w:firstRow="1" w:lastRow="0" w:firstColumn="1" w:lastColumn="0" w:noHBand="0" w:noVBand="1"/>
      </w:tblPr>
      <w:tblGrid>
        <w:gridCol w:w="2645"/>
        <w:gridCol w:w="1134"/>
        <w:gridCol w:w="1134"/>
        <w:gridCol w:w="1134"/>
        <w:gridCol w:w="1134"/>
        <w:gridCol w:w="1134"/>
      </w:tblGrid>
      <w:tr w:rsidR="000B5C96" w:rsidRPr="00D5762F"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0" w:type="pct"/>
            <w:tcBorders>
              <w:bottom w:val="single" w:sz="4" w:space="0" w:color="808080"/>
            </w:tcBorders>
            <w:vAlign w:val="center"/>
          </w:tcPr>
          <w:p w:rsidR="000B5C96" w:rsidRPr="00D5762F" w:rsidRDefault="000B5C96" w:rsidP="003F606A">
            <w:pPr>
              <w:keepNext/>
              <w:keepLines/>
              <w:spacing w:line="240" w:lineRule="auto"/>
              <w:ind w:left="57" w:right="57"/>
              <w:rPr>
                <w:b/>
                <w:szCs w:val="20"/>
              </w:rPr>
            </w:pPr>
            <w:r w:rsidRPr="00D5762F">
              <w:rPr>
                <w:szCs w:val="20"/>
              </w:rPr>
              <w:t>($m)</w:t>
            </w:r>
          </w:p>
        </w:tc>
        <w:tc>
          <w:tcPr>
            <w:tcW w:w="682" w:type="pct"/>
            <w:tcBorders>
              <w:bottom w:val="single" w:sz="4" w:space="0" w:color="808080"/>
            </w:tcBorders>
            <w:vAlign w:val="center"/>
          </w:tcPr>
          <w:p w:rsidR="000B5C96" w:rsidRPr="00D5762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D5762F">
              <w:t>2016–17</w:t>
            </w:r>
          </w:p>
        </w:tc>
        <w:tc>
          <w:tcPr>
            <w:tcW w:w="682" w:type="pct"/>
            <w:tcBorders>
              <w:bottom w:val="single" w:sz="4" w:space="0" w:color="808080"/>
            </w:tcBorders>
            <w:vAlign w:val="center"/>
          </w:tcPr>
          <w:p w:rsidR="000B5C96" w:rsidRPr="00D5762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D5762F">
              <w:t>2017–18</w:t>
            </w:r>
          </w:p>
        </w:tc>
        <w:tc>
          <w:tcPr>
            <w:tcW w:w="682" w:type="pct"/>
            <w:tcBorders>
              <w:bottom w:val="single" w:sz="4" w:space="0" w:color="808080"/>
            </w:tcBorders>
            <w:vAlign w:val="center"/>
          </w:tcPr>
          <w:p w:rsidR="000B5C96" w:rsidRPr="00D5762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D5762F">
              <w:t>2018–19</w:t>
            </w:r>
          </w:p>
        </w:tc>
        <w:tc>
          <w:tcPr>
            <w:tcW w:w="682" w:type="pct"/>
            <w:tcBorders>
              <w:bottom w:val="single" w:sz="4" w:space="0" w:color="808080"/>
            </w:tcBorders>
            <w:vAlign w:val="center"/>
          </w:tcPr>
          <w:p w:rsidR="000B5C96" w:rsidRPr="00D5762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D5762F">
              <w:t>2019–20</w:t>
            </w:r>
          </w:p>
        </w:tc>
        <w:tc>
          <w:tcPr>
            <w:tcW w:w="682" w:type="pct"/>
            <w:tcBorders>
              <w:bottom w:val="single" w:sz="4" w:space="0" w:color="808080"/>
            </w:tcBorders>
            <w:vAlign w:val="center"/>
          </w:tcPr>
          <w:p w:rsidR="000B5C96" w:rsidRPr="00D5762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D5762F">
              <w:rPr>
                <w:b/>
              </w:rPr>
              <w:t>Total to 2019–20</w:t>
            </w:r>
          </w:p>
        </w:tc>
      </w:tr>
      <w:tr w:rsidR="000B5C96" w:rsidRPr="00D5762F"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shd w:val="clear" w:color="auto" w:fill="E9ECF3"/>
          </w:tcPr>
          <w:p w:rsidR="000B5C96" w:rsidRPr="00D5762F" w:rsidRDefault="000B5C96" w:rsidP="003F606A">
            <w:pPr>
              <w:keepNext/>
              <w:keepLines/>
              <w:ind w:left="57" w:right="57"/>
              <w:rPr>
                <w:b/>
                <w:szCs w:val="20"/>
              </w:rPr>
            </w:pPr>
            <w:r w:rsidRPr="00D5762F">
              <w:rPr>
                <w:b/>
                <w:szCs w:val="20"/>
              </w:rPr>
              <w:t>Revenue</w:t>
            </w:r>
          </w:p>
        </w:tc>
        <w:tc>
          <w:tcPr>
            <w:tcW w:w="682" w:type="pct"/>
            <w:shd w:val="clear" w:color="auto" w:fill="E9ECF3"/>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390.0</w:t>
            </w:r>
          </w:p>
        </w:tc>
        <w:tc>
          <w:tcPr>
            <w:tcW w:w="682" w:type="pct"/>
            <w:shd w:val="clear" w:color="auto" w:fill="E9ECF3"/>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545.0</w:t>
            </w:r>
          </w:p>
        </w:tc>
        <w:tc>
          <w:tcPr>
            <w:tcW w:w="682" w:type="pct"/>
            <w:shd w:val="clear" w:color="auto" w:fill="E9ECF3"/>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555.0</w:t>
            </w:r>
          </w:p>
        </w:tc>
        <w:tc>
          <w:tcPr>
            <w:tcW w:w="682" w:type="pct"/>
            <w:shd w:val="clear" w:color="auto" w:fill="E9ECF3"/>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570.0</w:t>
            </w:r>
          </w:p>
        </w:tc>
        <w:tc>
          <w:tcPr>
            <w:tcW w:w="682" w:type="pct"/>
            <w:shd w:val="clear" w:color="auto" w:fill="E9ECF3"/>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2,060.0</w:t>
            </w:r>
          </w:p>
        </w:tc>
      </w:tr>
      <w:tr w:rsidR="000B5C96" w:rsidRPr="00D5762F" w:rsidTr="003F606A">
        <w:tc>
          <w:tcPr>
            <w:cnfStyle w:val="001000000000" w:firstRow="0" w:lastRow="0" w:firstColumn="1" w:lastColumn="0" w:oddVBand="0" w:evenVBand="0" w:oddHBand="0" w:evenHBand="0" w:firstRowFirstColumn="0" w:firstRowLastColumn="0" w:lastRowFirstColumn="0" w:lastRowLastColumn="0"/>
            <w:tcW w:w="1590" w:type="pct"/>
          </w:tcPr>
          <w:p w:rsidR="000B5C96" w:rsidRPr="00D5762F" w:rsidRDefault="000B5C96" w:rsidP="003F606A">
            <w:pPr>
              <w:keepNext/>
              <w:keepLines/>
              <w:ind w:left="57" w:right="57"/>
              <w:rPr>
                <w:i/>
                <w:szCs w:val="20"/>
              </w:rPr>
            </w:pPr>
            <w:r w:rsidRPr="00D5762F">
              <w:rPr>
                <w:i/>
                <w:szCs w:val="20"/>
              </w:rPr>
              <w:t>Sugar tax revenue</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400.0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560.0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570.0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590.0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5762F">
              <w:rPr>
                <w:rFonts w:ascii="Calibri" w:hAnsi="Calibri"/>
                <w:b/>
                <w:i/>
              </w:rPr>
              <w:t>2,120.0</w:t>
            </w:r>
          </w:p>
        </w:tc>
      </w:tr>
      <w:tr w:rsidR="000B5C96" w:rsidRPr="00D5762F"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Borders>
              <w:bottom w:val="single" w:sz="4" w:space="0" w:color="808080"/>
            </w:tcBorders>
          </w:tcPr>
          <w:p w:rsidR="000B5C96" w:rsidRPr="00D5762F" w:rsidRDefault="000B5C96" w:rsidP="003F606A">
            <w:pPr>
              <w:keepNext/>
              <w:keepLines/>
              <w:ind w:left="57" w:right="57"/>
              <w:rPr>
                <w:i/>
                <w:szCs w:val="20"/>
              </w:rPr>
            </w:pPr>
            <w:r w:rsidRPr="00D5762F">
              <w:rPr>
                <w:i/>
                <w:szCs w:val="20"/>
              </w:rPr>
              <w:t>GST revenue</w:t>
            </w:r>
          </w:p>
        </w:tc>
        <w:tc>
          <w:tcPr>
            <w:tcW w:w="682" w:type="pct"/>
            <w:tcBorders>
              <w:bottom w:val="single" w:sz="4" w:space="0" w:color="808080"/>
            </w:tcBorders>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-10.0</w:t>
            </w:r>
          </w:p>
        </w:tc>
        <w:tc>
          <w:tcPr>
            <w:tcW w:w="682" w:type="pct"/>
            <w:tcBorders>
              <w:bottom w:val="single" w:sz="4" w:space="0" w:color="808080"/>
            </w:tcBorders>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-15.0</w:t>
            </w:r>
          </w:p>
        </w:tc>
        <w:tc>
          <w:tcPr>
            <w:tcW w:w="682" w:type="pct"/>
            <w:tcBorders>
              <w:bottom w:val="single" w:sz="4" w:space="0" w:color="808080"/>
            </w:tcBorders>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-15.0</w:t>
            </w:r>
          </w:p>
        </w:tc>
        <w:tc>
          <w:tcPr>
            <w:tcW w:w="682" w:type="pct"/>
            <w:tcBorders>
              <w:bottom w:val="single" w:sz="4" w:space="0" w:color="808080"/>
            </w:tcBorders>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-20.0</w:t>
            </w:r>
          </w:p>
        </w:tc>
        <w:tc>
          <w:tcPr>
            <w:tcW w:w="682" w:type="pct"/>
            <w:tcBorders>
              <w:bottom w:val="single" w:sz="4" w:space="0" w:color="808080"/>
            </w:tcBorders>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D5762F">
              <w:rPr>
                <w:rFonts w:ascii="Calibri" w:hAnsi="Calibri"/>
                <w:b/>
                <w:i/>
              </w:rPr>
              <w:t>-60.0</w:t>
            </w:r>
          </w:p>
        </w:tc>
      </w:tr>
      <w:tr w:rsidR="000B5C96" w:rsidRPr="00D5762F" w:rsidTr="003F606A">
        <w:tc>
          <w:tcPr>
            <w:cnfStyle w:val="001000000000" w:firstRow="0" w:lastRow="0" w:firstColumn="1" w:lastColumn="0" w:oddVBand="0" w:evenVBand="0" w:oddHBand="0" w:evenHBand="0" w:firstRowFirstColumn="0" w:firstRowLastColumn="0" w:lastRowFirstColumn="0" w:lastRowLastColumn="0"/>
            <w:tcW w:w="1590" w:type="pct"/>
            <w:shd w:val="clear" w:color="auto" w:fill="E9ECF3"/>
          </w:tcPr>
          <w:p w:rsidR="000B5C96" w:rsidRPr="00D5762F" w:rsidRDefault="000B5C96" w:rsidP="003F606A">
            <w:pPr>
              <w:keepNext/>
              <w:keepLines/>
              <w:ind w:left="57" w:right="57"/>
              <w:rPr>
                <w:b/>
                <w:szCs w:val="20"/>
              </w:rPr>
            </w:pPr>
            <w:r w:rsidRPr="00D5762F">
              <w:rPr>
                <w:b/>
                <w:szCs w:val="20"/>
              </w:rPr>
              <w:t>Expense</w:t>
            </w:r>
          </w:p>
        </w:tc>
        <w:tc>
          <w:tcPr>
            <w:tcW w:w="682" w:type="pct"/>
            <w:shd w:val="clear" w:color="auto" w:fill="E9ECF3"/>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5762F">
              <w:rPr>
                <w:rFonts w:ascii="Calibri" w:hAnsi="Calibri"/>
                <w:b/>
              </w:rPr>
              <w:t>-4.0</w:t>
            </w:r>
          </w:p>
        </w:tc>
        <w:tc>
          <w:tcPr>
            <w:tcW w:w="682" w:type="pct"/>
            <w:shd w:val="clear" w:color="auto" w:fill="E9ECF3"/>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5762F">
              <w:rPr>
                <w:rFonts w:ascii="Calibri" w:hAnsi="Calibri"/>
                <w:b/>
              </w:rPr>
              <w:t>8.0</w:t>
            </w:r>
          </w:p>
        </w:tc>
        <w:tc>
          <w:tcPr>
            <w:tcW w:w="682" w:type="pct"/>
            <w:shd w:val="clear" w:color="auto" w:fill="E9ECF3"/>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5762F">
              <w:rPr>
                <w:rFonts w:ascii="Calibri" w:hAnsi="Calibri"/>
                <w:b/>
              </w:rPr>
              <w:t>8.0</w:t>
            </w:r>
          </w:p>
        </w:tc>
        <w:tc>
          <w:tcPr>
            <w:tcW w:w="682" w:type="pct"/>
            <w:shd w:val="clear" w:color="auto" w:fill="E9ECF3"/>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5762F">
              <w:rPr>
                <w:rFonts w:ascii="Calibri" w:hAnsi="Calibri"/>
                <w:b/>
              </w:rPr>
              <w:t>13.0</w:t>
            </w:r>
          </w:p>
        </w:tc>
        <w:tc>
          <w:tcPr>
            <w:tcW w:w="682" w:type="pct"/>
            <w:shd w:val="clear" w:color="auto" w:fill="E9ECF3"/>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5762F">
              <w:rPr>
                <w:rFonts w:ascii="Calibri" w:hAnsi="Calibri"/>
                <w:b/>
              </w:rPr>
              <w:t>25.0</w:t>
            </w:r>
          </w:p>
        </w:tc>
      </w:tr>
      <w:tr w:rsidR="000B5C96" w:rsidRPr="00D5762F"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0B5C96" w:rsidRPr="00D5762F" w:rsidRDefault="000B5C96" w:rsidP="003F606A">
            <w:pPr>
              <w:keepNext/>
              <w:keepLines/>
              <w:ind w:left="57" w:right="57"/>
              <w:rPr>
                <w:i/>
                <w:szCs w:val="20"/>
              </w:rPr>
            </w:pPr>
            <w:r w:rsidRPr="00D5762F">
              <w:rPr>
                <w:i/>
                <w:szCs w:val="20"/>
              </w:rPr>
              <w:t>Administered - GST expense</w:t>
            </w:r>
          </w:p>
        </w:tc>
        <w:tc>
          <w:tcPr>
            <w:tcW w:w="682" w:type="pct"/>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10.0</w:t>
            </w:r>
          </w:p>
        </w:tc>
        <w:tc>
          <w:tcPr>
            <w:tcW w:w="682" w:type="pct"/>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15.0</w:t>
            </w:r>
          </w:p>
        </w:tc>
        <w:tc>
          <w:tcPr>
            <w:tcW w:w="682" w:type="pct"/>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15.0</w:t>
            </w:r>
          </w:p>
        </w:tc>
        <w:tc>
          <w:tcPr>
            <w:tcW w:w="682" w:type="pct"/>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20.0</w:t>
            </w:r>
          </w:p>
        </w:tc>
        <w:tc>
          <w:tcPr>
            <w:tcW w:w="682" w:type="pct"/>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D5762F">
              <w:rPr>
                <w:rFonts w:ascii="Calibri" w:hAnsi="Calibri"/>
                <w:b/>
                <w:i/>
              </w:rPr>
              <w:t>60.0</w:t>
            </w:r>
          </w:p>
        </w:tc>
      </w:tr>
      <w:tr w:rsidR="000B5C96" w:rsidRPr="00D5762F" w:rsidTr="003F606A">
        <w:tc>
          <w:tcPr>
            <w:cnfStyle w:val="001000000000" w:firstRow="0" w:lastRow="0" w:firstColumn="1" w:lastColumn="0" w:oddVBand="0" w:evenVBand="0" w:oddHBand="0" w:evenHBand="0" w:firstRowFirstColumn="0" w:firstRowLastColumn="0" w:lastRowFirstColumn="0" w:lastRowLastColumn="0"/>
            <w:tcW w:w="1590" w:type="pct"/>
          </w:tcPr>
          <w:p w:rsidR="000B5C96" w:rsidRPr="00D5762F" w:rsidRDefault="000B5C96" w:rsidP="003F606A">
            <w:pPr>
              <w:keepNext/>
              <w:keepLines/>
              <w:ind w:left="57" w:right="57"/>
              <w:rPr>
                <w:i/>
                <w:szCs w:val="20"/>
              </w:rPr>
            </w:pPr>
            <w:r w:rsidRPr="00D5762F">
              <w:rPr>
                <w:i/>
                <w:szCs w:val="20"/>
              </w:rPr>
              <w:t>Departmental expenses</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-14.0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-7.0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-7.0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-7.0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5762F">
              <w:rPr>
                <w:rFonts w:ascii="Calibri" w:hAnsi="Calibri"/>
                <w:b/>
                <w:i/>
              </w:rPr>
              <w:t>-35.0</w:t>
            </w:r>
          </w:p>
        </w:tc>
      </w:tr>
      <w:tr w:rsidR="000B5C96" w:rsidRPr="00D5762F"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shd w:val="clear" w:color="auto" w:fill="D7DDE9"/>
          </w:tcPr>
          <w:p w:rsidR="000B5C96" w:rsidRPr="00D5762F" w:rsidRDefault="000B5C96" w:rsidP="003F606A">
            <w:pPr>
              <w:keepNext/>
              <w:keepLines/>
              <w:ind w:left="57" w:right="57"/>
              <w:rPr>
                <w:b/>
                <w:szCs w:val="20"/>
              </w:rPr>
            </w:pPr>
            <w:r w:rsidRPr="00D5762F">
              <w:rPr>
                <w:b/>
                <w:szCs w:val="20"/>
              </w:rPr>
              <w:t>Total</w:t>
            </w:r>
          </w:p>
        </w:tc>
        <w:tc>
          <w:tcPr>
            <w:tcW w:w="682" w:type="pct"/>
            <w:shd w:val="clear" w:color="auto" w:fill="D7DDE9"/>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386.0</w:t>
            </w:r>
          </w:p>
        </w:tc>
        <w:tc>
          <w:tcPr>
            <w:tcW w:w="682" w:type="pct"/>
            <w:shd w:val="clear" w:color="auto" w:fill="D7DDE9"/>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553.0</w:t>
            </w:r>
          </w:p>
        </w:tc>
        <w:tc>
          <w:tcPr>
            <w:tcW w:w="682" w:type="pct"/>
            <w:shd w:val="clear" w:color="auto" w:fill="D7DDE9"/>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563.0</w:t>
            </w:r>
          </w:p>
        </w:tc>
        <w:tc>
          <w:tcPr>
            <w:tcW w:w="682" w:type="pct"/>
            <w:shd w:val="clear" w:color="auto" w:fill="D7DDE9"/>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583.0</w:t>
            </w:r>
          </w:p>
        </w:tc>
        <w:tc>
          <w:tcPr>
            <w:tcW w:w="682" w:type="pct"/>
            <w:shd w:val="clear" w:color="auto" w:fill="D7DDE9"/>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2,085.0</w:t>
            </w:r>
          </w:p>
        </w:tc>
      </w:tr>
    </w:tbl>
    <w:p w:rsidR="000B5C96" w:rsidRDefault="000B5C96" w:rsidP="00E54AEC">
      <w:pPr>
        <w:pStyle w:val="Footnotes"/>
        <w:numPr>
          <w:ilvl w:val="0"/>
          <w:numId w:val="319"/>
        </w:numPr>
        <w:ind w:left="284" w:hanging="284"/>
      </w:pPr>
      <w:r w:rsidRPr="00D5762F">
        <w:t>A positive sign for the fiscal balance indicates an increase in revenue or decrease in expenses or net capital investment in accrual terms. A negative number for the fiscal balance indicates a decrease in revenue or an increase in expenses or net capital investment in accrual terms.</w:t>
      </w:r>
    </w:p>
    <w:p w:rsidR="000B5C96" w:rsidRPr="00D5762F" w:rsidRDefault="000B5C96" w:rsidP="000B5C96">
      <w:pPr>
        <w:pStyle w:val="Footnotes"/>
        <w:numPr>
          <w:ilvl w:val="0"/>
          <w:numId w:val="7"/>
        </w:numPr>
        <w:ind w:left="284" w:hanging="284"/>
      </w:pPr>
      <w:r w:rsidRPr="00D5762F">
        <w:t>Figures may not sum to totals due to rounding.</w:t>
      </w:r>
    </w:p>
    <w:p w:rsidR="000B5C96" w:rsidRPr="00D5762F" w:rsidRDefault="000B5C96" w:rsidP="003F606A">
      <w:pPr>
        <w:pStyle w:val="Caption"/>
        <w:rPr>
          <w:vertAlign w:val="superscript"/>
        </w:rPr>
      </w:pPr>
      <w:r w:rsidRPr="00D5762F">
        <w:t>Table A2: Tackling Obesity: Sugar sweetened beverages—Underlying cash balance</w:t>
      </w:r>
      <w:r w:rsidRPr="00D5762F">
        <w:rPr>
          <w:vertAlign w:val="superscript"/>
        </w:rPr>
        <w:t>(a)(b)</w:t>
      </w:r>
    </w:p>
    <w:tbl>
      <w:tblPr>
        <w:tblStyle w:val="TableGrid7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D5762F"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808080"/>
              <w:right w:val="single" w:sz="4" w:space="0" w:color="788184"/>
            </w:tcBorders>
            <w:vAlign w:val="center"/>
          </w:tcPr>
          <w:p w:rsidR="000B5C96" w:rsidRPr="00D5762F" w:rsidRDefault="000B5C96" w:rsidP="003F606A">
            <w:pPr>
              <w:keepNext/>
              <w:keepLines/>
              <w:spacing w:line="240" w:lineRule="auto"/>
              <w:ind w:left="57" w:right="57"/>
              <w:rPr>
                <w:b/>
                <w:szCs w:val="20"/>
              </w:rPr>
            </w:pPr>
            <w:r w:rsidRPr="00D5762F">
              <w:rPr>
                <w:szCs w:val="20"/>
              </w:rPr>
              <w:t>($m)</w:t>
            </w:r>
          </w:p>
        </w:tc>
        <w:tc>
          <w:tcPr>
            <w:tcW w:w="682" w:type="pct"/>
            <w:tcBorders>
              <w:top w:val="single" w:sz="4" w:space="0" w:color="788184"/>
              <w:left w:val="single" w:sz="4" w:space="0" w:color="788184"/>
              <w:bottom w:val="single" w:sz="4" w:space="0" w:color="808080"/>
              <w:right w:val="single" w:sz="4" w:space="0" w:color="788184"/>
            </w:tcBorders>
            <w:vAlign w:val="center"/>
          </w:tcPr>
          <w:p w:rsidR="000B5C96" w:rsidRPr="00D5762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D5762F">
              <w:t>2016–17</w:t>
            </w:r>
          </w:p>
        </w:tc>
        <w:tc>
          <w:tcPr>
            <w:tcW w:w="682" w:type="pct"/>
            <w:tcBorders>
              <w:top w:val="single" w:sz="4" w:space="0" w:color="788184"/>
              <w:left w:val="single" w:sz="4" w:space="0" w:color="788184"/>
              <w:bottom w:val="single" w:sz="4" w:space="0" w:color="808080"/>
              <w:right w:val="single" w:sz="4" w:space="0" w:color="788184"/>
            </w:tcBorders>
            <w:vAlign w:val="center"/>
          </w:tcPr>
          <w:p w:rsidR="000B5C96" w:rsidRPr="00D5762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D5762F">
              <w:t>2017–18</w:t>
            </w:r>
          </w:p>
        </w:tc>
        <w:tc>
          <w:tcPr>
            <w:tcW w:w="682" w:type="pct"/>
            <w:tcBorders>
              <w:top w:val="single" w:sz="4" w:space="0" w:color="788184"/>
              <w:left w:val="single" w:sz="4" w:space="0" w:color="788184"/>
              <w:bottom w:val="single" w:sz="4" w:space="0" w:color="808080"/>
              <w:right w:val="single" w:sz="4" w:space="0" w:color="788184"/>
            </w:tcBorders>
            <w:vAlign w:val="center"/>
          </w:tcPr>
          <w:p w:rsidR="000B5C96" w:rsidRPr="00D5762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D5762F">
              <w:t>2018–19</w:t>
            </w:r>
          </w:p>
        </w:tc>
        <w:tc>
          <w:tcPr>
            <w:tcW w:w="682" w:type="pct"/>
            <w:tcBorders>
              <w:top w:val="single" w:sz="4" w:space="0" w:color="788184"/>
              <w:left w:val="single" w:sz="4" w:space="0" w:color="788184"/>
              <w:bottom w:val="single" w:sz="4" w:space="0" w:color="808080"/>
              <w:right w:val="single" w:sz="4" w:space="0" w:color="788184"/>
            </w:tcBorders>
            <w:vAlign w:val="center"/>
          </w:tcPr>
          <w:p w:rsidR="000B5C96" w:rsidRPr="00D5762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D5762F">
              <w:t>2019–20</w:t>
            </w:r>
          </w:p>
        </w:tc>
        <w:tc>
          <w:tcPr>
            <w:tcW w:w="682" w:type="pct"/>
            <w:tcBorders>
              <w:top w:val="single" w:sz="4" w:space="0" w:color="788184"/>
              <w:left w:val="single" w:sz="4" w:space="0" w:color="788184"/>
              <w:bottom w:val="single" w:sz="4" w:space="0" w:color="808080"/>
              <w:right w:val="single" w:sz="4" w:space="0" w:color="788184"/>
            </w:tcBorders>
            <w:vAlign w:val="center"/>
          </w:tcPr>
          <w:p w:rsidR="000B5C96" w:rsidRPr="00D5762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D5762F">
              <w:rPr>
                <w:b/>
              </w:rPr>
              <w:t>Total</w:t>
            </w:r>
            <w:r w:rsidRPr="00D5762F">
              <w:rPr>
                <w:b/>
                <w:szCs w:val="20"/>
              </w:rPr>
              <w:t xml:space="preserve"> to 2019–20</w:t>
            </w:r>
          </w:p>
        </w:tc>
      </w:tr>
      <w:tr w:rsidR="000B5C96" w:rsidRPr="00D5762F" w:rsidTr="003F606A">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shd w:val="clear" w:color="auto" w:fill="E9ECF3"/>
          </w:tcPr>
          <w:p w:rsidR="000B5C96" w:rsidRPr="00D5762F" w:rsidRDefault="000B5C96" w:rsidP="003F606A">
            <w:pPr>
              <w:keepNext/>
              <w:keepLines/>
              <w:ind w:left="57" w:right="57"/>
              <w:rPr>
                <w:b/>
                <w:szCs w:val="20"/>
              </w:rPr>
            </w:pPr>
            <w:r w:rsidRPr="00D5762F">
              <w:rPr>
                <w:b/>
                <w:szCs w:val="20"/>
              </w:rPr>
              <w:t>Receipts</w:t>
            </w:r>
          </w:p>
        </w:tc>
        <w:tc>
          <w:tcPr>
            <w:tcW w:w="682" w:type="pct"/>
            <w:shd w:val="clear" w:color="auto" w:fill="E9ECF3"/>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390.0</w:t>
            </w:r>
          </w:p>
        </w:tc>
        <w:tc>
          <w:tcPr>
            <w:tcW w:w="682" w:type="pct"/>
            <w:shd w:val="clear" w:color="auto" w:fill="E9ECF3"/>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535.0</w:t>
            </w:r>
          </w:p>
        </w:tc>
        <w:tc>
          <w:tcPr>
            <w:tcW w:w="682" w:type="pct"/>
            <w:shd w:val="clear" w:color="auto" w:fill="E9ECF3"/>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555.0</w:t>
            </w:r>
          </w:p>
        </w:tc>
        <w:tc>
          <w:tcPr>
            <w:tcW w:w="682" w:type="pct"/>
            <w:shd w:val="clear" w:color="auto" w:fill="E9ECF3"/>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570.0</w:t>
            </w:r>
          </w:p>
        </w:tc>
        <w:tc>
          <w:tcPr>
            <w:tcW w:w="682" w:type="pct"/>
            <w:shd w:val="clear" w:color="auto" w:fill="E9ECF3"/>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2,050.0</w:t>
            </w:r>
          </w:p>
        </w:tc>
      </w:tr>
      <w:tr w:rsidR="000B5C96" w:rsidRPr="00D5762F" w:rsidTr="003F606A">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c>
          <w:tcPr>
            <w:cnfStyle w:val="001000000000" w:firstRow="0" w:lastRow="0" w:firstColumn="1" w:lastColumn="0" w:oddVBand="0" w:evenVBand="0" w:oddHBand="0" w:evenHBand="0" w:firstRowFirstColumn="0" w:firstRowLastColumn="0" w:lastRowFirstColumn="0" w:lastRowLastColumn="0"/>
            <w:tcW w:w="1590" w:type="pct"/>
          </w:tcPr>
          <w:p w:rsidR="000B5C96" w:rsidRPr="00D5762F" w:rsidRDefault="000B5C96" w:rsidP="003F606A">
            <w:pPr>
              <w:keepNext/>
              <w:keepLines/>
              <w:ind w:left="57" w:right="57"/>
              <w:rPr>
                <w:i/>
                <w:szCs w:val="20"/>
              </w:rPr>
            </w:pPr>
            <w:r w:rsidRPr="00D5762F">
              <w:rPr>
                <w:i/>
                <w:szCs w:val="20"/>
              </w:rPr>
              <w:t>Sugar tax receipts</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400.0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550.0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570.0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590.0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5762F">
              <w:rPr>
                <w:rFonts w:ascii="Calibri" w:hAnsi="Calibri"/>
                <w:b/>
                <w:i/>
              </w:rPr>
              <w:t>2,110.0</w:t>
            </w:r>
          </w:p>
        </w:tc>
      </w:tr>
      <w:tr w:rsidR="000B5C96" w:rsidRPr="00D5762F" w:rsidTr="003F606A">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Borders>
              <w:bottom w:val="single" w:sz="4" w:space="0" w:color="808080"/>
            </w:tcBorders>
          </w:tcPr>
          <w:p w:rsidR="000B5C96" w:rsidRPr="00D5762F" w:rsidRDefault="000B5C96" w:rsidP="003F606A">
            <w:pPr>
              <w:keepNext/>
              <w:keepLines/>
              <w:ind w:left="57" w:right="57"/>
              <w:rPr>
                <w:i/>
                <w:szCs w:val="20"/>
              </w:rPr>
            </w:pPr>
            <w:r w:rsidRPr="00D5762F">
              <w:rPr>
                <w:i/>
                <w:szCs w:val="20"/>
              </w:rPr>
              <w:t>GST receipts</w:t>
            </w:r>
          </w:p>
        </w:tc>
        <w:tc>
          <w:tcPr>
            <w:tcW w:w="682" w:type="pct"/>
            <w:tcBorders>
              <w:bottom w:val="single" w:sz="4" w:space="0" w:color="808080"/>
            </w:tcBorders>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-10.0</w:t>
            </w:r>
          </w:p>
        </w:tc>
        <w:tc>
          <w:tcPr>
            <w:tcW w:w="682" w:type="pct"/>
            <w:tcBorders>
              <w:bottom w:val="single" w:sz="4" w:space="0" w:color="808080"/>
            </w:tcBorders>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-15.0</w:t>
            </w:r>
          </w:p>
        </w:tc>
        <w:tc>
          <w:tcPr>
            <w:tcW w:w="682" w:type="pct"/>
            <w:tcBorders>
              <w:bottom w:val="single" w:sz="4" w:space="0" w:color="808080"/>
            </w:tcBorders>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-15.0</w:t>
            </w:r>
          </w:p>
        </w:tc>
        <w:tc>
          <w:tcPr>
            <w:tcW w:w="682" w:type="pct"/>
            <w:tcBorders>
              <w:bottom w:val="single" w:sz="4" w:space="0" w:color="808080"/>
            </w:tcBorders>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-20.0</w:t>
            </w:r>
          </w:p>
        </w:tc>
        <w:tc>
          <w:tcPr>
            <w:tcW w:w="682" w:type="pct"/>
            <w:tcBorders>
              <w:bottom w:val="single" w:sz="4" w:space="0" w:color="808080"/>
            </w:tcBorders>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D5762F">
              <w:rPr>
                <w:rFonts w:ascii="Calibri" w:hAnsi="Calibri"/>
                <w:b/>
                <w:i/>
              </w:rPr>
              <w:t>-60.0</w:t>
            </w:r>
          </w:p>
        </w:tc>
      </w:tr>
      <w:tr w:rsidR="000B5C96" w:rsidRPr="00D5762F" w:rsidTr="003F606A">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c>
          <w:tcPr>
            <w:cnfStyle w:val="001000000000" w:firstRow="0" w:lastRow="0" w:firstColumn="1" w:lastColumn="0" w:oddVBand="0" w:evenVBand="0" w:oddHBand="0" w:evenHBand="0" w:firstRowFirstColumn="0" w:firstRowLastColumn="0" w:lastRowFirstColumn="0" w:lastRowLastColumn="0"/>
            <w:tcW w:w="1590" w:type="pct"/>
            <w:shd w:val="clear" w:color="auto" w:fill="E9ECF3"/>
          </w:tcPr>
          <w:p w:rsidR="000B5C96" w:rsidRPr="00D5762F" w:rsidRDefault="000B5C96" w:rsidP="003F606A">
            <w:pPr>
              <w:keepNext/>
              <w:keepLines/>
              <w:ind w:left="57" w:right="57"/>
              <w:rPr>
                <w:b/>
                <w:szCs w:val="20"/>
              </w:rPr>
            </w:pPr>
            <w:r w:rsidRPr="00D5762F">
              <w:rPr>
                <w:b/>
                <w:szCs w:val="20"/>
              </w:rPr>
              <w:t>Outlays</w:t>
            </w:r>
          </w:p>
        </w:tc>
        <w:tc>
          <w:tcPr>
            <w:tcW w:w="682" w:type="pct"/>
            <w:shd w:val="clear" w:color="auto" w:fill="E9ECF3"/>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5762F">
              <w:rPr>
                <w:rFonts w:ascii="Calibri" w:hAnsi="Calibri"/>
                <w:b/>
              </w:rPr>
              <w:t>-4.0</w:t>
            </w:r>
          </w:p>
        </w:tc>
        <w:tc>
          <w:tcPr>
            <w:tcW w:w="682" w:type="pct"/>
            <w:shd w:val="clear" w:color="auto" w:fill="E9ECF3"/>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5762F">
              <w:rPr>
                <w:rFonts w:ascii="Calibri" w:hAnsi="Calibri"/>
                <w:b/>
              </w:rPr>
              <w:t>8.0</w:t>
            </w:r>
          </w:p>
        </w:tc>
        <w:tc>
          <w:tcPr>
            <w:tcW w:w="682" w:type="pct"/>
            <w:shd w:val="clear" w:color="auto" w:fill="E9ECF3"/>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5762F">
              <w:rPr>
                <w:rFonts w:ascii="Calibri" w:hAnsi="Calibri"/>
                <w:b/>
              </w:rPr>
              <w:t>8.0</w:t>
            </w:r>
          </w:p>
        </w:tc>
        <w:tc>
          <w:tcPr>
            <w:tcW w:w="682" w:type="pct"/>
            <w:shd w:val="clear" w:color="auto" w:fill="E9ECF3"/>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5762F">
              <w:rPr>
                <w:rFonts w:ascii="Calibri" w:hAnsi="Calibri"/>
                <w:b/>
              </w:rPr>
              <w:t>13.0</w:t>
            </w:r>
          </w:p>
        </w:tc>
        <w:tc>
          <w:tcPr>
            <w:tcW w:w="682" w:type="pct"/>
            <w:shd w:val="clear" w:color="auto" w:fill="E9ECF3"/>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D5762F">
              <w:rPr>
                <w:rFonts w:ascii="Calibri" w:hAnsi="Calibri"/>
                <w:b/>
              </w:rPr>
              <w:t>25.0</w:t>
            </w:r>
          </w:p>
        </w:tc>
      </w:tr>
      <w:tr w:rsidR="000B5C96" w:rsidRPr="00D5762F" w:rsidTr="003F606A">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pct"/>
          </w:tcPr>
          <w:p w:rsidR="000B5C96" w:rsidRPr="00D5762F" w:rsidRDefault="000B5C96" w:rsidP="003F606A">
            <w:pPr>
              <w:keepNext/>
              <w:keepLines/>
              <w:ind w:left="57" w:right="57"/>
              <w:rPr>
                <w:i/>
                <w:szCs w:val="20"/>
              </w:rPr>
            </w:pPr>
            <w:r w:rsidRPr="00D5762F">
              <w:rPr>
                <w:i/>
                <w:szCs w:val="20"/>
              </w:rPr>
              <w:t>Administered - GST outlays</w:t>
            </w:r>
          </w:p>
        </w:tc>
        <w:tc>
          <w:tcPr>
            <w:tcW w:w="682" w:type="pct"/>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10.0</w:t>
            </w:r>
          </w:p>
        </w:tc>
        <w:tc>
          <w:tcPr>
            <w:tcW w:w="682" w:type="pct"/>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15.0</w:t>
            </w:r>
          </w:p>
        </w:tc>
        <w:tc>
          <w:tcPr>
            <w:tcW w:w="682" w:type="pct"/>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15.0</w:t>
            </w:r>
          </w:p>
        </w:tc>
        <w:tc>
          <w:tcPr>
            <w:tcW w:w="682" w:type="pct"/>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D5762F">
              <w:rPr>
                <w:rFonts w:ascii="Calibri" w:hAnsi="Calibri"/>
                <w:i/>
              </w:rPr>
              <w:t>20.0</w:t>
            </w:r>
          </w:p>
        </w:tc>
        <w:tc>
          <w:tcPr>
            <w:tcW w:w="682" w:type="pct"/>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D5762F">
              <w:rPr>
                <w:rFonts w:ascii="Calibri" w:hAnsi="Calibri"/>
                <w:b/>
                <w:i/>
              </w:rPr>
              <w:t>60.0</w:t>
            </w:r>
          </w:p>
        </w:tc>
      </w:tr>
      <w:tr w:rsidR="000B5C96" w:rsidRPr="00D5762F" w:rsidTr="003F606A">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c>
          <w:tcPr>
            <w:cnfStyle w:val="001000000000" w:firstRow="0" w:lastRow="0" w:firstColumn="1" w:lastColumn="0" w:oddVBand="0" w:evenVBand="0" w:oddHBand="0" w:evenHBand="0" w:firstRowFirstColumn="0" w:firstRowLastColumn="0" w:lastRowFirstColumn="0" w:lastRowLastColumn="0"/>
            <w:tcW w:w="1590" w:type="pct"/>
          </w:tcPr>
          <w:p w:rsidR="000B5C96" w:rsidRPr="00D5762F" w:rsidRDefault="000B5C96" w:rsidP="003F606A">
            <w:pPr>
              <w:keepNext/>
              <w:keepLines/>
              <w:ind w:left="57" w:right="57"/>
              <w:rPr>
                <w:i/>
                <w:szCs w:val="20"/>
              </w:rPr>
            </w:pPr>
            <w:r w:rsidRPr="00D5762F">
              <w:rPr>
                <w:i/>
                <w:szCs w:val="20"/>
              </w:rPr>
              <w:t>Departmental outlays</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-14.0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-7.0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-7.0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D5762F">
              <w:rPr>
                <w:rFonts w:ascii="Calibri" w:hAnsi="Calibri"/>
                <w:i/>
              </w:rPr>
              <w:t>-7.0</w:t>
            </w:r>
          </w:p>
        </w:tc>
        <w:tc>
          <w:tcPr>
            <w:tcW w:w="682" w:type="pct"/>
          </w:tcPr>
          <w:p w:rsidR="000B5C96" w:rsidRPr="00D5762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D5762F">
              <w:rPr>
                <w:rFonts w:ascii="Calibri" w:hAnsi="Calibri"/>
                <w:b/>
                <w:i/>
              </w:rPr>
              <w:t>-35.0</w:t>
            </w:r>
          </w:p>
        </w:tc>
      </w:tr>
      <w:tr w:rsidR="000B5C96" w:rsidRPr="00D5762F"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D5762F" w:rsidRDefault="000B5C96" w:rsidP="003F606A">
            <w:pPr>
              <w:keepNext/>
              <w:keepLines/>
              <w:ind w:left="57" w:right="57"/>
              <w:rPr>
                <w:b/>
                <w:szCs w:val="20"/>
              </w:rPr>
            </w:pPr>
            <w:r w:rsidRPr="00D5762F">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386.0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543.0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563.0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583.0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D5762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D5762F">
              <w:rPr>
                <w:rFonts w:ascii="Calibri" w:hAnsi="Calibri"/>
                <w:b/>
              </w:rPr>
              <w:t>2,075.0</w:t>
            </w:r>
          </w:p>
        </w:tc>
      </w:tr>
    </w:tbl>
    <w:p w:rsidR="000B5C96" w:rsidRDefault="000B5C96" w:rsidP="00E54AEC">
      <w:pPr>
        <w:pStyle w:val="Footnotes"/>
        <w:numPr>
          <w:ilvl w:val="0"/>
          <w:numId w:val="320"/>
        </w:numPr>
        <w:ind w:left="284" w:hanging="284"/>
      </w:pPr>
      <w:r w:rsidRPr="00D5762F">
        <w:t>A positive number for the underlying cash balance indicates an increase in receipts or a decrease in outlays or net capital investment in cash terms. A negative number for the fiscal balance indicates a decrease in receipts or an increase in outlays or net capital investment in cash terms.</w:t>
      </w:r>
    </w:p>
    <w:p w:rsidR="000B5C96" w:rsidRPr="00D5762F" w:rsidRDefault="000B5C96" w:rsidP="000B5C96">
      <w:pPr>
        <w:pStyle w:val="Footnotes"/>
        <w:numPr>
          <w:ilvl w:val="0"/>
          <w:numId w:val="7"/>
        </w:numPr>
        <w:ind w:left="284" w:hanging="284"/>
      </w:pPr>
      <w:r w:rsidRPr="00D5762F">
        <w:t>Figures may not sum to totals due to rounding.</w:t>
      </w:r>
    </w:p>
    <w:p w:rsidR="000B5C96" w:rsidRPr="00D5762F" w:rsidRDefault="000B5C96" w:rsidP="000B5C96">
      <w:pPr>
        <w:pStyle w:val="Footnotes"/>
        <w:numPr>
          <w:ilvl w:val="0"/>
          <w:numId w:val="7"/>
        </w:numPr>
        <w:ind w:left="284" w:hanging="284"/>
        <w:sectPr w:rsidR="000B5C96" w:rsidRPr="00D5762F"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21" w:name="_Toc458001990"/>
      <w:bookmarkStart w:id="222" w:name="_Toc458069475"/>
      <w:r>
        <w:t>GRN085: Safe Schools Coalition Australia</w:t>
      </w:r>
      <w:bookmarkEnd w:id="221"/>
      <w:bookmarkEnd w:id="222"/>
    </w:p>
    <w:p w:rsidR="000B5C96" w:rsidRDefault="000B5C96" w:rsidP="003F606A">
      <w:pPr>
        <w:pStyle w:val="BodyText"/>
      </w:pPr>
      <w:r>
        <w:rPr>
          <w:noProof/>
          <w:lang w:eastAsia="en-AU"/>
        </w:rPr>
        <w:drawing>
          <wp:inline distT="0" distB="0" distL="0" distR="0" wp14:anchorId="47681DED" wp14:editId="0050E07F">
            <wp:extent cx="2696845" cy="572135"/>
            <wp:effectExtent l="0" t="0" r="8255" b="0"/>
            <wp:docPr id="42" name="Picture 4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C8771F" w:rsidRDefault="000B5C96" w:rsidP="000B5C96">
      <w:pPr>
        <w:pStyle w:val="Heading6"/>
        <w:numPr>
          <w:ilvl w:val="0"/>
          <w:numId w:val="5"/>
        </w:numPr>
        <w:tabs>
          <w:tab w:val="right" w:pos="1418"/>
          <w:tab w:val="right" w:pos="1701"/>
          <w:tab w:val="right" w:pos="1985"/>
        </w:tabs>
      </w:pPr>
      <w:r w:rsidRPr="00C8771F">
        <w:t>Policy costing—during the caretaker period for the 2016 general election</w:t>
      </w:r>
    </w:p>
    <w:tbl>
      <w:tblPr>
        <w:tblStyle w:val="TableGrid78"/>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EA7F7A" w:rsidRDefault="000B5C96" w:rsidP="003F606A">
            <w:pPr>
              <w:pStyle w:val="PullOutBoxHeading"/>
              <w:rPr>
                <w:b/>
              </w:rPr>
            </w:pPr>
            <w:r w:rsidRPr="00EA7F7A">
              <w:rPr>
                <w:b/>
              </w:rPr>
              <w:t>Name of proposal:</w:t>
            </w:r>
          </w:p>
        </w:tc>
        <w:tc>
          <w:tcPr>
            <w:tcW w:w="5335" w:type="dxa"/>
          </w:tcPr>
          <w:p w:rsidR="000B5C96" w:rsidRPr="00EA7F7A" w:rsidRDefault="000B5C96" w:rsidP="003F606A">
            <w:pPr>
              <w:pStyle w:val="PullOutBoxHeading"/>
              <w:cnfStyle w:val="100000000000" w:firstRow="1" w:lastRow="0" w:firstColumn="0" w:lastColumn="0" w:oddVBand="0" w:evenVBand="0" w:oddHBand="0" w:evenHBand="0" w:firstRowFirstColumn="0" w:firstRowLastColumn="0" w:lastRowFirstColumn="0" w:lastRowLastColumn="0"/>
              <w:rPr>
                <w:b/>
              </w:rPr>
            </w:pPr>
            <w:r w:rsidRPr="00EA7F7A">
              <w:rPr>
                <w:b/>
              </w:rPr>
              <w:t>Safe Schools</w:t>
            </w:r>
          </w:p>
        </w:tc>
      </w:tr>
      <w:tr w:rsidR="000B5C96" w:rsidRPr="00C8771F"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C8771F" w:rsidRDefault="000B5C96" w:rsidP="003F606A">
            <w:pPr>
              <w:pStyle w:val="PullOutBoxBodyText"/>
            </w:pPr>
            <w:r w:rsidRPr="00C8771F">
              <w:t>Summary of proposal:</w:t>
            </w:r>
          </w:p>
        </w:tc>
        <w:tc>
          <w:tcPr>
            <w:tcW w:w="5335" w:type="dxa"/>
          </w:tcPr>
          <w:p w:rsidR="000B5C96" w:rsidRPr="00C8771F"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C8771F">
              <w:t>The proposal would expand funding to the Safe Schools program to $8 million annually.</w:t>
            </w:r>
          </w:p>
          <w:p w:rsidR="000B5C96" w:rsidRPr="00C8771F"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C8771F">
              <w:t>The proposal would have</w:t>
            </w:r>
            <w:r>
              <w:t xml:space="preserve"> effect from 2016-17 until 2019</w:t>
            </w:r>
            <w:r>
              <w:noBreakHyphen/>
            </w:r>
            <w:r w:rsidRPr="00C8771F">
              <w:t>20.</w:t>
            </w:r>
          </w:p>
        </w:tc>
      </w:tr>
      <w:tr w:rsidR="000B5C96" w:rsidRPr="00C8771F"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C8771F" w:rsidRDefault="000B5C96" w:rsidP="003F606A">
            <w:pPr>
              <w:pStyle w:val="PullOutBoxBodyText"/>
            </w:pPr>
            <w:r w:rsidRPr="00C8771F">
              <w:t>Person/party requesting costing:</w:t>
            </w:r>
          </w:p>
        </w:tc>
        <w:tc>
          <w:tcPr>
            <w:tcW w:w="5335" w:type="dxa"/>
          </w:tcPr>
          <w:p w:rsidR="000B5C96" w:rsidRPr="00C8771F"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C8771F">
              <w:t>Senator Richard Di Natale, Australian Greens</w:t>
            </w:r>
          </w:p>
        </w:tc>
      </w:tr>
      <w:tr w:rsidR="000B5C96" w:rsidRPr="00C8771F"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C8771F" w:rsidRDefault="000B5C96" w:rsidP="003F606A">
            <w:pPr>
              <w:pStyle w:val="PullOutBoxBodyText"/>
            </w:pPr>
            <w:r w:rsidRPr="00C8771F">
              <w:t>Date of public release of policy:</w:t>
            </w:r>
          </w:p>
        </w:tc>
        <w:tc>
          <w:tcPr>
            <w:tcW w:w="5335" w:type="dxa"/>
          </w:tcPr>
          <w:p w:rsidR="000B5C96" w:rsidRPr="00C8771F"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C8771F">
              <w:t>17 May 2016</w:t>
            </w:r>
          </w:p>
          <w:p w:rsidR="000B5C96" w:rsidRPr="00C8771F" w:rsidRDefault="00E46526" w:rsidP="003F606A">
            <w:pPr>
              <w:pStyle w:val="PullOutBoxBodyText"/>
              <w:cnfStyle w:val="000000100000" w:firstRow="0" w:lastRow="0" w:firstColumn="0" w:lastColumn="0" w:oddVBand="0" w:evenVBand="0" w:oddHBand="1" w:evenHBand="0" w:firstRowFirstColumn="0" w:firstRowLastColumn="0" w:lastRowFirstColumn="0" w:lastRowLastColumn="0"/>
              <w:rPr>
                <w:sz w:val="20"/>
              </w:rPr>
            </w:pPr>
            <w:hyperlink r:id="rId597" w:history="1">
              <w:r w:rsidR="000B5C96" w:rsidRPr="00C8771F">
                <w:rPr>
                  <w:color w:val="0000FF"/>
                  <w:u w:val="single"/>
                </w:rPr>
                <w:t>http://robert-simms.greensmps.org.au/content/media-releases/australian-greens-launch-lgbtiq-policy-package-idahobit</w:t>
              </w:r>
            </w:hyperlink>
          </w:p>
        </w:tc>
      </w:tr>
      <w:tr w:rsidR="000B5C96" w:rsidRPr="00C8771F"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C8771F" w:rsidRDefault="000B5C96" w:rsidP="003F606A">
            <w:pPr>
              <w:pStyle w:val="PullOutBoxBodyText"/>
            </w:pPr>
            <w:r w:rsidRPr="00C8771F">
              <w:t>Date costing request received:</w:t>
            </w:r>
          </w:p>
        </w:tc>
        <w:tc>
          <w:tcPr>
            <w:tcW w:w="5335" w:type="dxa"/>
          </w:tcPr>
          <w:p w:rsidR="000B5C96" w:rsidRPr="00C8771F"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C8771F">
              <w:t>1 July 2016</w:t>
            </w:r>
          </w:p>
        </w:tc>
      </w:tr>
      <w:tr w:rsidR="000B5C96" w:rsidRPr="00C8771F"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C8771F" w:rsidRDefault="000B5C96" w:rsidP="003F606A">
            <w:pPr>
              <w:pStyle w:val="PullOutBoxBodyText"/>
            </w:pPr>
            <w:r w:rsidRPr="00C8771F">
              <w:t>Date costing completed:</w:t>
            </w:r>
          </w:p>
        </w:tc>
        <w:tc>
          <w:tcPr>
            <w:tcW w:w="5335" w:type="dxa"/>
          </w:tcPr>
          <w:p w:rsidR="000B5C96" w:rsidRPr="00C8771F"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C8771F">
              <w:t>1 July 2016</w:t>
            </w:r>
          </w:p>
        </w:tc>
      </w:tr>
      <w:tr w:rsidR="000B5C96" w:rsidRPr="00C8771F"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C8771F" w:rsidRDefault="000B5C96" w:rsidP="003F606A">
            <w:pPr>
              <w:pStyle w:val="PullOutBoxBodyText"/>
            </w:pPr>
            <w:r w:rsidRPr="00C8771F">
              <w:t>Expiry date for the costing:</w:t>
            </w:r>
          </w:p>
        </w:tc>
        <w:tc>
          <w:tcPr>
            <w:tcW w:w="5335" w:type="dxa"/>
          </w:tcPr>
          <w:p w:rsidR="000B5C96" w:rsidRPr="00C8771F"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C8771F">
              <w:t>Release of the next economic and fiscal outlook report</w:t>
            </w:r>
          </w:p>
        </w:tc>
      </w:tr>
    </w:tbl>
    <w:p w:rsidR="000B5C96" w:rsidRPr="00C8771F" w:rsidRDefault="000B5C96" w:rsidP="003F606A">
      <w:pPr>
        <w:pStyle w:val="CostingsH7"/>
      </w:pPr>
      <w:r w:rsidRPr="00C8771F">
        <w:t>Costing overview</w:t>
      </w:r>
    </w:p>
    <w:p w:rsidR="000B5C96" w:rsidRPr="00C8771F" w:rsidRDefault="000B5C96" w:rsidP="003F606A">
      <w:pPr>
        <w:pStyle w:val="BodyText"/>
      </w:pPr>
      <w:r w:rsidRPr="00C8771F">
        <w:t>This proposal would be expected to decrease both the fiscal and underlying cash balances by $31.5 million over the 2016-17 Budget forward estimates period.  This impact is due to an increase in administered expenses of $30.0 million and in departmental expenses of $1.5 million.</w:t>
      </w:r>
    </w:p>
    <w:p w:rsidR="000B5C96" w:rsidRPr="00C8771F" w:rsidRDefault="000B5C96" w:rsidP="003F606A">
      <w:pPr>
        <w:pStyle w:val="BodyText"/>
      </w:pPr>
      <w:r w:rsidRPr="00C8771F">
        <w:t xml:space="preserve">The proposal would not have an impact beyond the 2016-17 Budget forward estimates period as the proposal would terminate at the end of 2019-20 as specified in the request.  A breakdown of the financial implications of the proposal across the forward estimates period is provided at </w:t>
      </w:r>
      <w:r w:rsidRPr="00C8771F">
        <w:rPr>
          <w:u w:val="single"/>
        </w:rPr>
        <w:t>Attachment A</w:t>
      </w:r>
      <w:r w:rsidRPr="00C8771F">
        <w:t>.</w:t>
      </w:r>
    </w:p>
    <w:p w:rsidR="000B5C96" w:rsidRDefault="000B5C96" w:rsidP="003F606A">
      <w:pPr>
        <w:pStyle w:val="BodyText"/>
      </w:pPr>
      <w:r w:rsidRPr="00C8771F">
        <w:t>The costing is considered to be of high reliability as it is based on specified capped amounts and the application of administrative costs based on similar programs.</w:t>
      </w:r>
    </w:p>
    <w:p w:rsidR="000B5C96" w:rsidRPr="00C8771F" w:rsidRDefault="000B5C96" w:rsidP="003F606A">
      <w:pPr>
        <w:pStyle w:val="Caption"/>
      </w:pPr>
      <w:r w:rsidRPr="00C8771F">
        <w:t>Table 1: Financial implications (outturn prices)</w:t>
      </w:r>
      <w:r w:rsidRPr="00C8771F">
        <w:rPr>
          <w:vertAlign w:val="superscript"/>
        </w:rPr>
        <w:t>(a)(b)</w:t>
      </w:r>
    </w:p>
    <w:tbl>
      <w:tblPr>
        <w:tblStyle w:val="TableGrid79"/>
        <w:tblW w:w="4993" w:type="pct"/>
        <w:tblLook w:val="04A0" w:firstRow="1" w:lastRow="0" w:firstColumn="1" w:lastColumn="0" w:noHBand="0" w:noVBand="1"/>
      </w:tblPr>
      <w:tblGrid>
        <w:gridCol w:w="2644"/>
        <w:gridCol w:w="1133"/>
        <w:gridCol w:w="1134"/>
        <w:gridCol w:w="1134"/>
        <w:gridCol w:w="1134"/>
        <w:gridCol w:w="1132"/>
      </w:tblGrid>
      <w:tr w:rsidR="000B5C96" w:rsidRPr="00C8771F"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center"/>
          </w:tcPr>
          <w:p w:rsidR="000B5C96" w:rsidRPr="00C8771F" w:rsidRDefault="000B5C96" w:rsidP="003F606A">
            <w:pPr>
              <w:keepNext/>
              <w:keepLines/>
              <w:spacing w:line="240" w:lineRule="auto"/>
              <w:ind w:left="57" w:right="57"/>
              <w:rPr>
                <w:sz w:val="20"/>
                <w:szCs w:val="20"/>
              </w:rPr>
            </w:pPr>
            <w:r w:rsidRPr="00C8771F">
              <w:rPr>
                <w:sz w:val="20"/>
                <w:szCs w:val="20"/>
              </w:rPr>
              <w:t>Impact on ($m)</w:t>
            </w:r>
          </w:p>
        </w:tc>
        <w:tc>
          <w:tcPr>
            <w:tcW w:w="682" w:type="pct"/>
            <w:vAlign w:val="center"/>
          </w:tcPr>
          <w:p w:rsidR="000B5C96" w:rsidRPr="00C8771F"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C8771F">
              <w:rPr>
                <w:sz w:val="20"/>
                <w:szCs w:val="20"/>
              </w:rPr>
              <w:t>2016</w:t>
            </w:r>
            <w:r w:rsidRPr="00C8771F">
              <w:rPr>
                <w:sz w:val="20"/>
                <w:szCs w:val="20"/>
              </w:rPr>
              <w:noBreakHyphen/>
              <w:t>17</w:t>
            </w:r>
          </w:p>
        </w:tc>
        <w:tc>
          <w:tcPr>
            <w:tcW w:w="682" w:type="pct"/>
            <w:vAlign w:val="center"/>
          </w:tcPr>
          <w:p w:rsidR="000B5C96" w:rsidRPr="00C8771F"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C8771F">
              <w:rPr>
                <w:sz w:val="20"/>
                <w:szCs w:val="20"/>
              </w:rPr>
              <w:t>2017</w:t>
            </w:r>
            <w:r w:rsidRPr="00C8771F">
              <w:rPr>
                <w:sz w:val="20"/>
                <w:szCs w:val="20"/>
              </w:rPr>
              <w:noBreakHyphen/>
              <w:t>18</w:t>
            </w:r>
          </w:p>
        </w:tc>
        <w:tc>
          <w:tcPr>
            <w:tcW w:w="682" w:type="pct"/>
            <w:vAlign w:val="center"/>
          </w:tcPr>
          <w:p w:rsidR="000B5C96" w:rsidRPr="00C8771F"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C8771F">
              <w:rPr>
                <w:sz w:val="20"/>
                <w:szCs w:val="20"/>
              </w:rPr>
              <w:t>2018</w:t>
            </w:r>
            <w:r w:rsidRPr="00C8771F">
              <w:rPr>
                <w:sz w:val="20"/>
                <w:szCs w:val="20"/>
              </w:rPr>
              <w:noBreakHyphen/>
              <w:t>19</w:t>
            </w:r>
          </w:p>
        </w:tc>
        <w:tc>
          <w:tcPr>
            <w:tcW w:w="682" w:type="pct"/>
            <w:vAlign w:val="center"/>
          </w:tcPr>
          <w:p w:rsidR="000B5C96" w:rsidRPr="00C8771F"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C8771F">
              <w:rPr>
                <w:sz w:val="20"/>
                <w:szCs w:val="20"/>
              </w:rPr>
              <w:t>2019</w:t>
            </w:r>
            <w:r w:rsidRPr="00C8771F">
              <w:rPr>
                <w:sz w:val="20"/>
                <w:szCs w:val="20"/>
              </w:rPr>
              <w:noBreakHyphen/>
              <w:t>20</w:t>
            </w:r>
          </w:p>
        </w:tc>
        <w:tc>
          <w:tcPr>
            <w:tcW w:w="681" w:type="pct"/>
            <w:vAlign w:val="center"/>
          </w:tcPr>
          <w:p w:rsidR="000B5C96" w:rsidRPr="00C8771F"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C8771F">
              <w:rPr>
                <w:sz w:val="20"/>
                <w:szCs w:val="20"/>
              </w:rPr>
              <w:t>Total</w:t>
            </w:r>
          </w:p>
        </w:tc>
      </w:tr>
      <w:tr w:rsidR="000B5C96" w:rsidRPr="00C8771F"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Align w:val="center"/>
          </w:tcPr>
          <w:p w:rsidR="000B5C96" w:rsidRPr="00C8771F" w:rsidRDefault="000B5C96" w:rsidP="003F606A">
            <w:pPr>
              <w:keepNext/>
              <w:keepLines/>
              <w:spacing w:line="240" w:lineRule="auto"/>
              <w:ind w:left="57" w:right="57"/>
              <w:rPr>
                <w:rFonts w:ascii="Calibri" w:hAnsi="Calibri"/>
                <w:sz w:val="20"/>
                <w:szCs w:val="20"/>
              </w:rPr>
            </w:pPr>
            <w:r w:rsidRPr="00C8771F">
              <w:rPr>
                <w:rFonts w:ascii="Calibri" w:hAnsi="Calibri"/>
                <w:sz w:val="20"/>
                <w:szCs w:val="20"/>
              </w:rPr>
              <w:t>Fiscal balance</w:t>
            </w:r>
          </w:p>
        </w:tc>
        <w:tc>
          <w:tcPr>
            <w:tcW w:w="682" w:type="pct"/>
            <w:vAlign w:val="bottom"/>
          </w:tcPr>
          <w:p w:rsidR="000B5C96" w:rsidRPr="00C8771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C8771F">
              <w:rPr>
                <w:rFonts w:ascii="Calibri" w:hAnsi="Calibri"/>
                <w:sz w:val="20"/>
              </w:rPr>
              <w:t>-6.3</w:t>
            </w:r>
          </w:p>
        </w:tc>
        <w:tc>
          <w:tcPr>
            <w:tcW w:w="682" w:type="pct"/>
            <w:vAlign w:val="bottom"/>
          </w:tcPr>
          <w:p w:rsidR="000B5C96" w:rsidRPr="00C8771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C8771F">
              <w:rPr>
                <w:rFonts w:ascii="Calibri" w:hAnsi="Calibri"/>
                <w:sz w:val="20"/>
              </w:rPr>
              <w:t>-8.4</w:t>
            </w:r>
          </w:p>
        </w:tc>
        <w:tc>
          <w:tcPr>
            <w:tcW w:w="682" w:type="pct"/>
            <w:vAlign w:val="bottom"/>
          </w:tcPr>
          <w:p w:rsidR="000B5C96" w:rsidRPr="00C8771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C8771F">
              <w:rPr>
                <w:rFonts w:ascii="Calibri" w:hAnsi="Calibri"/>
                <w:sz w:val="20"/>
              </w:rPr>
              <w:t>-8.4</w:t>
            </w:r>
          </w:p>
        </w:tc>
        <w:tc>
          <w:tcPr>
            <w:tcW w:w="682" w:type="pct"/>
            <w:vAlign w:val="bottom"/>
          </w:tcPr>
          <w:p w:rsidR="000B5C96" w:rsidRPr="00C8771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C8771F">
              <w:rPr>
                <w:rFonts w:ascii="Calibri" w:hAnsi="Calibri"/>
                <w:sz w:val="20"/>
              </w:rPr>
              <w:t>-8.4</w:t>
            </w:r>
          </w:p>
        </w:tc>
        <w:tc>
          <w:tcPr>
            <w:tcW w:w="681" w:type="pct"/>
            <w:vAlign w:val="center"/>
          </w:tcPr>
          <w:p w:rsidR="000B5C96" w:rsidRPr="00C8771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rPr>
            </w:pPr>
            <w:r w:rsidRPr="00C8771F">
              <w:rPr>
                <w:rFonts w:ascii="Calibri" w:hAnsi="Calibri"/>
                <w:b/>
                <w:sz w:val="20"/>
              </w:rPr>
              <w:t xml:space="preserve">-31.5 </w:t>
            </w:r>
          </w:p>
        </w:tc>
      </w:tr>
      <w:tr w:rsidR="000B5C96" w:rsidRPr="00C8771F" w:rsidTr="003F606A">
        <w:tc>
          <w:tcPr>
            <w:cnfStyle w:val="001000000000" w:firstRow="0" w:lastRow="0" w:firstColumn="1" w:lastColumn="0" w:oddVBand="0" w:evenVBand="0" w:oddHBand="0" w:evenHBand="0" w:firstRowFirstColumn="0" w:firstRowLastColumn="0" w:lastRowFirstColumn="0" w:lastRowLastColumn="0"/>
            <w:tcW w:w="1591" w:type="pct"/>
            <w:vAlign w:val="center"/>
          </w:tcPr>
          <w:p w:rsidR="000B5C96" w:rsidRPr="00C8771F" w:rsidRDefault="000B5C96" w:rsidP="003F606A">
            <w:pPr>
              <w:keepNext/>
              <w:keepLines/>
              <w:spacing w:line="240" w:lineRule="auto"/>
              <w:ind w:left="57" w:right="57"/>
              <w:rPr>
                <w:rFonts w:ascii="Calibri" w:hAnsi="Calibri"/>
                <w:sz w:val="20"/>
                <w:szCs w:val="20"/>
              </w:rPr>
            </w:pPr>
            <w:r w:rsidRPr="00C8771F">
              <w:rPr>
                <w:rFonts w:ascii="Calibri" w:hAnsi="Calibri"/>
                <w:sz w:val="20"/>
                <w:szCs w:val="20"/>
              </w:rPr>
              <w:t>Underlying cash balance</w:t>
            </w:r>
          </w:p>
        </w:tc>
        <w:tc>
          <w:tcPr>
            <w:tcW w:w="682" w:type="pct"/>
            <w:vAlign w:val="bottom"/>
          </w:tcPr>
          <w:p w:rsidR="000B5C96" w:rsidRPr="00C8771F"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8771F">
              <w:rPr>
                <w:rFonts w:ascii="Calibri" w:hAnsi="Calibri"/>
                <w:sz w:val="20"/>
              </w:rPr>
              <w:t>-6.3</w:t>
            </w:r>
          </w:p>
        </w:tc>
        <w:tc>
          <w:tcPr>
            <w:tcW w:w="682" w:type="pct"/>
            <w:vAlign w:val="bottom"/>
          </w:tcPr>
          <w:p w:rsidR="000B5C96" w:rsidRPr="00C8771F"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8771F">
              <w:rPr>
                <w:rFonts w:ascii="Calibri" w:hAnsi="Calibri"/>
                <w:sz w:val="20"/>
              </w:rPr>
              <w:t>-8.4</w:t>
            </w:r>
          </w:p>
        </w:tc>
        <w:tc>
          <w:tcPr>
            <w:tcW w:w="682" w:type="pct"/>
            <w:vAlign w:val="bottom"/>
          </w:tcPr>
          <w:p w:rsidR="000B5C96" w:rsidRPr="00C8771F"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8771F">
              <w:rPr>
                <w:rFonts w:ascii="Calibri" w:hAnsi="Calibri"/>
                <w:sz w:val="20"/>
              </w:rPr>
              <w:t>-8.4</w:t>
            </w:r>
          </w:p>
        </w:tc>
        <w:tc>
          <w:tcPr>
            <w:tcW w:w="682" w:type="pct"/>
            <w:vAlign w:val="bottom"/>
          </w:tcPr>
          <w:p w:rsidR="000B5C96" w:rsidRPr="00C8771F"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C8771F">
              <w:rPr>
                <w:rFonts w:ascii="Calibri" w:hAnsi="Calibri"/>
                <w:sz w:val="20"/>
              </w:rPr>
              <w:t>-8.4</w:t>
            </w:r>
          </w:p>
        </w:tc>
        <w:tc>
          <w:tcPr>
            <w:tcW w:w="681" w:type="pct"/>
            <w:vAlign w:val="center"/>
          </w:tcPr>
          <w:p w:rsidR="000B5C96" w:rsidRPr="00C8771F"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C8771F">
              <w:rPr>
                <w:rFonts w:ascii="Calibri" w:hAnsi="Calibri"/>
                <w:b/>
                <w:sz w:val="20"/>
              </w:rPr>
              <w:t xml:space="preserve">-31.5 </w:t>
            </w:r>
          </w:p>
        </w:tc>
      </w:tr>
    </w:tbl>
    <w:p w:rsidR="000B5C96" w:rsidRPr="00C8771F" w:rsidRDefault="000B5C96" w:rsidP="00E54AEC">
      <w:pPr>
        <w:pStyle w:val="Footnotes"/>
        <w:numPr>
          <w:ilvl w:val="0"/>
          <w:numId w:val="321"/>
        </w:numPr>
        <w:ind w:left="284" w:hanging="284"/>
      </w:pPr>
      <w:r w:rsidRPr="00C8771F">
        <w:t>A positive number represents an increase in the relevant budget balance, a negative number represents a decrease.</w:t>
      </w:r>
      <w:r w:rsidRPr="00E54AEC">
        <w:rPr>
          <w:color w:val="1F497D"/>
        </w:rPr>
        <w:t xml:space="preserve"> </w:t>
      </w:r>
    </w:p>
    <w:p w:rsidR="000B5C96" w:rsidRPr="00C8771F" w:rsidRDefault="000B5C96" w:rsidP="000B5C96">
      <w:pPr>
        <w:pStyle w:val="Footnotes"/>
        <w:numPr>
          <w:ilvl w:val="0"/>
          <w:numId w:val="7"/>
        </w:numPr>
        <w:ind w:left="284" w:hanging="284"/>
      </w:pPr>
      <w:r w:rsidRPr="00C8771F">
        <w:t>Figures may not sum to totals due to rounding.</w:t>
      </w:r>
    </w:p>
    <w:p w:rsidR="000B5C96" w:rsidRPr="00C8771F" w:rsidRDefault="000B5C96" w:rsidP="003F606A">
      <w:pPr>
        <w:pStyle w:val="CostingsH7"/>
      </w:pPr>
      <w:r w:rsidRPr="00C8771F">
        <w:t>Key assumptions</w:t>
      </w:r>
    </w:p>
    <w:p w:rsidR="000B5C96" w:rsidRPr="00C8771F" w:rsidRDefault="000B5C96" w:rsidP="003F606A">
      <w:pPr>
        <w:pStyle w:val="BodyText"/>
      </w:pPr>
      <w:r w:rsidRPr="00C8771F">
        <w:t>Any contributions from the state and territory governments would have no impact on the specified Commonwealth funding for the program.</w:t>
      </w:r>
    </w:p>
    <w:p w:rsidR="000B5C96" w:rsidRPr="00C8771F" w:rsidRDefault="000B5C96" w:rsidP="003F606A">
      <w:pPr>
        <w:pStyle w:val="CostingsH7"/>
      </w:pPr>
      <w:r w:rsidRPr="00C8771F">
        <w:t>Methodology</w:t>
      </w:r>
    </w:p>
    <w:p w:rsidR="000B5C96" w:rsidRPr="00C8771F" w:rsidRDefault="000B5C96" w:rsidP="003F606A">
      <w:pPr>
        <w:pStyle w:val="BodyText"/>
      </w:pPr>
      <w:r w:rsidRPr="00C8771F">
        <w:t>Administered expenditure estimates are as specified in the request taking into account that the program already includes $2.0 million of administered and some departmental funding in 2016</w:t>
      </w:r>
      <w:r w:rsidRPr="00C8771F">
        <w:noBreakHyphen/>
        <w:t>17.  The departmental expenditure estimates are in addition to capped amounts, as specified, and are based on other like initiatives and estimates account for the net effect of indexation parameters and the efficiency dividend, in accordance with the Department of Finance’s costing practices.</w:t>
      </w:r>
    </w:p>
    <w:p w:rsidR="000B5C96" w:rsidRPr="00C8771F" w:rsidRDefault="000B5C96" w:rsidP="003F606A">
      <w:pPr>
        <w:pStyle w:val="CostingsH7"/>
      </w:pPr>
      <w:r w:rsidRPr="00C8771F">
        <w:t>Data sources</w:t>
      </w:r>
    </w:p>
    <w:p w:rsidR="000B5C96" w:rsidRPr="00CA3772" w:rsidRDefault="000B5C96" w:rsidP="000B5C96">
      <w:pPr>
        <w:pStyle w:val="ListBullet"/>
        <w:numPr>
          <w:ilvl w:val="0"/>
          <w:numId w:val="123"/>
        </w:numPr>
        <w:ind w:left="454" w:hanging="454"/>
        <w:rPr>
          <w:lang w:eastAsia="en-AU"/>
        </w:rPr>
      </w:pPr>
      <w:r w:rsidRPr="00CA3772">
        <w:rPr>
          <w:lang w:eastAsia="en-AU"/>
        </w:rPr>
        <w:t>The Department of Finance provided indexation and efficiency dividend parameters.</w:t>
      </w:r>
    </w:p>
    <w:p w:rsidR="000B5C96" w:rsidRDefault="000B5C96" w:rsidP="000B5C96">
      <w:pPr>
        <w:pStyle w:val="ListBullet"/>
        <w:numPr>
          <w:ilvl w:val="0"/>
          <w:numId w:val="123"/>
        </w:numPr>
        <w:ind w:left="454" w:hanging="454"/>
        <w:rPr>
          <w:rFonts w:eastAsia="Calibri"/>
        </w:rPr>
        <w:sectPr w:rsidR="000B5C96" w:rsidSect="008430E8">
          <w:pgSz w:w="11907" w:h="16839" w:code="9"/>
          <w:pgMar w:top="1361" w:right="1797" w:bottom="1474" w:left="1797" w:header="283" w:footer="454" w:gutter="0"/>
          <w:cols w:space="708"/>
          <w:docGrid w:linePitch="360"/>
        </w:sectPr>
      </w:pPr>
      <w:r w:rsidRPr="00CA3772">
        <w:rPr>
          <w:rFonts w:eastAsia="Calibri"/>
        </w:rPr>
        <w:t>The Department of Education and Training (DET) advised that the Safe Schools program includes $2.0 million in administered funding, and that this funding terminates on 30 June 2017.</w:t>
      </w:r>
    </w:p>
    <w:p w:rsidR="000B5C96" w:rsidRPr="00C8771F" w:rsidRDefault="000B5C96" w:rsidP="000B5C96">
      <w:pPr>
        <w:pStyle w:val="Heading6"/>
        <w:numPr>
          <w:ilvl w:val="0"/>
          <w:numId w:val="5"/>
        </w:numPr>
        <w:tabs>
          <w:tab w:val="right" w:pos="1418"/>
          <w:tab w:val="right" w:pos="1701"/>
          <w:tab w:val="right" w:pos="1985"/>
        </w:tabs>
      </w:pPr>
      <w:r w:rsidRPr="00C8771F">
        <w:t>Attachment A: Safe Schools—financial implications</w:t>
      </w:r>
    </w:p>
    <w:p w:rsidR="000B5C96" w:rsidRPr="00C8771F" w:rsidRDefault="000B5C96" w:rsidP="003F606A">
      <w:pPr>
        <w:pStyle w:val="Caption"/>
        <w:rPr>
          <w:vertAlign w:val="superscript"/>
        </w:rPr>
      </w:pPr>
      <w:r w:rsidRPr="00C8771F">
        <w:t>Table A1: Safe Schools—Financial implications (outturn prices)</w:t>
      </w:r>
      <w:r w:rsidRPr="00C8771F">
        <w:rPr>
          <w:vertAlign w:val="superscript"/>
        </w:rPr>
        <w:t>(a)(b)</w:t>
      </w:r>
    </w:p>
    <w:tbl>
      <w:tblPr>
        <w:tblStyle w:val="TableGrid80"/>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C8771F"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C8771F" w:rsidRDefault="000B5C96" w:rsidP="003F606A">
            <w:pPr>
              <w:keepNext/>
              <w:keepLines/>
              <w:spacing w:line="240" w:lineRule="auto"/>
              <w:ind w:left="57" w:right="57"/>
              <w:rPr>
                <w:sz w:val="20"/>
                <w:szCs w:val="20"/>
              </w:rPr>
            </w:pPr>
            <w:r w:rsidRPr="00C8771F">
              <w:rPr>
                <w:sz w:val="20"/>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C8771F" w:rsidRDefault="000B5C96" w:rsidP="003F606A">
            <w:pPr>
              <w:keepNext/>
              <w:keepLines/>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 w:val="20"/>
                <w:szCs w:val="20"/>
              </w:rPr>
            </w:pPr>
            <w:r w:rsidRPr="00C8771F">
              <w:rPr>
                <w:sz w:val="20"/>
              </w:rPr>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C8771F" w:rsidRDefault="000B5C96" w:rsidP="003F606A">
            <w:pPr>
              <w:keepNext/>
              <w:keepLines/>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 w:val="20"/>
                <w:szCs w:val="20"/>
              </w:rPr>
            </w:pPr>
            <w:r w:rsidRPr="00C8771F">
              <w:rPr>
                <w:sz w:val="20"/>
              </w:rPr>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C8771F" w:rsidRDefault="000B5C96" w:rsidP="003F606A">
            <w:pPr>
              <w:keepNext/>
              <w:keepLines/>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 w:val="20"/>
                <w:szCs w:val="20"/>
              </w:rPr>
            </w:pPr>
            <w:r w:rsidRPr="00C8771F">
              <w:rPr>
                <w:sz w:val="20"/>
              </w:rPr>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C8771F" w:rsidRDefault="000B5C96" w:rsidP="003F606A">
            <w:pPr>
              <w:keepNext/>
              <w:keepLines/>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 w:val="20"/>
                <w:szCs w:val="20"/>
              </w:rPr>
            </w:pPr>
            <w:r w:rsidRPr="00C8771F">
              <w:rPr>
                <w:sz w:val="20"/>
              </w:rPr>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C8771F" w:rsidRDefault="000B5C96" w:rsidP="003F606A">
            <w:pPr>
              <w:keepNext/>
              <w:keepLines/>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C8771F">
              <w:rPr>
                <w:sz w:val="20"/>
              </w:rPr>
              <w:t>Total</w:t>
            </w:r>
            <w:r w:rsidRPr="00C8771F">
              <w:rPr>
                <w:sz w:val="20"/>
                <w:szCs w:val="20"/>
              </w:rPr>
              <w:t xml:space="preserve"> to 2019–20</w:t>
            </w:r>
          </w:p>
        </w:tc>
      </w:tr>
      <w:tr w:rsidR="000B5C96" w:rsidRPr="00C8771F"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C8771F" w:rsidRDefault="000B5C96" w:rsidP="003F606A">
            <w:pPr>
              <w:keepNext/>
              <w:keepLines/>
              <w:spacing w:line="240" w:lineRule="auto"/>
              <w:ind w:left="57" w:right="57"/>
              <w:rPr>
                <w:rFonts w:ascii="Calibri" w:hAnsi="Calibri"/>
                <w:b/>
                <w:sz w:val="20"/>
              </w:rPr>
            </w:pPr>
            <w:r w:rsidRPr="00C8771F">
              <w:rPr>
                <w:rFonts w:ascii="Calibri" w:hAnsi="Calibri"/>
                <w:b/>
                <w:sz w:val="20"/>
              </w:rPr>
              <w:t>Impact on fiscal and underlying cash balances</w:t>
            </w:r>
          </w:p>
        </w:tc>
      </w:tr>
      <w:tr w:rsidR="000B5C96" w:rsidRPr="00C8771F"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8771F" w:rsidRDefault="000B5C96" w:rsidP="003F606A">
            <w:pPr>
              <w:keepNext/>
              <w:keepLines/>
              <w:spacing w:line="240" w:lineRule="auto"/>
              <w:ind w:left="57" w:right="57"/>
              <w:rPr>
                <w:rFonts w:ascii="Calibri" w:hAnsi="Calibri"/>
                <w:sz w:val="20"/>
                <w:szCs w:val="20"/>
              </w:rPr>
            </w:pPr>
            <w:r w:rsidRPr="00C8771F">
              <w:rPr>
                <w:rFonts w:ascii="Calibri" w:hAnsi="Calibri"/>
                <w:sz w:val="20"/>
                <w:szCs w:val="20"/>
              </w:rPr>
              <w:t>Administered</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C8771F"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noProof/>
                <w:sz w:val="20"/>
              </w:rPr>
            </w:pPr>
            <w:r w:rsidRPr="00C8771F">
              <w:rPr>
                <w:rFonts w:ascii="Calibri" w:hAnsi="Calibri"/>
                <w:noProof/>
                <w:sz w:val="20"/>
              </w:rPr>
              <w:t>-6.0</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C8771F"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noProof/>
                <w:sz w:val="20"/>
              </w:rPr>
            </w:pPr>
            <w:r w:rsidRPr="00C8771F">
              <w:rPr>
                <w:rFonts w:ascii="Calibri" w:hAnsi="Calibri"/>
                <w:noProof/>
                <w:sz w:val="20"/>
              </w:rPr>
              <w:t>-8.0</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C8771F"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noProof/>
                <w:sz w:val="20"/>
              </w:rPr>
            </w:pPr>
            <w:r w:rsidRPr="00C8771F">
              <w:rPr>
                <w:rFonts w:ascii="Calibri" w:hAnsi="Calibri"/>
                <w:noProof/>
                <w:sz w:val="20"/>
              </w:rPr>
              <w:t>-8.0</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C8771F"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noProof/>
                <w:sz w:val="20"/>
              </w:rPr>
            </w:pPr>
            <w:r w:rsidRPr="00C8771F">
              <w:rPr>
                <w:rFonts w:ascii="Calibri" w:hAnsi="Calibri"/>
                <w:noProof/>
                <w:sz w:val="20"/>
              </w:rPr>
              <w:t>-8.0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C8771F"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noProof/>
                <w:sz w:val="20"/>
              </w:rPr>
            </w:pPr>
            <w:r w:rsidRPr="00C8771F">
              <w:rPr>
                <w:rFonts w:ascii="Calibri" w:hAnsi="Calibri"/>
                <w:b/>
                <w:noProof/>
                <w:sz w:val="20"/>
              </w:rPr>
              <w:t>-30.0</w:t>
            </w:r>
          </w:p>
        </w:tc>
      </w:tr>
      <w:tr w:rsidR="000B5C96" w:rsidRPr="00C8771F"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C8771F" w:rsidRDefault="000B5C96" w:rsidP="003F606A">
            <w:pPr>
              <w:keepNext/>
              <w:keepLines/>
              <w:spacing w:line="240" w:lineRule="auto"/>
              <w:ind w:left="57" w:right="57"/>
              <w:rPr>
                <w:rFonts w:ascii="Calibri" w:hAnsi="Calibri"/>
                <w:sz w:val="20"/>
                <w:szCs w:val="20"/>
              </w:rPr>
            </w:pPr>
            <w:r w:rsidRPr="00C8771F">
              <w:rPr>
                <w:rFonts w:ascii="Calibri" w:hAnsi="Calibri"/>
                <w:sz w:val="20"/>
                <w:szCs w:val="20"/>
              </w:rPr>
              <w:t>Departmental - DET</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C8771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noProof/>
                <w:sz w:val="20"/>
              </w:rPr>
            </w:pPr>
            <w:r w:rsidRPr="00C8771F">
              <w:rPr>
                <w:rFonts w:ascii="Calibri" w:hAnsi="Calibri"/>
                <w:noProof/>
                <w:sz w:val="20"/>
              </w:rPr>
              <w:t>-0.3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C8771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noProof/>
                <w:sz w:val="20"/>
              </w:rPr>
            </w:pPr>
            <w:r w:rsidRPr="00C8771F">
              <w:rPr>
                <w:rFonts w:ascii="Calibri" w:hAnsi="Calibri"/>
                <w:noProof/>
                <w:sz w:val="20"/>
              </w:rPr>
              <w:t>-0.4</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C8771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noProof/>
                <w:sz w:val="20"/>
              </w:rPr>
            </w:pPr>
            <w:r w:rsidRPr="00C8771F">
              <w:rPr>
                <w:rFonts w:ascii="Calibri" w:hAnsi="Calibri"/>
                <w:noProof/>
                <w:sz w:val="20"/>
              </w:rPr>
              <w:t>-0.4</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C8771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noProof/>
                <w:sz w:val="20"/>
              </w:rPr>
            </w:pPr>
            <w:r w:rsidRPr="00C8771F">
              <w:rPr>
                <w:rFonts w:ascii="Calibri" w:hAnsi="Calibri"/>
                <w:noProof/>
                <w:sz w:val="20"/>
              </w:rPr>
              <w:t>-0.4</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C8771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noProof/>
                <w:sz w:val="20"/>
              </w:rPr>
            </w:pPr>
            <w:r w:rsidRPr="00C8771F">
              <w:rPr>
                <w:rFonts w:ascii="Calibri" w:hAnsi="Calibri"/>
                <w:b/>
                <w:noProof/>
                <w:sz w:val="20"/>
              </w:rPr>
              <w:t>-1.5</w:t>
            </w:r>
          </w:p>
        </w:tc>
      </w:tr>
      <w:tr w:rsidR="000B5C96" w:rsidRPr="00C8771F"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0B5C96" w:rsidRPr="00C8771F" w:rsidRDefault="000B5C96" w:rsidP="003F606A">
            <w:pPr>
              <w:keepNext/>
              <w:keepLines/>
              <w:spacing w:line="240" w:lineRule="auto"/>
              <w:ind w:left="57" w:right="57"/>
              <w:rPr>
                <w:rFonts w:ascii="Calibri" w:hAnsi="Calibri"/>
                <w:b/>
                <w:sz w:val="20"/>
                <w:szCs w:val="20"/>
              </w:rPr>
            </w:pPr>
            <w:r w:rsidRPr="00C8771F">
              <w:rPr>
                <w:rFonts w:ascii="Calibri" w:hAnsi="Calibri"/>
                <w:b/>
                <w:sz w:val="20"/>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0B5C96" w:rsidRPr="00C8771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rPr>
            </w:pPr>
            <w:r w:rsidRPr="00C8771F">
              <w:rPr>
                <w:rFonts w:ascii="Calibri" w:hAnsi="Calibri"/>
                <w:b/>
                <w:color w:val="000000"/>
                <w:sz w:val="20"/>
              </w:rPr>
              <w:t>-6.3</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0B5C96" w:rsidRPr="00C8771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rPr>
            </w:pPr>
            <w:r w:rsidRPr="00C8771F">
              <w:rPr>
                <w:rFonts w:ascii="Calibri" w:hAnsi="Calibri"/>
                <w:b/>
                <w:color w:val="000000"/>
                <w:sz w:val="20"/>
              </w:rPr>
              <w:t>-8.4</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0B5C96" w:rsidRPr="00C8771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rPr>
            </w:pPr>
            <w:r w:rsidRPr="00C8771F">
              <w:rPr>
                <w:rFonts w:ascii="Calibri" w:hAnsi="Calibri"/>
                <w:b/>
                <w:color w:val="000000"/>
                <w:sz w:val="20"/>
              </w:rPr>
              <w:t>-8.4</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0B5C96" w:rsidRPr="00C8771F"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rPr>
            </w:pPr>
            <w:r w:rsidRPr="00C8771F">
              <w:rPr>
                <w:rFonts w:ascii="Calibri" w:hAnsi="Calibri"/>
                <w:b/>
                <w:color w:val="000000"/>
                <w:sz w:val="20"/>
              </w:rPr>
              <w:t>-8.4</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0B5C96" w:rsidRPr="00C8771F"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C8771F">
              <w:rPr>
                <w:rFonts w:ascii="Calibri" w:hAnsi="Calibri"/>
                <w:b/>
                <w:sz w:val="20"/>
              </w:rPr>
              <w:t>-31.5</w:t>
            </w:r>
          </w:p>
        </w:tc>
      </w:tr>
    </w:tbl>
    <w:p w:rsidR="000B5C96" w:rsidRPr="00C8771F" w:rsidRDefault="000B5C96" w:rsidP="00E54AEC">
      <w:pPr>
        <w:pStyle w:val="Footnotes"/>
        <w:numPr>
          <w:ilvl w:val="0"/>
          <w:numId w:val="322"/>
        </w:numPr>
        <w:ind w:left="284" w:hanging="284"/>
      </w:pPr>
      <w:r w:rsidRPr="00C8771F">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C8771F" w:rsidRDefault="000B5C96" w:rsidP="000B5C96">
      <w:pPr>
        <w:pStyle w:val="Footnotes"/>
        <w:numPr>
          <w:ilvl w:val="0"/>
          <w:numId w:val="7"/>
        </w:numPr>
        <w:ind w:left="284" w:hanging="284"/>
      </w:pPr>
      <w:r w:rsidRPr="00C8771F">
        <w:t>Figures may not sum to totals due to rounding.</w:t>
      </w:r>
    </w:p>
    <w:p w:rsidR="000B5C96" w:rsidRDefault="000B5C96" w:rsidP="000B5C96">
      <w:pPr>
        <w:pStyle w:val="Footnotes"/>
        <w:numPr>
          <w:ilvl w:val="0"/>
          <w:numId w:val="7"/>
        </w:numPr>
        <w:ind w:left="284" w:hanging="284"/>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23" w:name="_Toc458001991"/>
      <w:bookmarkStart w:id="224" w:name="_Toc458069476"/>
      <w:r>
        <w:t>GRN086: Sustainable Water Institute</w:t>
      </w:r>
      <w:bookmarkEnd w:id="223"/>
      <w:bookmarkEnd w:id="224"/>
    </w:p>
    <w:p w:rsidR="000B5C96" w:rsidRDefault="000B5C96" w:rsidP="003F606A">
      <w:pPr>
        <w:pStyle w:val="BodyText"/>
      </w:pPr>
      <w:r>
        <w:rPr>
          <w:noProof/>
          <w:lang w:eastAsia="en-AU"/>
        </w:rPr>
        <w:drawing>
          <wp:inline distT="0" distB="0" distL="0" distR="0" wp14:anchorId="39C121FB" wp14:editId="41417CB7">
            <wp:extent cx="2696845" cy="572135"/>
            <wp:effectExtent l="0" t="0" r="8255" b="0"/>
            <wp:docPr id="43" name="Picture 4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8D3005" w:rsidRDefault="000B5C96" w:rsidP="000B5C96">
      <w:pPr>
        <w:pStyle w:val="Heading6"/>
        <w:numPr>
          <w:ilvl w:val="0"/>
          <w:numId w:val="5"/>
        </w:numPr>
        <w:tabs>
          <w:tab w:val="right" w:pos="1418"/>
          <w:tab w:val="right" w:pos="1701"/>
          <w:tab w:val="right" w:pos="1985"/>
        </w:tabs>
      </w:pPr>
      <w:r w:rsidRPr="008D3005">
        <w:t>Policy costing—during the caretaker period for the 2016 general election</w:t>
      </w:r>
    </w:p>
    <w:tbl>
      <w:tblPr>
        <w:tblStyle w:val="TableGrid81"/>
        <w:tblW w:w="8573" w:type="dxa"/>
        <w:tblCellMar>
          <w:left w:w="113" w:type="dxa"/>
          <w:right w:w="113" w:type="dxa"/>
        </w:tblCellMar>
        <w:tblLook w:val="04A0" w:firstRow="1" w:lastRow="0" w:firstColumn="1" w:lastColumn="0" w:noHBand="0" w:noVBand="1"/>
      </w:tblPr>
      <w:tblGrid>
        <w:gridCol w:w="3005"/>
        <w:gridCol w:w="556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rsidR="000B5C96" w:rsidRPr="00EA7F7A" w:rsidRDefault="000B5C96" w:rsidP="003F606A">
            <w:pPr>
              <w:pStyle w:val="PullOutBoxHeading"/>
              <w:rPr>
                <w:b/>
              </w:rPr>
            </w:pPr>
            <w:r w:rsidRPr="00EA7F7A">
              <w:rPr>
                <w:b/>
              </w:rPr>
              <w:t>Name of proposal:</w:t>
            </w:r>
          </w:p>
        </w:tc>
        <w:tc>
          <w:tcPr>
            <w:tcW w:w="5568" w:type="dxa"/>
          </w:tcPr>
          <w:p w:rsidR="000B5C96" w:rsidRPr="00EA7F7A" w:rsidRDefault="000B5C96" w:rsidP="003F606A">
            <w:pPr>
              <w:pStyle w:val="PullOutBoxHeading"/>
              <w:cnfStyle w:val="100000000000" w:firstRow="1" w:lastRow="0" w:firstColumn="0" w:lastColumn="0" w:oddVBand="0" w:evenVBand="0" w:oddHBand="0" w:evenHBand="0" w:firstRowFirstColumn="0" w:firstRowLastColumn="0" w:lastRowFirstColumn="0" w:lastRowLastColumn="0"/>
              <w:rPr>
                <w:b/>
              </w:rPr>
            </w:pPr>
            <w:r w:rsidRPr="00EA7F7A">
              <w:rPr>
                <w:b/>
              </w:rPr>
              <w:t>Sustainable Water Institute</w:t>
            </w:r>
          </w:p>
        </w:tc>
      </w:tr>
      <w:tr w:rsidR="000B5C96" w:rsidRPr="008D3005"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8D3005" w:rsidRDefault="000B5C96" w:rsidP="003F606A">
            <w:pPr>
              <w:pStyle w:val="PullOutBoxBodyText"/>
            </w:pPr>
            <w:r w:rsidRPr="008D3005">
              <w:t>Summary of proposal:</w:t>
            </w:r>
          </w:p>
        </w:tc>
        <w:tc>
          <w:tcPr>
            <w:tcW w:w="5568" w:type="dxa"/>
          </w:tcPr>
          <w:p w:rsidR="000B5C96" w:rsidRPr="008D3005"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8D3005">
              <w:t>The proposal would establish an independent, national Sustainable Water Institute within the Environment portfolio to administer a fund for key water innovation programs.  Funding would be $25 million for each year over the period 2017-18 to 2020-21.</w:t>
            </w:r>
          </w:p>
          <w:p w:rsidR="000B5C96" w:rsidRPr="008D3005"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8D3005">
              <w:t>The proposal would have effect from 1 September 2016.</w:t>
            </w:r>
          </w:p>
        </w:tc>
      </w:tr>
      <w:tr w:rsidR="000B5C96" w:rsidRPr="008D3005"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8D3005" w:rsidRDefault="000B5C96" w:rsidP="003F606A">
            <w:pPr>
              <w:pStyle w:val="PullOutBoxBodyText"/>
            </w:pPr>
            <w:r w:rsidRPr="008D3005">
              <w:t>Person/party requesting costing:</w:t>
            </w:r>
          </w:p>
        </w:tc>
        <w:tc>
          <w:tcPr>
            <w:tcW w:w="5568" w:type="dxa"/>
          </w:tcPr>
          <w:p w:rsidR="000B5C96" w:rsidRPr="008D3005"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8D3005">
              <w:t>Senator Richard Di Natale, Australian Greens</w:t>
            </w:r>
          </w:p>
        </w:tc>
      </w:tr>
      <w:tr w:rsidR="000B5C96" w:rsidRPr="008D3005"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8D3005" w:rsidRDefault="000B5C96" w:rsidP="003F606A">
            <w:pPr>
              <w:pStyle w:val="PullOutBoxBodyText"/>
            </w:pPr>
            <w:r w:rsidRPr="008D3005">
              <w:t>Date of public release of policy:</w:t>
            </w:r>
          </w:p>
        </w:tc>
        <w:tc>
          <w:tcPr>
            <w:tcW w:w="5568" w:type="dxa"/>
          </w:tcPr>
          <w:p w:rsidR="000B5C96" w:rsidRPr="008D3005"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8D3005">
              <w:t>21 June 2016</w:t>
            </w:r>
          </w:p>
        </w:tc>
      </w:tr>
      <w:tr w:rsidR="000B5C96" w:rsidRPr="008D3005"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8D3005" w:rsidRDefault="000B5C96" w:rsidP="003F606A">
            <w:pPr>
              <w:pStyle w:val="PullOutBoxBodyText"/>
            </w:pPr>
            <w:r w:rsidRPr="008D3005">
              <w:t>Date costing request received:</w:t>
            </w:r>
          </w:p>
        </w:tc>
        <w:tc>
          <w:tcPr>
            <w:tcW w:w="5568" w:type="dxa"/>
          </w:tcPr>
          <w:p w:rsidR="000B5C96" w:rsidRPr="008D3005"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8D3005">
              <w:t>1 July 2016</w:t>
            </w:r>
          </w:p>
        </w:tc>
      </w:tr>
      <w:tr w:rsidR="000B5C96" w:rsidRPr="008D3005"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8D3005" w:rsidRDefault="000B5C96" w:rsidP="003F606A">
            <w:pPr>
              <w:pStyle w:val="PullOutBoxBodyText"/>
            </w:pPr>
            <w:r w:rsidRPr="008D3005">
              <w:t>Date costing completed:</w:t>
            </w:r>
          </w:p>
        </w:tc>
        <w:tc>
          <w:tcPr>
            <w:tcW w:w="5568" w:type="dxa"/>
          </w:tcPr>
          <w:p w:rsidR="000B5C96" w:rsidRPr="008D3005"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8D3005">
              <w:t>1 July 2016</w:t>
            </w:r>
          </w:p>
        </w:tc>
      </w:tr>
      <w:tr w:rsidR="000B5C96" w:rsidRPr="008D3005"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8D3005" w:rsidRDefault="000B5C96" w:rsidP="003F606A">
            <w:pPr>
              <w:pStyle w:val="PullOutBoxBodyText"/>
            </w:pPr>
            <w:r w:rsidRPr="008D3005">
              <w:t>Additional information requested (including date):</w:t>
            </w:r>
          </w:p>
        </w:tc>
        <w:tc>
          <w:tcPr>
            <w:tcW w:w="5568" w:type="dxa"/>
          </w:tcPr>
          <w:p w:rsidR="000B5C96" w:rsidRPr="008D3005"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8D3005">
              <w:t>On 1 July 2016 the Parliamentary Budget Office sought clarification from the office of Senator Di Natale (the office) on the start date for the Sustainable Water Institute administered funding.</w:t>
            </w:r>
          </w:p>
        </w:tc>
      </w:tr>
      <w:tr w:rsidR="000B5C96" w:rsidRPr="008D3005"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B5C96" w:rsidRPr="008D3005" w:rsidRDefault="000B5C96" w:rsidP="003F606A">
            <w:pPr>
              <w:pStyle w:val="PullOutBoxBodyText"/>
            </w:pPr>
            <w:r w:rsidRPr="008D3005">
              <w:t>Additional information received (including date):</w:t>
            </w:r>
          </w:p>
        </w:tc>
        <w:tc>
          <w:tcPr>
            <w:tcW w:w="5568" w:type="dxa"/>
          </w:tcPr>
          <w:p w:rsidR="000B5C96" w:rsidRPr="008D3005" w:rsidRDefault="000B5C96" w:rsidP="003F606A">
            <w:pPr>
              <w:pStyle w:val="PullOutBoxBodyText"/>
              <w:cnfStyle w:val="000000100000" w:firstRow="0" w:lastRow="0" w:firstColumn="0" w:lastColumn="0" w:oddVBand="0" w:evenVBand="0" w:oddHBand="1" w:evenHBand="0" w:firstRowFirstColumn="0" w:firstRowLastColumn="0" w:lastRowFirstColumn="0" w:lastRowLastColumn="0"/>
            </w:pPr>
            <w:r w:rsidRPr="008D3005">
              <w:t>On 1 July 2016 the office confirmed that the start date for Sustainable Water Institute administered funding would be 1 July 2017.</w:t>
            </w:r>
          </w:p>
        </w:tc>
      </w:tr>
      <w:tr w:rsidR="000B5C96" w:rsidRPr="008D3005" w:rsidTr="003F606A">
        <w:tc>
          <w:tcPr>
            <w:cnfStyle w:val="001000000000" w:firstRow="0" w:lastRow="0" w:firstColumn="1" w:lastColumn="0" w:oddVBand="0" w:evenVBand="0" w:oddHBand="0" w:evenHBand="0" w:firstRowFirstColumn="0" w:firstRowLastColumn="0" w:lastRowFirstColumn="0" w:lastRowLastColumn="0"/>
            <w:tcW w:w="3005" w:type="dxa"/>
          </w:tcPr>
          <w:p w:rsidR="000B5C96" w:rsidRPr="008D3005" w:rsidRDefault="000B5C96" w:rsidP="003F606A">
            <w:pPr>
              <w:pStyle w:val="PullOutBoxBodyText"/>
            </w:pPr>
            <w:r w:rsidRPr="008D3005">
              <w:t>Expiry date for the costing:</w:t>
            </w:r>
          </w:p>
        </w:tc>
        <w:tc>
          <w:tcPr>
            <w:tcW w:w="5568" w:type="dxa"/>
          </w:tcPr>
          <w:p w:rsidR="000B5C96" w:rsidRPr="008D3005" w:rsidRDefault="000B5C96" w:rsidP="003F606A">
            <w:pPr>
              <w:pStyle w:val="PullOutBoxBodyText"/>
              <w:cnfStyle w:val="000000000000" w:firstRow="0" w:lastRow="0" w:firstColumn="0" w:lastColumn="0" w:oddVBand="0" w:evenVBand="0" w:oddHBand="0" w:evenHBand="0" w:firstRowFirstColumn="0" w:firstRowLastColumn="0" w:lastRowFirstColumn="0" w:lastRowLastColumn="0"/>
            </w:pPr>
            <w:r w:rsidRPr="008D3005">
              <w:t>Release of the next economic and fiscal outlook report</w:t>
            </w:r>
          </w:p>
        </w:tc>
      </w:tr>
    </w:tbl>
    <w:p w:rsidR="000B5C96" w:rsidRPr="008D3005" w:rsidRDefault="000B5C96" w:rsidP="003F606A">
      <w:pPr>
        <w:pStyle w:val="CostingsH7"/>
      </w:pPr>
      <w:r w:rsidRPr="008D3005">
        <w:t>Costing overview</w:t>
      </w:r>
    </w:p>
    <w:p w:rsidR="000B5C96" w:rsidRPr="008D3005" w:rsidRDefault="000B5C96" w:rsidP="003F606A">
      <w:pPr>
        <w:pStyle w:val="BodyText"/>
      </w:pPr>
      <w:r w:rsidRPr="008D3005">
        <w:t>The proposal would be expected to decrease the fiscal and underlying cash balances by $81.2</w:t>
      </w:r>
      <w:r>
        <w:t> </w:t>
      </w:r>
      <w:r w:rsidRPr="008D3005">
        <w:t>million over the 2016-17 Budget forward estimates period.  This impact is due to an increase in administered expenses of $75.0 million and departmental expenses of $6.2 million.</w:t>
      </w:r>
    </w:p>
    <w:p w:rsidR="000B5C96" w:rsidRPr="008D3005" w:rsidRDefault="000B5C96" w:rsidP="003F606A">
      <w:pPr>
        <w:pStyle w:val="BodyText"/>
      </w:pPr>
      <w:r w:rsidRPr="008D3005">
        <w:t>The proposal would have an impact $26.7 million in 2020</w:t>
      </w:r>
      <w:r w:rsidRPr="008D3005">
        <w:noBreakHyphen/>
        <w:t xml:space="preserve">21.  A breakdown of the financial implications of this proposal over the period 2016-17 to 2020-21 is provided at </w:t>
      </w:r>
      <w:r w:rsidRPr="008D3005">
        <w:rPr>
          <w:u w:val="single"/>
        </w:rPr>
        <w:t>Attachment A</w:t>
      </w:r>
      <w:r w:rsidRPr="008D3005">
        <w:t>.</w:t>
      </w:r>
    </w:p>
    <w:p w:rsidR="000B5C96" w:rsidRPr="006C384A" w:rsidRDefault="000B5C96" w:rsidP="003F606A">
      <w:pPr>
        <w:pStyle w:val="BodyText"/>
      </w:pPr>
      <w:r w:rsidRPr="006C384A">
        <w:t>This costing is considered to be of high reliability as the estimates are based on capped administered funding with departmental funding comparable to similar programs.</w:t>
      </w:r>
    </w:p>
    <w:p w:rsidR="000B5C96" w:rsidRPr="006C384A" w:rsidRDefault="000B5C96" w:rsidP="003F606A">
      <w:pPr>
        <w:pStyle w:val="Caption"/>
      </w:pPr>
      <w:r w:rsidRPr="006C384A">
        <w:t>Table 1: Financial implications (outturn prices)</w:t>
      </w:r>
      <w:r w:rsidRPr="006C384A">
        <w:rPr>
          <w:vertAlign w:val="superscript"/>
        </w:rPr>
        <w:t>(a)(b)</w:t>
      </w:r>
    </w:p>
    <w:tbl>
      <w:tblPr>
        <w:tblStyle w:val="TableGrid82"/>
        <w:tblW w:w="4993" w:type="pct"/>
        <w:tblLook w:val="04A0" w:firstRow="1" w:lastRow="0" w:firstColumn="1" w:lastColumn="0" w:noHBand="0" w:noVBand="1"/>
      </w:tblPr>
      <w:tblGrid>
        <w:gridCol w:w="2645"/>
        <w:gridCol w:w="1134"/>
        <w:gridCol w:w="1133"/>
        <w:gridCol w:w="1133"/>
        <w:gridCol w:w="1133"/>
        <w:gridCol w:w="1132"/>
      </w:tblGrid>
      <w:tr w:rsidR="000B5C96" w:rsidRPr="006C384A"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6C384A" w:rsidRDefault="000B5C96" w:rsidP="003F606A">
            <w:pPr>
              <w:keepNext/>
              <w:keepLines/>
              <w:spacing w:line="240" w:lineRule="auto"/>
              <w:ind w:left="57" w:right="57"/>
              <w:rPr>
                <w:sz w:val="20"/>
                <w:szCs w:val="20"/>
              </w:rPr>
            </w:pPr>
            <w:r w:rsidRPr="006C384A">
              <w:rPr>
                <w:sz w:val="20"/>
                <w:szCs w:val="20"/>
              </w:rPr>
              <w:t>Impact on ($m)</w:t>
            </w:r>
          </w:p>
        </w:tc>
        <w:tc>
          <w:tcPr>
            <w:tcW w:w="682" w:type="pct"/>
          </w:tcPr>
          <w:p w:rsidR="000B5C96" w:rsidRPr="006C384A"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6C384A">
              <w:rPr>
                <w:sz w:val="20"/>
                <w:szCs w:val="20"/>
              </w:rPr>
              <w:t>2016–17</w:t>
            </w:r>
          </w:p>
        </w:tc>
        <w:tc>
          <w:tcPr>
            <w:tcW w:w="682" w:type="pct"/>
          </w:tcPr>
          <w:p w:rsidR="000B5C96" w:rsidRPr="006C384A"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6C384A">
              <w:rPr>
                <w:sz w:val="20"/>
                <w:szCs w:val="20"/>
              </w:rPr>
              <w:t>2017–18</w:t>
            </w:r>
          </w:p>
        </w:tc>
        <w:tc>
          <w:tcPr>
            <w:tcW w:w="682" w:type="pct"/>
          </w:tcPr>
          <w:p w:rsidR="000B5C96" w:rsidRPr="006C384A"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6C384A">
              <w:rPr>
                <w:sz w:val="20"/>
                <w:szCs w:val="20"/>
              </w:rPr>
              <w:t>2018–19</w:t>
            </w:r>
          </w:p>
        </w:tc>
        <w:tc>
          <w:tcPr>
            <w:tcW w:w="682" w:type="pct"/>
          </w:tcPr>
          <w:p w:rsidR="000B5C96" w:rsidRPr="006C384A"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6C384A">
              <w:rPr>
                <w:sz w:val="20"/>
                <w:szCs w:val="20"/>
              </w:rPr>
              <w:t>2019–20</w:t>
            </w:r>
          </w:p>
        </w:tc>
        <w:tc>
          <w:tcPr>
            <w:tcW w:w="681" w:type="pct"/>
          </w:tcPr>
          <w:p w:rsidR="000B5C96" w:rsidRPr="006C384A"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sz w:val="20"/>
                <w:szCs w:val="20"/>
              </w:rPr>
            </w:pPr>
            <w:r w:rsidRPr="006C384A">
              <w:rPr>
                <w:sz w:val="20"/>
                <w:szCs w:val="20"/>
              </w:rPr>
              <w:t>Total</w:t>
            </w:r>
          </w:p>
        </w:tc>
      </w:tr>
      <w:tr w:rsidR="000B5C96" w:rsidRPr="006C384A"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6C384A" w:rsidRDefault="000B5C96" w:rsidP="003F606A">
            <w:pPr>
              <w:keepNext/>
              <w:keepLines/>
              <w:spacing w:line="240" w:lineRule="auto"/>
              <w:ind w:left="57" w:right="57"/>
              <w:rPr>
                <w:rFonts w:ascii="Calibri" w:hAnsi="Calibri"/>
                <w:sz w:val="20"/>
                <w:szCs w:val="20"/>
              </w:rPr>
            </w:pPr>
            <w:r w:rsidRPr="006C384A">
              <w:rPr>
                <w:rFonts w:ascii="Calibri" w:hAnsi="Calibri"/>
                <w:sz w:val="20"/>
                <w:szCs w:val="20"/>
              </w:rPr>
              <w:t>Fiscal balance</w:t>
            </w:r>
          </w:p>
        </w:tc>
        <w:tc>
          <w:tcPr>
            <w:tcW w:w="682" w:type="pct"/>
            <w:vAlign w:val="center"/>
          </w:tcPr>
          <w:p w:rsidR="000B5C96" w:rsidRPr="006C384A"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C384A">
              <w:rPr>
                <w:rFonts w:ascii="Calibri" w:hAnsi="Calibri"/>
                <w:sz w:val="20"/>
                <w:szCs w:val="20"/>
              </w:rPr>
              <w:t xml:space="preserve">-1.3 </w:t>
            </w:r>
          </w:p>
        </w:tc>
        <w:tc>
          <w:tcPr>
            <w:tcW w:w="682" w:type="pct"/>
            <w:vAlign w:val="center"/>
          </w:tcPr>
          <w:p w:rsidR="000B5C96" w:rsidRPr="006C384A"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C384A">
              <w:rPr>
                <w:rFonts w:ascii="Calibri" w:hAnsi="Calibri"/>
                <w:sz w:val="20"/>
                <w:szCs w:val="20"/>
              </w:rPr>
              <w:t xml:space="preserve">-26.6 </w:t>
            </w:r>
          </w:p>
        </w:tc>
        <w:tc>
          <w:tcPr>
            <w:tcW w:w="682" w:type="pct"/>
            <w:vAlign w:val="center"/>
          </w:tcPr>
          <w:p w:rsidR="000B5C96" w:rsidRPr="006C384A"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C384A">
              <w:rPr>
                <w:rFonts w:ascii="Calibri" w:hAnsi="Calibri"/>
                <w:sz w:val="20"/>
                <w:szCs w:val="20"/>
              </w:rPr>
              <w:t xml:space="preserve">-26.6 </w:t>
            </w:r>
          </w:p>
        </w:tc>
        <w:tc>
          <w:tcPr>
            <w:tcW w:w="682" w:type="pct"/>
            <w:vAlign w:val="center"/>
          </w:tcPr>
          <w:p w:rsidR="000B5C96" w:rsidRPr="006C384A"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C384A">
              <w:rPr>
                <w:rFonts w:ascii="Calibri" w:hAnsi="Calibri"/>
                <w:sz w:val="20"/>
                <w:szCs w:val="20"/>
              </w:rPr>
              <w:t xml:space="preserve">-26.6 </w:t>
            </w:r>
          </w:p>
        </w:tc>
        <w:tc>
          <w:tcPr>
            <w:tcW w:w="681" w:type="pct"/>
            <w:vAlign w:val="center"/>
          </w:tcPr>
          <w:p w:rsidR="000B5C96" w:rsidRPr="006C384A"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6C384A">
              <w:rPr>
                <w:rFonts w:ascii="Calibri" w:hAnsi="Calibri"/>
                <w:b/>
                <w:sz w:val="20"/>
                <w:szCs w:val="20"/>
              </w:rPr>
              <w:t xml:space="preserve">-81.2 </w:t>
            </w:r>
          </w:p>
        </w:tc>
      </w:tr>
      <w:tr w:rsidR="000B5C96" w:rsidRPr="006C384A"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6C384A" w:rsidRDefault="000B5C96" w:rsidP="003F606A">
            <w:pPr>
              <w:keepNext/>
              <w:keepLines/>
              <w:spacing w:line="240" w:lineRule="auto"/>
              <w:ind w:left="57" w:right="57"/>
              <w:rPr>
                <w:rFonts w:ascii="Calibri" w:hAnsi="Calibri"/>
                <w:sz w:val="20"/>
                <w:szCs w:val="20"/>
              </w:rPr>
            </w:pPr>
            <w:r w:rsidRPr="006C384A">
              <w:rPr>
                <w:rFonts w:ascii="Calibri" w:hAnsi="Calibri"/>
                <w:sz w:val="20"/>
                <w:szCs w:val="20"/>
              </w:rPr>
              <w:t>Underlying cash balance</w:t>
            </w:r>
          </w:p>
        </w:tc>
        <w:tc>
          <w:tcPr>
            <w:tcW w:w="682"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C384A">
              <w:rPr>
                <w:rFonts w:ascii="Calibri" w:hAnsi="Calibri"/>
                <w:sz w:val="20"/>
                <w:szCs w:val="20"/>
              </w:rPr>
              <w:t xml:space="preserve">-1.3 </w:t>
            </w:r>
          </w:p>
        </w:tc>
        <w:tc>
          <w:tcPr>
            <w:tcW w:w="682"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C384A">
              <w:rPr>
                <w:rFonts w:ascii="Calibri" w:hAnsi="Calibri"/>
                <w:sz w:val="20"/>
                <w:szCs w:val="20"/>
              </w:rPr>
              <w:t xml:space="preserve">-26.6 </w:t>
            </w:r>
          </w:p>
        </w:tc>
        <w:tc>
          <w:tcPr>
            <w:tcW w:w="682"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C384A">
              <w:rPr>
                <w:rFonts w:ascii="Calibri" w:hAnsi="Calibri"/>
                <w:sz w:val="20"/>
                <w:szCs w:val="20"/>
              </w:rPr>
              <w:t xml:space="preserve">-26.6 </w:t>
            </w:r>
          </w:p>
        </w:tc>
        <w:tc>
          <w:tcPr>
            <w:tcW w:w="682"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C384A">
              <w:rPr>
                <w:rFonts w:ascii="Calibri" w:hAnsi="Calibri"/>
                <w:sz w:val="20"/>
                <w:szCs w:val="20"/>
              </w:rPr>
              <w:t xml:space="preserve">-26.6 </w:t>
            </w:r>
          </w:p>
        </w:tc>
        <w:tc>
          <w:tcPr>
            <w:tcW w:w="681"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C384A">
              <w:rPr>
                <w:rFonts w:ascii="Calibri" w:hAnsi="Calibri"/>
                <w:b/>
                <w:sz w:val="20"/>
                <w:szCs w:val="20"/>
              </w:rPr>
              <w:t xml:space="preserve">-81.2 </w:t>
            </w:r>
          </w:p>
        </w:tc>
      </w:tr>
    </w:tbl>
    <w:p w:rsidR="000B5C96" w:rsidRDefault="000B5C96" w:rsidP="00E54AEC">
      <w:pPr>
        <w:pStyle w:val="Footnotes"/>
        <w:numPr>
          <w:ilvl w:val="0"/>
          <w:numId w:val="323"/>
        </w:numPr>
        <w:ind w:left="284" w:hanging="284"/>
      </w:pPr>
      <w:r w:rsidRPr="00DE4C8A">
        <w:t>A positive number indicates an increase in the relevant budget balance, a negative number a decrease.</w:t>
      </w:r>
    </w:p>
    <w:p w:rsidR="000B5C96" w:rsidRPr="006C384A" w:rsidRDefault="000B5C96" w:rsidP="000B5C96">
      <w:pPr>
        <w:pStyle w:val="Footnotes"/>
        <w:numPr>
          <w:ilvl w:val="0"/>
          <w:numId w:val="7"/>
        </w:numPr>
        <w:ind w:left="284" w:hanging="284"/>
      </w:pPr>
      <w:r w:rsidRPr="006C384A">
        <w:t>Figures may not sum to totals due to rounding.</w:t>
      </w:r>
    </w:p>
    <w:p w:rsidR="000B5C96" w:rsidRPr="006C384A" w:rsidRDefault="000B5C96" w:rsidP="003F606A">
      <w:pPr>
        <w:pStyle w:val="CostingsH7"/>
      </w:pPr>
      <w:r w:rsidRPr="006C384A">
        <w:t>Methodology</w:t>
      </w:r>
    </w:p>
    <w:p w:rsidR="000B5C96" w:rsidRPr="006C384A" w:rsidRDefault="000B5C96" w:rsidP="003F606A">
      <w:pPr>
        <w:pStyle w:val="BodyText"/>
      </w:pPr>
      <w:r w:rsidRPr="006C384A">
        <w:t>Administered expenditure estimates are as specified in the request.  The departmental expenditure estimates are in addition to capped amounts and are based on other like initiatives and estimates account for the net effect of indexation parameters and the efficiency dividend, in accordance with the Department of Finance’s costing practices.  The funding in 2016-17 represents start-up costs in order for the Institute to commence on 1 July 2017.</w:t>
      </w:r>
    </w:p>
    <w:p w:rsidR="000B5C96" w:rsidRPr="006C384A" w:rsidRDefault="000B5C96" w:rsidP="003F606A">
      <w:pPr>
        <w:pStyle w:val="CostingsH7"/>
      </w:pPr>
      <w:r w:rsidRPr="006C384A">
        <w:t>Data sources</w:t>
      </w:r>
    </w:p>
    <w:p w:rsidR="000B5C96" w:rsidRPr="006C384A" w:rsidRDefault="000B5C96" w:rsidP="003F606A">
      <w:pPr>
        <w:pStyle w:val="BodyText"/>
      </w:pPr>
      <w:r w:rsidRPr="006C384A">
        <w:t>Department of Finance provided indexation and efficiency dividend parameters.</w:t>
      </w:r>
    </w:p>
    <w:p w:rsidR="000B5C96" w:rsidRPr="006C384A" w:rsidRDefault="000B5C96" w:rsidP="003F606A">
      <w:pPr>
        <w:pStyle w:val="BodyText"/>
      </w:pPr>
    </w:p>
    <w:p w:rsidR="000B5C96" w:rsidRPr="006C384A" w:rsidRDefault="000B5C96" w:rsidP="003F606A">
      <w:pPr>
        <w:pStyle w:val="BodyText"/>
        <w:rPr>
          <w:highlight w:val="yellow"/>
        </w:rPr>
        <w:sectPr w:rsidR="000B5C96" w:rsidRPr="006C384A" w:rsidSect="003F606A">
          <w:headerReference w:type="even" r:id="rId598"/>
          <w:headerReference w:type="default" r:id="rId599"/>
          <w:footerReference w:type="even" r:id="rId600"/>
          <w:footerReference w:type="default" r:id="rId601"/>
          <w:headerReference w:type="first" r:id="rId602"/>
          <w:footerReference w:type="first" r:id="rId603"/>
          <w:pgSz w:w="11906" w:h="16838"/>
          <w:pgMar w:top="1361" w:right="1797" w:bottom="1474" w:left="1797" w:header="283" w:footer="454" w:gutter="0"/>
          <w:cols w:space="708"/>
          <w:docGrid w:linePitch="360"/>
        </w:sectPr>
      </w:pPr>
    </w:p>
    <w:p w:rsidR="000B5C96" w:rsidRPr="006C384A" w:rsidRDefault="000B5C96" w:rsidP="000B5C96">
      <w:pPr>
        <w:pStyle w:val="Heading6"/>
        <w:numPr>
          <w:ilvl w:val="0"/>
          <w:numId w:val="5"/>
        </w:numPr>
        <w:tabs>
          <w:tab w:val="right" w:pos="1418"/>
          <w:tab w:val="right" w:pos="1701"/>
          <w:tab w:val="right" w:pos="1985"/>
        </w:tabs>
      </w:pPr>
      <w:r w:rsidRPr="006C384A">
        <w:t>Attachment A: Sustainable Water Institute—financial implications</w:t>
      </w:r>
    </w:p>
    <w:p w:rsidR="000B5C96" w:rsidRPr="006C384A" w:rsidRDefault="000B5C96" w:rsidP="003F606A">
      <w:pPr>
        <w:pStyle w:val="Caption"/>
        <w:rPr>
          <w:vertAlign w:val="superscript"/>
        </w:rPr>
      </w:pPr>
      <w:r w:rsidRPr="006C384A">
        <w:t>Table A1: Sustainable Water Institute—Financial implications (outturn prices)</w:t>
      </w:r>
      <w:r w:rsidRPr="006C384A">
        <w:rPr>
          <w:vertAlign w:val="superscript"/>
        </w:rPr>
        <w:t>(a)(b)</w:t>
      </w:r>
    </w:p>
    <w:tbl>
      <w:tblPr>
        <w:tblStyle w:val="TableGrid83"/>
        <w:tblW w:w="5034" w:type="pct"/>
        <w:tblLayout w:type="fixed"/>
        <w:tblLook w:val="0680" w:firstRow="0" w:lastRow="0" w:firstColumn="1" w:lastColumn="0" w:noHBand="1" w:noVBand="1"/>
      </w:tblPr>
      <w:tblGrid>
        <w:gridCol w:w="1990"/>
        <w:gridCol w:w="914"/>
        <w:gridCol w:w="914"/>
        <w:gridCol w:w="913"/>
        <w:gridCol w:w="913"/>
        <w:gridCol w:w="913"/>
        <w:gridCol w:w="913"/>
        <w:gridCol w:w="910"/>
      </w:tblGrid>
      <w:tr w:rsidR="000B5C96" w:rsidRPr="006C384A" w:rsidTr="003F606A">
        <w:trPr>
          <w:cantSplit/>
        </w:trPr>
        <w:tc>
          <w:tcPr>
            <w:cnfStyle w:val="001000000000" w:firstRow="0" w:lastRow="0" w:firstColumn="1" w:lastColumn="0" w:oddVBand="0" w:evenVBand="0" w:oddHBand="0" w:evenHBand="0" w:firstRowFirstColumn="0" w:firstRowLastColumn="0" w:lastRowFirstColumn="0" w:lastRowLastColumn="0"/>
            <w:tcW w:w="1187" w:type="pct"/>
            <w:shd w:val="clear" w:color="auto" w:fill="D7DDE9"/>
            <w:vAlign w:val="center"/>
          </w:tcPr>
          <w:p w:rsidR="000B5C96" w:rsidRPr="006C384A" w:rsidRDefault="000B5C96" w:rsidP="003F606A">
            <w:pPr>
              <w:keepNext/>
              <w:keepLines/>
              <w:spacing w:line="240" w:lineRule="auto"/>
              <w:ind w:left="57" w:right="57"/>
              <w:rPr>
                <w:rFonts w:ascii="Calibri" w:hAnsi="Calibri"/>
                <w:sz w:val="20"/>
                <w:szCs w:val="20"/>
              </w:rPr>
            </w:pPr>
            <w:r w:rsidRPr="006C384A">
              <w:rPr>
                <w:rFonts w:ascii="Calibri" w:hAnsi="Calibri"/>
                <w:sz w:val="20"/>
                <w:szCs w:val="20"/>
              </w:rPr>
              <w:t>($m)</w:t>
            </w:r>
          </w:p>
        </w:tc>
        <w:tc>
          <w:tcPr>
            <w:tcW w:w="545" w:type="pct"/>
            <w:shd w:val="clear" w:color="auto" w:fill="D7DDE9"/>
            <w:vAlign w:val="center"/>
          </w:tcPr>
          <w:p w:rsidR="000B5C96" w:rsidRPr="006C384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C384A">
              <w:rPr>
                <w:rFonts w:ascii="Calibri" w:hAnsi="Calibri"/>
                <w:sz w:val="20"/>
                <w:szCs w:val="20"/>
              </w:rPr>
              <w:t>2016–17</w:t>
            </w:r>
          </w:p>
        </w:tc>
        <w:tc>
          <w:tcPr>
            <w:tcW w:w="545" w:type="pct"/>
            <w:shd w:val="clear" w:color="auto" w:fill="D7DDE9"/>
            <w:vAlign w:val="center"/>
          </w:tcPr>
          <w:p w:rsidR="000B5C96" w:rsidRPr="006C384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C384A">
              <w:rPr>
                <w:rFonts w:ascii="Calibri" w:hAnsi="Calibri"/>
                <w:sz w:val="20"/>
                <w:szCs w:val="20"/>
              </w:rPr>
              <w:t>2017–18</w:t>
            </w:r>
          </w:p>
        </w:tc>
        <w:tc>
          <w:tcPr>
            <w:tcW w:w="545" w:type="pct"/>
            <w:shd w:val="clear" w:color="auto" w:fill="D7DDE9"/>
            <w:vAlign w:val="center"/>
          </w:tcPr>
          <w:p w:rsidR="000B5C96" w:rsidRPr="006C384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C384A">
              <w:rPr>
                <w:rFonts w:ascii="Calibri" w:hAnsi="Calibri"/>
                <w:sz w:val="20"/>
                <w:szCs w:val="20"/>
              </w:rPr>
              <w:t>2018–19</w:t>
            </w:r>
          </w:p>
        </w:tc>
        <w:tc>
          <w:tcPr>
            <w:tcW w:w="545" w:type="pct"/>
            <w:shd w:val="clear" w:color="auto" w:fill="D7DDE9"/>
            <w:vAlign w:val="center"/>
          </w:tcPr>
          <w:p w:rsidR="000B5C96" w:rsidRPr="006C384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C384A">
              <w:rPr>
                <w:rFonts w:ascii="Calibri" w:hAnsi="Calibri"/>
                <w:sz w:val="20"/>
                <w:szCs w:val="20"/>
              </w:rPr>
              <w:t>2019–20</w:t>
            </w:r>
          </w:p>
        </w:tc>
        <w:tc>
          <w:tcPr>
            <w:tcW w:w="545" w:type="pct"/>
            <w:shd w:val="clear" w:color="auto" w:fill="D7DDE9"/>
            <w:vAlign w:val="center"/>
          </w:tcPr>
          <w:p w:rsidR="000B5C96" w:rsidRPr="006C384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C384A">
              <w:rPr>
                <w:rFonts w:ascii="Calibri" w:hAnsi="Calibri"/>
                <w:b/>
                <w:sz w:val="20"/>
                <w:szCs w:val="20"/>
              </w:rPr>
              <w:t>Total to 2019–20</w:t>
            </w:r>
          </w:p>
        </w:tc>
        <w:tc>
          <w:tcPr>
            <w:tcW w:w="545" w:type="pct"/>
            <w:shd w:val="clear" w:color="auto" w:fill="D7DDE9"/>
            <w:vAlign w:val="center"/>
          </w:tcPr>
          <w:p w:rsidR="000B5C96" w:rsidRPr="006C384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C384A">
              <w:rPr>
                <w:rFonts w:ascii="Calibri" w:hAnsi="Calibri"/>
                <w:sz w:val="20"/>
                <w:szCs w:val="20"/>
              </w:rPr>
              <w:t>2020-21</w:t>
            </w:r>
          </w:p>
        </w:tc>
        <w:tc>
          <w:tcPr>
            <w:tcW w:w="543" w:type="pct"/>
            <w:shd w:val="clear" w:color="auto" w:fill="D7DDE9"/>
          </w:tcPr>
          <w:p w:rsidR="000B5C96" w:rsidRPr="006C384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C384A">
              <w:rPr>
                <w:rFonts w:ascii="Calibri" w:hAnsi="Calibri"/>
                <w:b/>
                <w:sz w:val="20"/>
                <w:szCs w:val="20"/>
              </w:rPr>
              <w:t>Total to 2020–21</w:t>
            </w:r>
          </w:p>
        </w:tc>
      </w:tr>
      <w:tr w:rsidR="000B5C96" w:rsidRPr="006C384A"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4999" w:type="pct"/>
            <w:gridSpan w:val="8"/>
            <w:tcBorders>
              <w:top w:val="single" w:sz="4" w:space="0" w:color="788184"/>
              <w:left w:val="single" w:sz="4" w:space="0" w:color="788184"/>
              <w:bottom w:val="single" w:sz="4" w:space="0" w:color="788184"/>
              <w:right w:val="single" w:sz="4" w:space="0" w:color="788184"/>
            </w:tcBorders>
            <w:shd w:val="clear" w:color="auto" w:fill="E9ECF3"/>
          </w:tcPr>
          <w:p w:rsidR="000B5C96" w:rsidRPr="006C384A" w:rsidRDefault="000B5C96" w:rsidP="003F606A">
            <w:pPr>
              <w:keepNext/>
              <w:keepLines/>
              <w:spacing w:line="240" w:lineRule="auto"/>
              <w:ind w:left="57" w:right="57"/>
              <w:rPr>
                <w:rFonts w:ascii="Calibri" w:hAnsi="Calibri"/>
                <w:b/>
                <w:sz w:val="20"/>
                <w:szCs w:val="20"/>
              </w:rPr>
            </w:pPr>
            <w:r w:rsidRPr="006C384A">
              <w:rPr>
                <w:rFonts w:ascii="Calibri" w:hAnsi="Calibri"/>
                <w:b/>
                <w:sz w:val="20"/>
                <w:szCs w:val="20"/>
              </w:rPr>
              <w:t>Fiscal and underlying cash balances – expenses/payments</w:t>
            </w:r>
          </w:p>
        </w:tc>
      </w:tr>
      <w:tr w:rsidR="000B5C96" w:rsidRPr="006C384A" w:rsidTr="003F606A">
        <w:trPr>
          <w:cantSplit/>
        </w:trPr>
        <w:tc>
          <w:tcPr>
            <w:cnfStyle w:val="001000000000" w:firstRow="0" w:lastRow="0" w:firstColumn="1" w:lastColumn="0" w:oddVBand="0" w:evenVBand="0" w:oddHBand="0" w:evenHBand="0" w:firstRowFirstColumn="0" w:firstRowLastColumn="0" w:lastRowFirstColumn="0" w:lastRowLastColumn="0"/>
            <w:tcW w:w="1187" w:type="pct"/>
          </w:tcPr>
          <w:p w:rsidR="000B5C96" w:rsidRPr="006C384A" w:rsidRDefault="000B5C96" w:rsidP="003F606A">
            <w:pPr>
              <w:keepNext/>
              <w:keepLines/>
              <w:spacing w:line="240" w:lineRule="auto"/>
              <w:ind w:left="57" w:right="57"/>
              <w:rPr>
                <w:rFonts w:ascii="Calibri" w:hAnsi="Calibri"/>
                <w:sz w:val="20"/>
                <w:szCs w:val="20"/>
              </w:rPr>
            </w:pPr>
            <w:r w:rsidRPr="006C384A">
              <w:rPr>
                <w:rFonts w:ascii="Calibri" w:hAnsi="Calibri"/>
                <w:sz w:val="20"/>
                <w:szCs w:val="20"/>
              </w:rPr>
              <w:t>Administered</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C384A">
              <w:rPr>
                <w:rFonts w:ascii="Calibri" w:hAnsi="Calibri"/>
                <w:i/>
                <w:sz w:val="20"/>
                <w:szCs w:val="20"/>
              </w:rPr>
              <w:t xml:space="preserve">-  </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C384A">
              <w:rPr>
                <w:rFonts w:ascii="Calibri" w:hAnsi="Calibri"/>
                <w:i/>
                <w:sz w:val="20"/>
                <w:szCs w:val="20"/>
              </w:rPr>
              <w:t>-25.0</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C384A">
              <w:rPr>
                <w:rFonts w:ascii="Calibri" w:hAnsi="Calibri"/>
                <w:i/>
                <w:sz w:val="20"/>
                <w:szCs w:val="20"/>
              </w:rPr>
              <w:t>-25.0</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C384A">
              <w:rPr>
                <w:rFonts w:ascii="Calibri" w:hAnsi="Calibri"/>
                <w:i/>
                <w:sz w:val="20"/>
                <w:szCs w:val="20"/>
              </w:rPr>
              <w:t>-25.0</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C384A">
              <w:rPr>
                <w:rFonts w:ascii="Calibri" w:hAnsi="Calibri"/>
                <w:b/>
                <w:i/>
                <w:sz w:val="20"/>
                <w:szCs w:val="20"/>
              </w:rPr>
              <w:t>-75.0</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C384A">
              <w:rPr>
                <w:rFonts w:ascii="Calibri" w:hAnsi="Calibri"/>
                <w:i/>
                <w:sz w:val="20"/>
                <w:szCs w:val="20"/>
              </w:rPr>
              <w:t>-25.0</w:t>
            </w:r>
          </w:p>
        </w:tc>
        <w:tc>
          <w:tcPr>
            <w:tcW w:w="543"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C384A">
              <w:rPr>
                <w:rFonts w:ascii="Calibri" w:hAnsi="Calibri"/>
                <w:b/>
                <w:i/>
                <w:sz w:val="20"/>
                <w:szCs w:val="20"/>
              </w:rPr>
              <w:t>-100.0</w:t>
            </w:r>
          </w:p>
        </w:tc>
      </w:tr>
      <w:tr w:rsidR="000B5C96" w:rsidRPr="006C384A" w:rsidTr="003F606A">
        <w:trPr>
          <w:cantSplit/>
        </w:trPr>
        <w:tc>
          <w:tcPr>
            <w:cnfStyle w:val="001000000000" w:firstRow="0" w:lastRow="0" w:firstColumn="1" w:lastColumn="0" w:oddVBand="0" w:evenVBand="0" w:oddHBand="0" w:evenHBand="0" w:firstRowFirstColumn="0" w:firstRowLastColumn="0" w:lastRowFirstColumn="0" w:lastRowLastColumn="0"/>
            <w:tcW w:w="1187" w:type="pct"/>
          </w:tcPr>
          <w:p w:rsidR="000B5C96" w:rsidRPr="006C384A" w:rsidRDefault="000B5C96" w:rsidP="003F606A">
            <w:pPr>
              <w:keepNext/>
              <w:keepLines/>
              <w:spacing w:line="240" w:lineRule="auto"/>
              <w:ind w:left="57" w:right="57"/>
              <w:rPr>
                <w:rFonts w:ascii="Calibri" w:hAnsi="Calibri"/>
                <w:sz w:val="20"/>
                <w:szCs w:val="20"/>
              </w:rPr>
            </w:pPr>
            <w:r w:rsidRPr="006C384A">
              <w:rPr>
                <w:rFonts w:ascii="Calibri" w:hAnsi="Calibri"/>
                <w:sz w:val="20"/>
                <w:szCs w:val="20"/>
              </w:rPr>
              <w:t>Departmental</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C384A">
              <w:rPr>
                <w:rFonts w:ascii="Calibri" w:hAnsi="Calibri"/>
                <w:i/>
                <w:sz w:val="20"/>
                <w:szCs w:val="20"/>
              </w:rPr>
              <w:t>-1.3</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C384A">
              <w:rPr>
                <w:rFonts w:ascii="Calibri" w:hAnsi="Calibri"/>
                <w:i/>
                <w:sz w:val="20"/>
                <w:szCs w:val="20"/>
              </w:rPr>
              <w:t>-1.6</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C384A">
              <w:rPr>
                <w:rFonts w:ascii="Calibri" w:hAnsi="Calibri"/>
                <w:i/>
                <w:sz w:val="20"/>
                <w:szCs w:val="20"/>
              </w:rPr>
              <w:t>-1.6</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C384A">
              <w:rPr>
                <w:rFonts w:ascii="Calibri" w:hAnsi="Calibri"/>
                <w:i/>
                <w:sz w:val="20"/>
                <w:szCs w:val="20"/>
              </w:rPr>
              <w:t>-1.6</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C384A">
              <w:rPr>
                <w:rFonts w:ascii="Calibri" w:hAnsi="Calibri"/>
                <w:b/>
                <w:i/>
                <w:sz w:val="20"/>
                <w:szCs w:val="20"/>
              </w:rPr>
              <w:t>-6.2</w:t>
            </w:r>
          </w:p>
        </w:tc>
        <w:tc>
          <w:tcPr>
            <w:tcW w:w="545"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C384A">
              <w:rPr>
                <w:rFonts w:ascii="Calibri" w:hAnsi="Calibri"/>
                <w:i/>
                <w:sz w:val="20"/>
                <w:szCs w:val="20"/>
              </w:rPr>
              <w:t>-1.7</w:t>
            </w:r>
          </w:p>
        </w:tc>
        <w:tc>
          <w:tcPr>
            <w:tcW w:w="543" w:type="pct"/>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C384A">
              <w:rPr>
                <w:rFonts w:ascii="Calibri" w:hAnsi="Calibri"/>
                <w:b/>
                <w:i/>
                <w:sz w:val="20"/>
                <w:szCs w:val="20"/>
              </w:rPr>
              <w:t>-7.9</w:t>
            </w:r>
          </w:p>
        </w:tc>
      </w:tr>
      <w:tr w:rsidR="000B5C96" w:rsidRPr="006C384A" w:rsidTr="003F606A">
        <w:trPr>
          <w:cantSplit/>
        </w:trPr>
        <w:tc>
          <w:tcPr>
            <w:cnfStyle w:val="001000000000" w:firstRow="0" w:lastRow="0" w:firstColumn="1" w:lastColumn="0" w:oddVBand="0" w:evenVBand="0" w:oddHBand="0" w:evenHBand="0" w:firstRowFirstColumn="0" w:firstRowLastColumn="0" w:lastRowFirstColumn="0" w:lastRowLastColumn="0"/>
            <w:tcW w:w="1187" w:type="pct"/>
            <w:shd w:val="clear" w:color="auto" w:fill="D7DDE9"/>
          </w:tcPr>
          <w:p w:rsidR="000B5C96" w:rsidRPr="006C384A" w:rsidRDefault="000B5C96" w:rsidP="003F606A">
            <w:pPr>
              <w:keepNext/>
              <w:keepLines/>
              <w:spacing w:line="240" w:lineRule="auto"/>
              <w:ind w:left="57" w:right="57"/>
              <w:rPr>
                <w:rFonts w:ascii="Calibri" w:hAnsi="Calibri"/>
                <w:b/>
                <w:sz w:val="20"/>
                <w:szCs w:val="20"/>
              </w:rPr>
            </w:pPr>
            <w:r w:rsidRPr="006C384A">
              <w:rPr>
                <w:rFonts w:ascii="Calibri" w:hAnsi="Calibri"/>
                <w:b/>
                <w:sz w:val="20"/>
                <w:szCs w:val="20"/>
              </w:rPr>
              <w:t>Total</w:t>
            </w:r>
          </w:p>
        </w:tc>
        <w:tc>
          <w:tcPr>
            <w:tcW w:w="545" w:type="pct"/>
            <w:shd w:val="clear" w:color="auto" w:fill="D7DDE9"/>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C384A">
              <w:rPr>
                <w:rFonts w:ascii="Calibri" w:hAnsi="Calibri"/>
                <w:b/>
                <w:sz w:val="20"/>
                <w:szCs w:val="20"/>
              </w:rPr>
              <w:t>-1.3</w:t>
            </w:r>
          </w:p>
        </w:tc>
        <w:tc>
          <w:tcPr>
            <w:tcW w:w="545" w:type="pct"/>
            <w:shd w:val="clear" w:color="auto" w:fill="D7DDE9"/>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C384A">
              <w:rPr>
                <w:rFonts w:ascii="Calibri" w:hAnsi="Calibri"/>
                <w:b/>
                <w:sz w:val="20"/>
                <w:szCs w:val="20"/>
              </w:rPr>
              <w:t>-26.6</w:t>
            </w:r>
          </w:p>
        </w:tc>
        <w:tc>
          <w:tcPr>
            <w:tcW w:w="545" w:type="pct"/>
            <w:shd w:val="clear" w:color="auto" w:fill="D7DDE9"/>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C384A">
              <w:rPr>
                <w:rFonts w:ascii="Calibri" w:hAnsi="Calibri"/>
                <w:b/>
                <w:sz w:val="20"/>
                <w:szCs w:val="20"/>
              </w:rPr>
              <w:t>-26.6</w:t>
            </w:r>
          </w:p>
        </w:tc>
        <w:tc>
          <w:tcPr>
            <w:tcW w:w="545" w:type="pct"/>
            <w:shd w:val="clear" w:color="auto" w:fill="D7DDE9"/>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C384A">
              <w:rPr>
                <w:rFonts w:ascii="Calibri" w:hAnsi="Calibri"/>
                <w:b/>
                <w:sz w:val="20"/>
                <w:szCs w:val="20"/>
              </w:rPr>
              <w:t>-26.6</w:t>
            </w:r>
          </w:p>
        </w:tc>
        <w:tc>
          <w:tcPr>
            <w:tcW w:w="545" w:type="pct"/>
            <w:shd w:val="clear" w:color="auto" w:fill="D7DDE9"/>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C384A">
              <w:rPr>
                <w:rFonts w:ascii="Calibri" w:hAnsi="Calibri"/>
                <w:b/>
                <w:sz w:val="20"/>
                <w:szCs w:val="20"/>
              </w:rPr>
              <w:t>-81.2</w:t>
            </w:r>
          </w:p>
        </w:tc>
        <w:tc>
          <w:tcPr>
            <w:tcW w:w="545" w:type="pct"/>
            <w:shd w:val="clear" w:color="auto" w:fill="D7DDE9"/>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C384A">
              <w:rPr>
                <w:rFonts w:ascii="Calibri" w:hAnsi="Calibri"/>
                <w:b/>
                <w:sz w:val="20"/>
                <w:szCs w:val="20"/>
              </w:rPr>
              <w:t>-26.7</w:t>
            </w:r>
          </w:p>
        </w:tc>
        <w:tc>
          <w:tcPr>
            <w:tcW w:w="543" w:type="pct"/>
            <w:shd w:val="clear" w:color="auto" w:fill="D7DDE9"/>
            <w:vAlign w:val="center"/>
          </w:tcPr>
          <w:p w:rsidR="000B5C96" w:rsidRPr="006C384A"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C384A">
              <w:rPr>
                <w:rFonts w:ascii="Calibri" w:hAnsi="Calibri"/>
                <w:b/>
                <w:sz w:val="20"/>
                <w:szCs w:val="20"/>
              </w:rPr>
              <w:t>-107.9</w:t>
            </w:r>
          </w:p>
        </w:tc>
      </w:tr>
    </w:tbl>
    <w:p w:rsidR="000B5C96" w:rsidRPr="00E54AEC" w:rsidRDefault="000B5C96" w:rsidP="00E54AEC">
      <w:pPr>
        <w:pStyle w:val="Footnotes"/>
        <w:numPr>
          <w:ilvl w:val="0"/>
          <w:numId w:val="324"/>
        </w:numPr>
        <w:ind w:left="284" w:hanging="284"/>
        <w:rPr>
          <w:rFonts w:ascii="Times New Roman" w:eastAsia="Times New Roman" w:hAnsi="Times New Roman"/>
          <w:lang w:eastAsia="en-AU"/>
        </w:rPr>
      </w:pPr>
      <w:r w:rsidRPr="006C384A">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AE71EA" w:rsidRDefault="000B5C96" w:rsidP="000B5C96">
      <w:pPr>
        <w:pStyle w:val="Footnotes"/>
        <w:numPr>
          <w:ilvl w:val="0"/>
          <w:numId w:val="7"/>
        </w:numPr>
        <w:ind w:left="284" w:hanging="284"/>
        <w:rPr>
          <w:rFonts w:ascii="Times New Roman" w:eastAsia="Times New Roman" w:hAnsi="Times New Roman"/>
          <w:lang w:eastAsia="en-AU"/>
        </w:rPr>
      </w:pPr>
      <w:r w:rsidRPr="006C384A">
        <w:t>Figures may not sum to totals due to rounding.</w:t>
      </w:r>
    </w:p>
    <w:p w:rsidR="000B5C96" w:rsidRPr="006C384A" w:rsidRDefault="000B5C96" w:rsidP="000B5C96">
      <w:pPr>
        <w:pStyle w:val="Footnotes"/>
        <w:numPr>
          <w:ilvl w:val="0"/>
          <w:numId w:val="121"/>
        </w:numPr>
        <w:ind w:left="284" w:hanging="284"/>
      </w:pPr>
      <w:r w:rsidRPr="006C384A">
        <w:tab/>
        <w:t>Indicates nil.</w:t>
      </w:r>
    </w:p>
    <w:p w:rsidR="000B5C96" w:rsidRDefault="000B5C96" w:rsidP="000B5C96">
      <w:pPr>
        <w:pStyle w:val="Footnotes"/>
        <w:numPr>
          <w:ilvl w:val="0"/>
          <w:numId w:val="128"/>
        </w:numPr>
        <w:ind w:left="284" w:hanging="284"/>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25" w:name="_Toc458001992"/>
      <w:bookmarkStart w:id="226" w:name="_Toc458069477"/>
      <w:r>
        <w:t>GRN087: Community Infrastructure Fund</w:t>
      </w:r>
      <w:bookmarkEnd w:id="225"/>
      <w:bookmarkEnd w:id="226"/>
    </w:p>
    <w:p w:rsidR="000B5C96" w:rsidRDefault="000B5C96" w:rsidP="003F606A">
      <w:pPr>
        <w:pStyle w:val="BodyText"/>
      </w:pPr>
      <w:r>
        <w:rPr>
          <w:noProof/>
          <w:lang w:eastAsia="en-AU"/>
        </w:rPr>
        <w:drawing>
          <wp:inline distT="0" distB="0" distL="0" distR="0" wp14:anchorId="085A5B3D" wp14:editId="0D6AF613">
            <wp:extent cx="2696845" cy="572135"/>
            <wp:effectExtent l="0" t="0" r="8255" b="0"/>
            <wp:docPr id="54" name="Picture 5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625D01" w:rsidRDefault="000B5C96" w:rsidP="000B5C96">
      <w:pPr>
        <w:pStyle w:val="Heading6"/>
        <w:numPr>
          <w:ilvl w:val="0"/>
          <w:numId w:val="5"/>
        </w:numPr>
        <w:tabs>
          <w:tab w:val="right" w:pos="1418"/>
          <w:tab w:val="right" w:pos="1701"/>
          <w:tab w:val="right" w:pos="1985"/>
        </w:tabs>
      </w:pPr>
      <w:r w:rsidRPr="00625D01">
        <w:t>Policy costing—during the caretaker period for the 2016 general election</w:t>
      </w:r>
    </w:p>
    <w:tbl>
      <w:tblPr>
        <w:tblStyle w:val="Style1"/>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National Community Infrastructure Fund</w:t>
            </w:r>
          </w:p>
        </w:tc>
      </w:tr>
      <w:tr w:rsidR="000B5C96" w:rsidRPr="00625D01" w:rsidTr="003F606A">
        <w:tc>
          <w:tcPr>
            <w:tcW w:w="3005" w:type="dxa"/>
          </w:tcPr>
          <w:p w:rsidR="000B5C96" w:rsidRPr="00625D01" w:rsidRDefault="000B5C96" w:rsidP="003F606A">
            <w:pPr>
              <w:pStyle w:val="PullOutBoxBodyText"/>
            </w:pPr>
            <w:r w:rsidRPr="00625D01">
              <w:t>Summary of proposal:</w:t>
            </w:r>
          </w:p>
        </w:tc>
        <w:tc>
          <w:tcPr>
            <w:tcW w:w="5335" w:type="dxa"/>
          </w:tcPr>
          <w:p w:rsidR="000B5C96" w:rsidRPr="00625D01" w:rsidRDefault="000B5C96" w:rsidP="003F606A">
            <w:pPr>
              <w:pStyle w:val="PullOutBoxBodyText"/>
            </w:pPr>
            <w:r w:rsidRPr="00625D01">
              <w:t xml:space="preserve">The proposal would </w:t>
            </w:r>
            <w:r>
              <w:t xml:space="preserve">establish the </w:t>
            </w:r>
            <w:r w:rsidRPr="00625D01">
              <w:t xml:space="preserve">National Community Infrastructure Fund </w:t>
            </w:r>
            <w:r>
              <w:t xml:space="preserve">(the Fund) to </w:t>
            </w:r>
            <w:r w:rsidRPr="00625D01">
              <w:t xml:space="preserve">provide </w:t>
            </w:r>
            <w:r>
              <w:t>grants of $100.0 million over four years.  G</w:t>
            </w:r>
            <w:r w:rsidRPr="00625D01">
              <w:t xml:space="preserve">rants </w:t>
            </w:r>
            <w:r>
              <w:t xml:space="preserve">would be </w:t>
            </w:r>
            <w:r w:rsidRPr="00625D01">
              <w:t xml:space="preserve">available </w:t>
            </w:r>
            <w:r>
              <w:t xml:space="preserve">to </w:t>
            </w:r>
            <w:r w:rsidRPr="00625D01">
              <w:t>eligible communities that can demonstrate a critical need for community facilities including:</w:t>
            </w:r>
          </w:p>
          <w:p w:rsidR="000B5C96" w:rsidRPr="00D468DB" w:rsidRDefault="000B5C96" w:rsidP="000B5C96">
            <w:pPr>
              <w:pStyle w:val="PullOutBoxBullet"/>
              <w:numPr>
                <w:ilvl w:val="0"/>
                <w:numId w:val="2"/>
              </w:numPr>
              <w:ind w:left="397"/>
            </w:pPr>
            <w:r>
              <w:t>p</w:t>
            </w:r>
            <w:r w:rsidRPr="00625D01">
              <w:t>lace</w:t>
            </w:r>
            <w:r w:rsidRPr="00D468DB">
              <w:t>making and social spaces</w:t>
            </w:r>
          </w:p>
          <w:p w:rsidR="000B5C96" w:rsidRPr="00D468DB" w:rsidRDefault="000B5C96" w:rsidP="000B5C96">
            <w:pPr>
              <w:pStyle w:val="PullOutBoxBullet"/>
              <w:numPr>
                <w:ilvl w:val="0"/>
                <w:numId w:val="2"/>
              </w:numPr>
              <w:ind w:left="397"/>
            </w:pPr>
            <w:r w:rsidRPr="00D468DB">
              <w:t>community gardens</w:t>
            </w:r>
          </w:p>
          <w:p w:rsidR="000B5C96" w:rsidRPr="00D468DB" w:rsidRDefault="000B5C96" w:rsidP="000B5C96">
            <w:pPr>
              <w:pStyle w:val="PullOutBoxBullet"/>
              <w:numPr>
                <w:ilvl w:val="0"/>
                <w:numId w:val="2"/>
              </w:numPr>
              <w:ind w:left="397"/>
            </w:pPr>
            <w:r w:rsidRPr="00D468DB">
              <w:t>hubs for education and training and small business support</w:t>
            </w:r>
          </w:p>
          <w:p w:rsidR="000B5C96" w:rsidRPr="00D468DB" w:rsidRDefault="000B5C96" w:rsidP="000B5C96">
            <w:pPr>
              <w:pStyle w:val="PullOutBoxBullet"/>
              <w:numPr>
                <w:ilvl w:val="0"/>
                <w:numId w:val="2"/>
              </w:numPr>
              <w:ind w:left="397"/>
            </w:pPr>
            <w:r w:rsidRPr="00D468DB">
              <w:t>recreation and exercise infrastructure</w:t>
            </w:r>
            <w:r>
              <w:t>,</w:t>
            </w:r>
            <w:r w:rsidRPr="00D468DB">
              <w:t xml:space="preserve"> including gym and aquatic facilities</w:t>
            </w:r>
          </w:p>
          <w:p w:rsidR="000B5C96" w:rsidRPr="00D468DB" w:rsidRDefault="000B5C96" w:rsidP="000B5C96">
            <w:pPr>
              <w:pStyle w:val="PullOutBoxBullet"/>
              <w:numPr>
                <w:ilvl w:val="0"/>
                <w:numId w:val="2"/>
              </w:numPr>
              <w:ind w:left="397"/>
            </w:pPr>
            <w:r w:rsidRPr="00D468DB">
              <w:t>spaces that support services to young people</w:t>
            </w:r>
          </w:p>
          <w:p w:rsidR="000B5C96" w:rsidRPr="00D468DB" w:rsidRDefault="000B5C96" w:rsidP="000B5C96">
            <w:pPr>
              <w:pStyle w:val="PullOutBoxBullet"/>
              <w:numPr>
                <w:ilvl w:val="0"/>
                <w:numId w:val="2"/>
              </w:numPr>
              <w:ind w:left="397"/>
            </w:pPr>
            <w:r w:rsidRPr="00D468DB">
              <w:t>spaces to provide services including childcare and healthcare</w:t>
            </w:r>
          </w:p>
          <w:p w:rsidR="000B5C96" w:rsidRPr="00625D01" w:rsidRDefault="000B5C96" w:rsidP="000B5C96">
            <w:pPr>
              <w:pStyle w:val="PullOutBoxBullet"/>
              <w:numPr>
                <w:ilvl w:val="0"/>
                <w:numId w:val="2"/>
              </w:numPr>
              <w:ind w:left="397"/>
            </w:pPr>
            <w:r w:rsidRPr="00D468DB">
              <w:t>creative</w:t>
            </w:r>
            <w:r w:rsidRPr="00625D01">
              <w:t xml:space="preserve"> hubs, co-working spaces, and meeting places.</w:t>
            </w:r>
          </w:p>
          <w:p w:rsidR="000B5C96" w:rsidRPr="00625D01" w:rsidRDefault="000B5C96" w:rsidP="003F606A">
            <w:pPr>
              <w:pStyle w:val="PullOutBoxBodyText"/>
            </w:pPr>
            <w:r w:rsidRPr="00625D01">
              <w:rPr>
                <w:szCs w:val="20"/>
              </w:rPr>
              <w:t>The Fund w</w:t>
            </w:r>
            <w:r>
              <w:rPr>
                <w:szCs w:val="20"/>
              </w:rPr>
              <w:t>ould</w:t>
            </w:r>
            <w:r w:rsidRPr="00625D01">
              <w:rPr>
                <w:szCs w:val="20"/>
              </w:rPr>
              <w:t xml:space="preserve"> provide grants through merit-based funding rounds, with 70</w:t>
            </w:r>
            <w:r>
              <w:rPr>
                <w:szCs w:val="20"/>
              </w:rPr>
              <w:t xml:space="preserve"> per cent</w:t>
            </w:r>
            <w:r w:rsidRPr="00625D01">
              <w:rPr>
                <w:szCs w:val="20"/>
              </w:rPr>
              <w:t xml:space="preserve"> dedicated to outer metropolitan growth areas.</w:t>
            </w:r>
          </w:p>
          <w:p w:rsidR="000B5C96" w:rsidRPr="00625D01" w:rsidRDefault="000B5C96" w:rsidP="003F606A">
            <w:pPr>
              <w:pStyle w:val="PullOutBoxBodyText"/>
            </w:pPr>
            <w:r w:rsidRPr="00625D01">
              <w:t>The proposal would have effect from 1 September 2016.</w:t>
            </w:r>
          </w:p>
        </w:tc>
      </w:tr>
      <w:tr w:rsidR="000B5C96" w:rsidRPr="00625D01" w:rsidTr="003F606A">
        <w:tc>
          <w:tcPr>
            <w:tcW w:w="3005" w:type="dxa"/>
          </w:tcPr>
          <w:p w:rsidR="000B5C96" w:rsidRPr="00625D01" w:rsidRDefault="000B5C96" w:rsidP="003F606A">
            <w:pPr>
              <w:pStyle w:val="PullOutBoxBodyText"/>
            </w:pPr>
            <w:r w:rsidRPr="00625D01">
              <w:t>Person/party requesting costing:</w:t>
            </w:r>
          </w:p>
        </w:tc>
        <w:tc>
          <w:tcPr>
            <w:tcW w:w="5335" w:type="dxa"/>
          </w:tcPr>
          <w:p w:rsidR="000B5C96" w:rsidRPr="00625D01" w:rsidRDefault="000B5C96" w:rsidP="003F606A">
            <w:pPr>
              <w:pStyle w:val="PullOutBoxBodyText"/>
            </w:pPr>
            <w:r w:rsidRPr="00625D01">
              <w:t>Senator Richard Di Natale, Australian Greens</w:t>
            </w:r>
          </w:p>
        </w:tc>
      </w:tr>
      <w:tr w:rsidR="000B5C96" w:rsidRPr="00625D01" w:rsidTr="003F606A">
        <w:tc>
          <w:tcPr>
            <w:tcW w:w="3005" w:type="dxa"/>
          </w:tcPr>
          <w:p w:rsidR="000B5C96" w:rsidRPr="00625D01" w:rsidRDefault="000B5C96" w:rsidP="003F606A">
            <w:pPr>
              <w:pStyle w:val="PullOutBoxBodyText"/>
            </w:pPr>
            <w:r w:rsidRPr="00625D01">
              <w:t>Date of public release of policy:</w:t>
            </w:r>
          </w:p>
        </w:tc>
        <w:tc>
          <w:tcPr>
            <w:tcW w:w="5335" w:type="dxa"/>
          </w:tcPr>
          <w:p w:rsidR="000B5C96" w:rsidRPr="00625D01" w:rsidRDefault="000B5C96" w:rsidP="003F606A">
            <w:pPr>
              <w:pStyle w:val="PullOutBoxBodyText"/>
            </w:pPr>
            <w:r w:rsidRPr="00625D01">
              <w:t>30 June 2016</w:t>
            </w:r>
          </w:p>
          <w:p w:rsidR="000B5C96" w:rsidRPr="00625D01" w:rsidRDefault="00E46526" w:rsidP="003F606A">
            <w:pPr>
              <w:pStyle w:val="PullOutBoxBodyText"/>
            </w:pPr>
            <w:hyperlink r:id="rId604" w:history="1">
              <w:r w:rsidR="000B5C96" w:rsidRPr="00625D01">
                <w:rPr>
                  <w:rStyle w:val="Hyperlink"/>
                </w:rPr>
                <w:t>http://greens.org.au/news/wa/greens-launch-national-community-infrastructure-fund</w:t>
              </w:r>
            </w:hyperlink>
          </w:p>
        </w:tc>
      </w:tr>
      <w:tr w:rsidR="000B5C96" w:rsidRPr="00625D01" w:rsidTr="003F606A">
        <w:tc>
          <w:tcPr>
            <w:tcW w:w="3005" w:type="dxa"/>
          </w:tcPr>
          <w:p w:rsidR="000B5C96" w:rsidRPr="00625D01" w:rsidRDefault="000B5C96" w:rsidP="003F606A">
            <w:pPr>
              <w:pStyle w:val="PullOutBoxBodyText"/>
            </w:pPr>
            <w:r w:rsidRPr="00625D01">
              <w:t>Date costing request received:</w:t>
            </w:r>
          </w:p>
        </w:tc>
        <w:tc>
          <w:tcPr>
            <w:tcW w:w="5335" w:type="dxa"/>
          </w:tcPr>
          <w:p w:rsidR="000B5C96" w:rsidRPr="00625D01" w:rsidRDefault="000B5C96" w:rsidP="003F606A">
            <w:pPr>
              <w:pStyle w:val="PullOutBoxBodyText"/>
            </w:pPr>
            <w:r w:rsidRPr="00625D01">
              <w:t>1 July 2016</w:t>
            </w:r>
          </w:p>
        </w:tc>
      </w:tr>
      <w:tr w:rsidR="000B5C96" w:rsidRPr="00625D01" w:rsidTr="003F606A">
        <w:tc>
          <w:tcPr>
            <w:tcW w:w="3005" w:type="dxa"/>
          </w:tcPr>
          <w:p w:rsidR="000B5C96" w:rsidRPr="00625D01" w:rsidRDefault="000B5C96" w:rsidP="003F606A">
            <w:pPr>
              <w:pStyle w:val="PullOutBoxBodyText"/>
            </w:pPr>
            <w:r w:rsidRPr="00625D01">
              <w:t>Date costing completed</w:t>
            </w:r>
            <w:r>
              <w:t>:</w:t>
            </w:r>
          </w:p>
        </w:tc>
        <w:tc>
          <w:tcPr>
            <w:tcW w:w="5335" w:type="dxa"/>
          </w:tcPr>
          <w:p w:rsidR="000B5C96" w:rsidRPr="00625D01" w:rsidRDefault="000B5C96" w:rsidP="003F606A">
            <w:pPr>
              <w:pStyle w:val="PullOutBoxBodyText"/>
            </w:pPr>
            <w:r w:rsidRPr="00625D01">
              <w:t>1 July 2016</w:t>
            </w:r>
          </w:p>
        </w:tc>
      </w:tr>
      <w:tr w:rsidR="000B5C96" w:rsidRPr="00625D01" w:rsidTr="003F606A">
        <w:tc>
          <w:tcPr>
            <w:tcW w:w="3005" w:type="dxa"/>
          </w:tcPr>
          <w:p w:rsidR="000B5C96" w:rsidRPr="00625D01" w:rsidRDefault="000B5C96" w:rsidP="003F606A">
            <w:pPr>
              <w:pStyle w:val="PullOutBoxBodyText"/>
            </w:pPr>
            <w:r w:rsidRPr="00625D01">
              <w:t>Expiry date for the costing:</w:t>
            </w:r>
          </w:p>
        </w:tc>
        <w:tc>
          <w:tcPr>
            <w:tcW w:w="5335" w:type="dxa"/>
          </w:tcPr>
          <w:p w:rsidR="000B5C96" w:rsidRPr="00625D01" w:rsidRDefault="000B5C96" w:rsidP="003F606A">
            <w:pPr>
              <w:pStyle w:val="PullOutBoxBodyText"/>
            </w:pPr>
            <w:r w:rsidRPr="00625D01">
              <w:t>Release of the next economic and fiscal outlook report</w:t>
            </w:r>
          </w:p>
        </w:tc>
      </w:tr>
    </w:tbl>
    <w:p w:rsidR="000B5C96" w:rsidRPr="0031137B" w:rsidRDefault="000B5C96" w:rsidP="003F606A">
      <w:pPr>
        <w:pStyle w:val="CostingsH7"/>
      </w:pPr>
      <w:r w:rsidRPr="0031137B">
        <w:t>Costing overview</w:t>
      </w:r>
    </w:p>
    <w:p w:rsidR="000B5C96" w:rsidRPr="0031137B" w:rsidRDefault="000B5C96" w:rsidP="003F606A">
      <w:pPr>
        <w:pStyle w:val="BodyText"/>
      </w:pPr>
      <w:r w:rsidRPr="0031137B">
        <w:t xml:space="preserve">This proposal would be expected to decrease the fiscal and underlying cash balances by $100.0 million over the 2016-17 Budget forward estimates period.  This reflects an increase in administered expenses of $97.1 million and departmental expenses of $2.9 million. </w:t>
      </w:r>
    </w:p>
    <w:p w:rsidR="000B5C96" w:rsidRPr="0031137B" w:rsidRDefault="000B5C96" w:rsidP="003F606A">
      <w:pPr>
        <w:pStyle w:val="BodyText"/>
      </w:pPr>
      <w:r w:rsidRPr="0031137B">
        <w:t xml:space="preserve">This proposal would not have financial implications outside the 2016-17 Budget forward estimates period as it is scheduled to conclude at the end of 2019-20.  A breakdown of the financial implications over the 2016-17 Budget forward estimates period has been provided at </w:t>
      </w:r>
      <w:r w:rsidRPr="0031137B">
        <w:rPr>
          <w:u w:val="single"/>
        </w:rPr>
        <w:t>Attachment A</w:t>
      </w:r>
      <w:r w:rsidRPr="0031137B">
        <w:t>.</w:t>
      </w:r>
    </w:p>
    <w:p w:rsidR="000B5C96" w:rsidRPr="0031137B" w:rsidRDefault="000B5C96" w:rsidP="003F606A">
      <w:pPr>
        <w:pStyle w:val="BodyText"/>
      </w:pPr>
      <w:r w:rsidRPr="0031137B">
        <w:t>The costing is considered to be of high reliability as it is based on specified capped amounts, and the application of administrative costs from within the capped amounts is based on similar programs.</w:t>
      </w:r>
    </w:p>
    <w:p w:rsidR="000B5C96" w:rsidRPr="0031137B" w:rsidRDefault="000B5C96" w:rsidP="003F606A">
      <w:pPr>
        <w:pStyle w:val="Caption"/>
      </w:pPr>
      <w:r w:rsidRPr="0031137B">
        <w:t>Table 1: Financial implications (outturn prices)</w:t>
      </w:r>
      <w:r w:rsidRPr="0031137B">
        <w:rPr>
          <w:vertAlign w:val="superscript"/>
        </w:rPr>
        <w:t>(a)</w:t>
      </w:r>
    </w:p>
    <w:tbl>
      <w:tblPr>
        <w:tblStyle w:val="TableGrid84"/>
        <w:tblW w:w="4993" w:type="pct"/>
        <w:tblLook w:val="04A0" w:firstRow="1" w:lastRow="0" w:firstColumn="1" w:lastColumn="0" w:noHBand="0" w:noVBand="1"/>
      </w:tblPr>
      <w:tblGrid>
        <w:gridCol w:w="2645"/>
        <w:gridCol w:w="1134"/>
        <w:gridCol w:w="1133"/>
        <w:gridCol w:w="1133"/>
        <w:gridCol w:w="1133"/>
        <w:gridCol w:w="1132"/>
      </w:tblGrid>
      <w:tr w:rsidR="000B5C96" w:rsidRPr="0031137B"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31137B" w:rsidRDefault="000B5C96" w:rsidP="003F606A">
            <w:pPr>
              <w:keepNext/>
              <w:keepLines/>
              <w:spacing w:line="240" w:lineRule="auto"/>
              <w:ind w:left="57" w:right="57"/>
              <w:rPr>
                <w:szCs w:val="20"/>
              </w:rPr>
            </w:pPr>
            <w:r w:rsidRPr="0031137B">
              <w:rPr>
                <w:szCs w:val="20"/>
              </w:rPr>
              <w:t>Impact on ($m)</w:t>
            </w:r>
          </w:p>
        </w:tc>
        <w:tc>
          <w:tcPr>
            <w:tcW w:w="682" w:type="pct"/>
          </w:tcPr>
          <w:p w:rsidR="000B5C96" w:rsidRPr="0031137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1137B">
              <w:rPr>
                <w:szCs w:val="20"/>
              </w:rPr>
              <w:t>2016–17</w:t>
            </w:r>
          </w:p>
        </w:tc>
        <w:tc>
          <w:tcPr>
            <w:tcW w:w="682" w:type="pct"/>
          </w:tcPr>
          <w:p w:rsidR="000B5C96" w:rsidRPr="0031137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1137B">
              <w:rPr>
                <w:szCs w:val="20"/>
              </w:rPr>
              <w:t>2017–18</w:t>
            </w:r>
          </w:p>
        </w:tc>
        <w:tc>
          <w:tcPr>
            <w:tcW w:w="682" w:type="pct"/>
          </w:tcPr>
          <w:p w:rsidR="000B5C96" w:rsidRPr="0031137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1137B">
              <w:rPr>
                <w:szCs w:val="20"/>
              </w:rPr>
              <w:t>2018–19</w:t>
            </w:r>
          </w:p>
        </w:tc>
        <w:tc>
          <w:tcPr>
            <w:tcW w:w="682" w:type="pct"/>
          </w:tcPr>
          <w:p w:rsidR="000B5C96" w:rsidRPr="0031137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1137B">
              <w:rPr>
                <w:szCs w:val="20"/>
              </w:rPr>
              <w:t>2019–20</w:t>
            </w:r>
          </w:p>
        </w:tc>
        <w:tc>
          <w:tcPr>
            <w:tcW w:w="681" w:type="pct"/>
          </w:tcPr>
          <w:p w:rsidR="000B5C96" w:rsidRPr="0031137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1137B">
              <w:rPr>
                <w:b/>
                <w:szCs w:val="20"/>
              </w:rPr>
              <w:t>Total</w:t>
            </w:r>
          </w:p>
        </w:tc>
      </w:tr>
      <w:tr w:rsidR="000B5C96" w:rsidRPr="0031137B"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31137B" w:rsidRDefault="000B5C96" w:rsidP="003F606A">
            <w:pPr>
              <w:keepNext/>
              <w:keepLines/>
              <w:ind w:left="57" w:right="57"/>
              <w:rPr>
                <w:szCs w:val="20"/>
              </w:rPr>
            </w:pPr>
            <w:r w:rsidRPr="0031137B">
              <w:rPr>
                <w:szCs w:val="20"/>
              </w:rPr>
              <w:t>Fiscal balance</w:t>
            </w:r>
          </w:p>
        </w:tc>
        <w:tc>
          <w:tcPr>
            <w:tcW w:w="682" w:type="pct"/>
            <w:vAlign w:val="bottom"/>
          </w:tcPr>
          <w:p w:rsidR="000B5C96" w:rsidRPr="0031137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31137B">
              <w:rPr>
                <w:rFonts w:ascii="Calibri" w:hAnsi="Calibri"/>
                <w:color w:val="000000"/>
                <w:szCs w:val="20"/>
              </w:rPr>
              <w:t>-25.0</w:t>
            </w:r>
          </w:p>
        </w:tc>
        <w:tc>
          <w:tcPr>
            <w:tcW w:w="682" w:type="pct"/>
            <w:vAlign w:val="bottom"/>
          </w:tcPr>
          <w:p w:rsidR="000B5C96" w:rsidRPr="0031137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31137B">
              <w:rPr>
                <w:rFonts w:ascii="Calibri" w:hAnsi="Calibri"/>
                <w:color w:val="000000"/>
                <w:szCs w:val="20"/>
              </w:rPr>
              <w:t>-25.0</w:t>
            </w:r>
          </w:p>
        </w:tc>
        <w:tc>
          <w:tcPr>
            <w:tcW w:w="682" w:type="pct"/>
            <w:vAlign w:val="bottom"/>
          </w:tcPr>
          <w:p w:rsidR="000B5C96" w:rsidRPr="0031137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31137B">
              <w:rPr>
                <w:rFonts w:ascii="Calibri" w:hAnsi="Calibri"/>
                <w:color w:val="000000"/>
                <w:szCs w:val="20"/>
              </w:rPr>
              <w:t>-25.0</w:t>
            </w:r>
          </w:p>
        </w:tc>
        <w:tc>
          <w:tcPr>
            <w:tcW w:w="682" w:type="pct"/>
            <w:vAlign w:val="bottom"/>
          </w:tcPr>
          <w:p w:rsidR="000B5C96" w:rsidRPr="0031137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31137B">
              <w:rPr>
                <w:rFonts w:ascii="Calibri" w:hAnsi="Calibri"/>
                <w:color w:val="000000"/>
                <w:szCs w:val="20"/>
              </w:rPr>
              <w:t>-25.0</w:t>
            </w:r>
          </w:p>
        </w:tc>
        <w:tc>
          <w:tcPr>
            <w:tcW w:w="681" w:type="pct"/>
            <w:vAlign w:val="bottom"/>
          </w:tcPr>
          <w:p w:rsidR="000B5C96" w:rsidRPr="0031137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31137B">
              <w:rPr>
                <w:rFonts w:ascii="Calibri" w:hAnsi="Calibri"/>
                <w:b/>
                <w:bCs/>
                <w:color w:val="000000"/>
                <w:szCs w:val="20"/>
              </w:rPr>
              <w:t>-100.0</w:t>
            </w:r>
          </w:p>
        </w:tc>
      </w:tr>
      <w:tr w:rsidR="000B5C96" w:rsidRPr="0031137B"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1137B" w:rsidRDefault="000B5C96" w:rsidP="003F606A">
            <w:pPr>
              <w:keepNext/>
              <w:keepLines/>
              <w:ind w:left="57" w:right="57"/>
              <w:rPr>
                <w:szCs w:val="20"/>
              </w:rPr>
            </w:pPr>
            <w:r w:rsidRPr="0031137B">
              <w:rPr>
                <w:szCs w:val="20"/>
              </w:rPr>
              <w:t>Underlying cash balance</w:t>
            </w:r>
          </w:p>
        </w:tc>
        <w:tc>
          <w:tcPr>
            <w:tcW w:w="682" w:type="pct"/>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31137B">
              <w:rPr>
                <w:rFonts w:ascii="Calibri" w:hAnsi="Calibri"/>
                <w:color w:val="000000"/>
                <w:szCs w:val="20"/>
              </w:rPr>
              <w:t>-25.0</w:t>
            </w:r>
          </w:p>
        </w:tc>
        <w:tc>
          <w:tcPr>
            <w:tcW w:w="682" w:type="pct"/>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31137B">
              <w:rPr>
                <w:rFonts w:ascii="Calibri" w:hAnsi="Calibri"/>
                <w:color w:val="000000"/>
                <w:szCs w:val="20"/>
              </w:rPr>
              <w:t>-25.0</w:t>
            </w:r>
          </w:p>
        </w:tc>
        <w:tc>
          <w:tcPr>
            <w:tcW w:w="682" w:type="pct"/>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31137B">
              <w:rPr>
                <w:rFonts w:ascii="Calibri" w:hAnsi="Calibri"/>
                <w:color w:val="000000"/>
                <w:szCs w:val="20"/>
              </w:rPr>
              <w:t>-25.0</w:t>
            </w:r>
          </w:p>
        </w:tc>
        <w:tc>
          <w:tcPr>
            <w:tcW w:w="682" w:type="pct"/>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31137B">
              <w:rPr>
                <w:rFonts w:ascii="Calibri" w:hAnsi="Calibri"/>
                <w:color w:val="000000"/>
                <w:szCs w:val="20"/>
              </w:rPr>
              <w:t>-25.0</w:t>
            </w:r>
          </w:p>
        </w:tc>
        <w:tc>
          <w:tcPr>
            <w:tcW w:w="681" w:type="pct"/>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31137B">
              <w:rPr>
                <w:rFonts w:ascii="Calibri" w:hAnsi="Calibri"/>
                <w:b/>
                <w:bCs/>
                <w:color w:val="000000"/>
                <w:szCs w:val="20"/>
              </w:rPr>
              <w:t>-100.0</w:t>
            </w:r>
          </w:p>
        </w:tc>
      </w:tr>
    </w:tbl>
    <w:p w:rsidR="000B5C96" w:rsidRPr="0031137B" w:rsidRDefault="000B5C96" w:rsidP="00E54AEC">
      <w:pPr>
        <w:pStyle w:val="Footnotes"/>
        <w:numPr>
          <w:ilvl w:val="0"/>
          <w:numId w:val="325"/>
        </w:numPr>
        <w:ind w:left="284" w:hanging="284"/>
      </w:pPr>
      <w:r w:rsidRPr="0031137B">
        <w:t>A positive number represents an increase in the relevant budget balance, a negative number represents a decrease.</w:t>
      </w:r>
    </w:p>
    <w:p w:rsidR="000B5C96" w:rsidRPr="0031137B" w:rsidRDefault="000B5C96" w:rsidP="000B5C96">
      <w:pPr>
        <w:pStyle w:val="Footnotes"/>
        <w:numPr>
          <w:ilvl w:val="0"/>
          <w:numId w:val="7"/>
        </w:numPr>
        <w:ind w:left="284" w:hanging="284"/>
      </w:pPr>
      <w:r w:rsidRPr="0031137B">
        <w:t>Figures may not sum to totals due to rounding.</w:t>
      </w:r>
    </w:p>
    <w:p w:rsidR="000B5C96" w:rsidRPr="0031137B" w:rsidRDefault="000B5C96" w:rsidP="003F606A">
      <w:pPr>
        <w:pStyle w:val="CostingsH7"/>
      </w:pPr>
      <w:r w:rsidRPr="0031137B">
        <w:t>Key assumptions</w:t>
      </w:r>
    </w:p>
    <w:p w:rsidR="000B5C96" w:rsidRPr="0031137B" w:rsidRDefault="000B5C96" w:rsidP="003F606A">
      <w:pPr>
        <w:pStyle w:val="BodyText"/>
      </w:pPr>
      <w:r w:rsidRPr="0031137B">
        <w:t>In costing this proposal it has been assumed that:</w:t>
      </w:r>
    </w:p>
    <w:p w:rsidR="000B5C96" w:rsidRPr="0031137B" w:rsidRDefault="000B5C96" w:rsidP="000B5C96">
      <w:pPr>
        <w:pStyle w:val="ListBullet"/>
        <w:numPr>
          <w:ilvl w:val="0"/>
          <w:numId w:val="123"/>
        </w:numPr>
        <w:ind w:left="454" w:hanging="454"/>
        <w:rPr>
          <w:lang w:eastAsia="en-AU"/>
        </w:rPr>
      </w:pPr>
      <w:r w:rsidRPr="0031137B">
        <w:rPr>
          <w:lang w:eastAsia="en-AU"/>
        </w:rPr>
        <w:t>the full $25.0 million (including departmental expenses) would be spent over the ten months of 2016-17 from the commencement date of 1 September 2016</w:t>
      </w:r>
    </w:p>
    <w:p w:rsidR="000B5C96" w:rsidRPr="0031137B" w:rsidRDefault="000B5C96" w:rsidP="000B5C96">
      <w:pPr>
        <w:pStyle w:val="ListBullet"/>
        <w:numPr>
          <w:ilvl w:val="0"/>
          <w:numId w:val="123"/>
        </w:numPr>
        <w:ind w:left="454" w:hanging="454"/>
        <w:rPr>
          <w:lang w:eastAsia="en-AU"/>
        </w:rPr>
      </w:pPr>
      <w:r w:rsidRPr="0031137B">
        <w:rPr>
          <w:lang w:eastAsia="en-AU"/>
        </w:rPr>
        <w:t>administrative expenses would be met from within the capped funding amount.</w:t>
      </w:r>
    </w:p>
    <w:p w:rsidR="000B5C96" w:rsidRPr="0031137B" w:rsidRDefault="000B5C96" w:rsidP="003F606A">
      <w:pPr>
        <w:pStyle w:val="CostingsH7"/>
      </w:pPr>
      <w:r w:rsidRPr="0031137B">
        <w:t>Methodology</w:t>
      </w:r>
    </w:p>
    <w:p w:rsidR="000B5C96" w:rsidRPr="0031137B" w:rsidRDefault="000B5C96" w:rsidP="003F606A">
      <w:pPr>
        <w:pStyle w:val="BodyText"/>
      </w:pPr>
      <w:r w:rsidRPr="0031137B">
        <w:t>Departmental expenditure estimates are accommodated within the capped funding amounts and are based on other like programs and the estimates account for the net effect of indexation parameters and the efficiency dividend, in accordance with the Department of Finance’s costing practices.</w:t>
      </w:r>
    </w:p>
    <w:p w:rsidR="000B5C96" w:rsidRPr="0031137B" w:rsidRDefault="000B5C96" w:rsidP="003F606A">
      <w:pPr>
        <w:pStyle w:val="BodyText"/>
      </w:pPr>
      <w:r w:rsidRPr="0031137B">
        <w:t>Administered expenditure estimates are the remainder of the capped funding amounts after allowing for the estimated departmental expenditure.</w:t>
      </w:r>
    </w:p>
    <w:p w:rsidR="000B5C96" w:rsidRPr="0031137B" w:rsidRDefault="000B5C96" w:rsidP="003F606A">
      <w:pPr>
        <w:pStyle w:val="CostingsH7"/>
      </w:pPr>
      <w:r w:rsidRPr="0031137B">
        <w:t>Data sources</w:t>
      </w:r>
    </w:p>
    <w:p w:rsidR="000B5C96" w:rsidRPr="0031137B" w:rsidRDefault="000B5C96" w:rsidP="003F606A">
      <w:pPr>
        <w:pStyle w:val="BodyText"/>
        <w:sectPr w:rsidR="000B5C96" w:rsidRPr="0031137B" w:rsidSect="003F606A">
          <w:headerReference w:type="even" r:id="rId605"/>
          <w:headerReference w:type="default" r:id="rId606"/>
          <w:footerReference w:type="even" r:id="rId607"/>
          <w:footerReference w:type="default" r:id="rId608"/>
          <w:headerReference w:type="first" r:id="rId609"/>
          <w:footerReference w:type="first" r:id="rId610"/>
          <w:pgSz w:w="11906" w:h="16838"/>
          <w:pgMar w:top="1361" w:right="1797" w:bottom="1474" w:left="1797" w:header="283" w:footer="454" w:gutter="0"/>
          <w:cols w:space="708"/>
          <w:docGrid w:linePitch="360"/>
        </w:sectPr>
      </w:pPr>
      <w:r w:rsidRPr="0031137B">
        <w:t>The Department of Finance provided efficiency dividend and indexation parameters.</w:t>
      </w:r>
    </w:p>
    <w:p w:rsidR="000B5C96" w:rsidRPr="0031137B" w:rsidRDefault="000B5C96" w:rsidP="000B5C96">
      <w:pPr>
        <w:pStyle w:val="Heading6"/>
        <w:numPr>
          <w:ilvl w:val="0"/>
          <w:numId w:val="5"/>
        </w:numPr>
        <w:tabs>
          <w:tab w:val="right" w:pos="1418"/>
          <w:tab w:val="right" w:pos="1701"/>
          <w:tab w:val="right" w:pos="1985"/>
        </w:tabs>
      </w:pPr>
      <w:r w:rsidRPr="0031137B">
        <w:t>Attachment A: National Community Infrastructure Fund—financial implications</w:t>
      </w:r>
    </w:p>
    <w:p w:rsidR="000B5C96" w:rsidRPr="0031137B" w:rsidRDefault="000B5C96" w:rsidP="003F606A">
      <w:pPr>
        <w:pStyle w:val="Caption"/>
        <w:rPr>
          <w:vertAlign w:val="superscript"/>
        </w:rPr>
      </w:pPr>
      <w:r w:rsidRPr="0031137B">
        <w:t>Table A1: National Community Infrastructure Fund—Financial implications (outturn prices)</w:t>
      </w:r>
      <w:r w:rsidRPr="0031137B">
        <w:rPr>
          <w:vertAlign w:val="superscript"/>
        </w:rPr>
        <w:t>(a)(b)</w:t>
      </w:r>
    </w:p>
    <w:tbl>
      <w:tblPr>
        <w:tblStyle w:val="TableGrid85"/>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31137B"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center"/>
          </w:tcPr>
          <w:p w:rsidR="000B5C96" w:rsidRPr="0031137B" w:rsidRDefault="000B5C96" w:rsidP="003F606A">
            <w:pPr>
              <w:keepNext/>
              <w:keepLines/>
              <w:spacing w:line="240" w:lineRule="auto"/>
              <w:ind w:left="57" w:right="57"/>
              <w:rPr>
                <w:b/>
                <w:szCs w:val="20"/>
              </w:rPr>
            </w:pPr>
            <w:r w:rsidRPr="0031137B">
              <w:rPr>
                <w:szCs w:val="20"/>
              </w:rPr>
              <w:t>($m)</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1137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1137B">
              <w:t>2016–17</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1137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1137B">
              <w:t>2017–18</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1137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1137B">
              <w:t>2018–19</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1137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1137B">
              <w:t>2019–20</w:t>
            </w:r>
          </w:p>
        </w:tc>
        <w:tc>
          <w:tcPr>
            <w:tcW w:w="682" w:type="pct"/>
            <w:tcBorders>
              <w:top w:val="single" w:sz="4" w:space="0" w:color="788184"/>
              <w:left w:val="single" w:sz="4" w:space="0" w:color="788184"/>
              <w:bottom w:val="single" w:sz="4" w:space="0" w:color="788184"/>
              <w:right w:val="single" w:sz="4" w:space="0" w:color="788184"/>
            </w:tcBorders>
            <w:vAlign w:val="center"/>
          </w:tcPr>
          <w:p w:rsidR="000B5C96" w:rsidRPr="0031137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31137B">
              <w:rPr>
                <w:b/>
              </w:rPr>
              <w:t>Total</w:t>
            </w:r>
            <w:r w:rsidRPr="0031137B">
              <w:rPr>
                <w:b/>
                <w:szCs w:val="20"/>
              </w:rPr>
              <w:t xml:space="preserve"> to 2019–20</w:t>
            </w:r>
          </w:p>
        </w:tc>
      </w:tr>
      <w:tr w:rsidR="000B5C96" w:rsidRPr="0031137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31137B" w:rsidRDefault="000B5C96" w:rsidP="003F606A">
            <w:pPr>
              <w:keepNext/>
              <w:keepLines/>
              <w:ind w:left="57" w:right="57"/>
              <w:rPr>
                <w:b/>
              </w:rPr>
            </w:pPr>
            <w:r w:rsidRPr="0031137B">
              <w:rPr>
                <w:b/>
              </w:rPr>
              <w:t>Impact on fiscal and underlying cash balances</w:t>
            </w:r>
          </w:p>
        </w:tc>
      </w:tr>
      <w:tr w:rsidR="000B5C96" w:rsidRPr="0031137B"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31137B" w:rsidRDefault="000B5C96" w:rsidP="003F606A">
            <w:pPr>
              <w:keepNext/>
              <w:keepLines/>
              <w:ind w:left="57" w:right="57"/>
              <w:rPr>
                <w:szCs w:val="20"/>
              </w:rPr>
            </w:pPr>
            <w:r w:rsidRPr="0031137B">
              <w:rPr>
                <w:szCs w:val="20"/>
              </w:rPr>
              <w:t>Administered</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31137B">
              <w:rPr>
                <w:rFonts w:ascii="Calibri" w:hAnsi="Calibri"/>
                <w:color w:val="000000"/>
                <w:szCs w:val="20"/>
              </w:rPr>
              <w:t>-24.3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31137B">
              <w:rPr>
                <w:rFonts w:ascii="Calibri" w:hAnsi="Calibri"/>
                <w:color w:val="000000"/>
                <w:szCs w:val="20"/>
              </w:rPr>
              <w:t>-24.3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31137B">
              <w:rPr>
                <w:rFonts w:ascii="Calibri" w:hAnsi="Calibri"/>
                <w:color w:val="000000"/>
                <w:szCs w:val="20"/>
              </w:rPr>
              <w:t>-24.3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31137B">
              <w:rPr>
                <w:rFonts w:ascii="Calibri" w:hAnsi="Calibri"/>
                <w:color w:val="000000"/>
                <w:szCs w:val="20"/>
              </w:rPr>
              <w:t>-24.3</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31137B">
              <w:rPr>
                <w:rFonts w:ascii="Calibri" w:hAnsi="Calibri"/>
                <w:b/>
                <w:bCs/>
                <w:color w:val="000000"/>
                <w:szCs w:val="20"/>
              </w:rPr>
              <w:t>-97.1</w:t>
            </w:r>
          </w:p>
        </w:tc>
      </w:tr>
      <w:tr w:rsidR="000B5C96" w:rsidRPr="0031137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31137B" w:rsidRDefault="000B5C96" w:rsidP="003F606A">
            <w:pPr>
              <w:keepNext/>
              <w:keepLines/>
              <w:ind w:left="57" w:right="57"/>
              <w:rPr>
                <w:szCs w:val="20"/>
              </w:rPr>
            </w:pPr>
            <w:r w:rsidRPr="0031137B">
              <w:rPr>
                <w:szCs w:val="20"/>
              </w:rPr>
              <w:t>Departmental</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31137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31137B">
              <w:rPr>
                <w:rFonts w:ascii="Calibri" w:hAnsi="Calibri"/>
                <w:color w:val="000000"/>
                <w:szCs w:val="20"/>
              </w:rPr>
              <w:t>-0.7</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31137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31137B">
              <w:rPr>
                <w:rFonts w:ascii="Calibri" w:hAnsi="Calibri"/>
                <w:color w:val="000000"/>
                <w:szCs w:val="20"/>
              </w:rPr>
              <w:t>-0.7</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31137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31137B">
              <w:rPr>
                <w:rFonts w:ascii="Calibri" w:hAnsi="Calibri"/>
                <w:color w:val="000000"/>
                <w:szCs w:val="20"/>
              </w:rPr>
              <w:t>-0.7</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31137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31137B">
              <w:rPr>
                <w:rFonts w:ascii="Calibri" w:hAnsi="Calibri"/>
                <w:color w:val="000000"/>
                <w:szCs w:val="20"/>
              </w:rPr>
              <w:t>-0.7</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31137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0"/>
              </w:rPr>
            </w:pPr>
            <w:r w:rsidRPr="0031137B">
              <w:rPr>
                <w:rFonts w:ascii="Calibri" w:hAnsi="Calibri"/>
                <w:b/>
                <w:bCs/>
                <w:color w:val="000000"/>
                <w:szCs w:val="20"/>
              </w:rPr>
              <w:t>-2.9</w:t>
            </w:r>
          </w:p>
        </w:tc>
      </w:tr>
      <w:tr w:rsidR="000B5C96" w:rsidRPr="0031137B" w:rsidTr="003F606A">
        <w:trPr>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31137B" w:rsidRDefault="000B5C96" w:rsidP="003F606A">
            <w:pPr>
              <w:keepNext/>
              <w:keepLines/>
              <w:ind w:left="57" w:right="57"/>
              <w:rPr>
                <w:b/>
                <w:szCs w:val="20"/>
              </w:rPr>
            </w:pPr>
            <w:r w:rsidRPr="0031137B">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31137B">
              <w:rPr>
                <w:rFonts w:ascii="Calibri" w:hAnsi="Calibri"/>
                <w:b/>
                <w:bCs/>
                <w:color w:val="000000"/>
                <w:szCs w:val="20"/>
              </w:rPr>
              <w:t>-25.0</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31137B">
              <w:rPr>
                <w:rFonts w:ascii="Calibri" w:hAnsi="Calibri"/>
                <w:b/>
                <w:bCs/>
                <w:color w:val="000000"/>
                <w:szCs w:val="20"/>
              </w:rPr>
              <w:t>-25.0</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31137B">
              <w:rPr>
                <w:rFonts w:ascii="Calibri" w:hAnsi="Calibri"/>
                <w:b/>
                <w:bCs/>
                <w:color w:val="000000"/>
                <w:szCs w:val="20"/>
              </w:rPr>
              <w:t>-25.0</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31137B">
              <w:rPr>
                <w:rFonts w:ascii="Calibri" w:hAnsi="Calibri"/>
                <w:b/>
                <w:bCs/>
                <w:color w:val="000000"/>
                <w:szCs w:val="20"/>
              </w:rPr>
              <w:t>-25.0</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31137B"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0"/>
              </w:rPr>
            </w:pPr>
            <w:r w:rsidRPr="0031137B">
              <w:rPr>
                <w:rFonts w:ascii="Calibri" w:hAnsi="Calibri"/>
                <w:b/>
                <w:bCs/>
                <w:color w:val="000000"/>
                <w:szCs w:val="20"/>
              </w:rPr>
              <w:t>-100.0</w:t>
            </w:r>
          </w:p>
        </w:tc>
      </w:tr>
    </w:tbl>
    <w:p w:rsidR="000B5C96" w:rsidRDefault="000B5C96" w:rsidP="00E54AEC">
      <w:pPr>
        <w:pStyle w:val="Footnotes"/>
        <w:numPr>
          <w:ilvl w:val="0"/>
          <w:numId w:val="326"/>
        </w:numPr>
        <w:ind w:left="284" w:hanging="284"/>
      </w:pPr>
      <w:r w:rsidRPr="00F009C0">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Pr="00F009C0" w:rsidRDefault="000B5C96" w:rsidP="000B5C96">
      <w:pPr>
        <w:pStyle w:val="Footnotes"/>
        <w:numPr>
          <w:ilvl w:val="0"/>
          <w:numId w:val="7"/>
        </w:numPr>
        <w:ind w:left="284" w:hanging="284"/>
      </w:pPr>
      <w:r w:rsidRPr="00F009C0">
        <w:t>Figures may not sum to totals due to rounding.</w:t>
      </w:r>
    </w:p>
    <w:p w:rsidR="000B5C96" w:rsidRPr="008C5B57" w:rsidRDefault="000B5C96" w:rsidP="003F606A">
      <w:pPr>
        <w:pStyle w:val="BodyText"/>
      </w:pPr>
    </w:p>
    <w:p w:rsidR="000B5C96" w:rsidRDefault="000B5C96" w:rsidP="003F606A">
      <w:pPr>
        <w:pStyle w:val="Heading5"/>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27" w:name="_Toc458001993"/>
      <w:bookmarkStart w:id="228" w:name="_Toc458069478"/>
      <w:r>
        <w:t>GRN088: Infrastructure Bank: Financing the new economy</w:t>
      </w:r>
      <w:bookmarkEnd w:id="227"/>
      <w:bookmarkEnd w:id="228"/>
    </w:p>
    <w:p w:rsidR="000B5C96" w:rsidRDefault="000B5C96" w:rsidP="003F606A">
      <w:pPr>
        <w:pStyle w:val="BodyText"/>
      </w:pPr>
      <w:r>
        <w:rPr>
          <w:noProof/>
          <w:lang w:eastAsia="en-AU"/>
        </w:rPr>
        <w:drawing>
          <wp:inline distT="0" distB="0" distL="0" distR="0" wp14:anchorId="5B6EF23F" wp14:editId="4A502F55">
            <wp:extent cx="2696845" cy="572135"/>
            <wp:effectExtent l="0" t="0" r="8255" b="0"/>
            <wp:docPr id="55" name="Picture 5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AE221D" w:rsidRDefault="000B5C96" w:rsidP="000B5C96">
      <w:pPr>
        <w:pStyle w:val="Heading6"/>
        <w:numPr>
          <w:ilvl w:val="0"/>
          <w:numId w:val="5"/>
        </w:numPr>
        <w:tabs>
          <w:tab w:val="right" w:pos="1418"/>
          <w:tab w:val="right" w:pos="1701"/>
          <w:tab w:val="right" w:pos="1985"/>
        </w:tabs>
      </w:pPr>
      <w:r w:rsidRPr="00AE221D">
        <w:t>Policy costing—2016 post-election report</w:t>
      </w:r>
    </w:p>
    <w:tbl>
      <w:tblPr>
        <w:tblStyle w:val="Style1"/>
        <w:tblW w:w="5000" w:type="pct"/>
        <w:tblLook w:val="04A0" w:firstRow="1" w:lastRow="0" w:firstColumn="1" w:lastColumn="0" w:noHBand="0" w:noVBand="1"/>
      </w:tblPr>
      <w:tblGrid>
        <w:gridCol w:w="3081"/>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sz w:val="22"/>
              </w:rPr>
            </w:pPr>
            <w:r w:rsidRPr="00EA7F7A">
              <w:rPr>
                <w:b/>
                <w:sz w:val="22"/>
              </w:rPr>
              <w:t>Name of proposal:</w:t>
            </w:r>
          </w:p>
        </w:tc>
        <w:tc>
          <w:tcPr>
            <w:tcW w:w="3194" w:type="pct"/>
          </w:tcPr>
          <w:p w:rsidR="000B5C96" w:rsidRPr="00EA7F7A" w:rsidRDefault="000B5C96" w:rsidP="003F606A">
            <w:pPr>
              <w:pStyle w:val="PullOutBoxHeading"/>
              <w:rPr>
                <w:b/>
                <w:sz w:val="22"/>
              </w:rPr>
            </w:pPr>
            <w:r w:rsidRPr="00EA7F7A">
              <w:rPr>
                <w:b/>
                <w:sz w:val="22"/>
              </w:rPr>
              <w:t>Infrastructure Bank: Financing the new economy</w:t>
            </w:r>
          </w:p>
        </w:tc>
      </w:tr>
      <w:tr w:rsidR="000B5C96" w:rsidRPr="00AE221D" w:rsidTr="003F606A">
        <w:tc>
          <w:tcPr>
            <w:tcW w:w="1806" w:type="pct"/>
          </w:tcPr>
          <w:p w:rsidR="000B5C96" w:rsidRPr="00AE221D" w:rsidRDefault="000B5C96" w:rsidP="003F606A">
            <w:pPr>
              <w:pStyle w:val="PullOutBoxBodyText"/>
            </w:pPr>
            <w:r w:rsidRPr="00AE221D">
              <w:t>Summary of proposal:</w:t>
            </w:r>
          </w:p>
        </w:tc>
        <w:tc>
          <w:tcPr>
            <w:tcW w:w="3194" w:type="pct"/>
          </w:tcPr>
          <w:p w:rsidR="000B5C96" w:rsidRPr="00AE221D" w:rsidRDefault="000B5C96" w:rsidP="003F606A">
            <w:pPr>
              <w:pStyle w:val="PullOutBoxBodyText"/>
            </w:pPr>
            <w:r w:rsidRPr="00AE221D">
              <w:t>The proposal includes the following five components:</w:t>
            </w:r>
          </w:p>
          <w:p w:rsidR="000B5C96" w:rsidRPr="00AE221D" w:rsidRDefault="000B5C96" w:rsidP="003F606A">
            <w:pPr>
              <w:pStyle w:val="PullOutBoxBodyText"/>
              <w:rPr>
                <w:u w:val="single"/>
              </w:rPr>
            </w:pPr>
            <w:r w:rsidRPr="00AE221D">
              <w:rPr>
                <w:u w:val="single"/>
              </w:rPr>
              <w:t>Component 1 - Australian Infrastructure Bank</w:t>
            </w:r>
          </w:p>
          <w:p w:rsidR="000B5C96" w:rsidRPr="00AE221D" w:rsidRDefault="000B5C96" w:rsidP="003F606A">
            <w:pPr>
              <w:pStyle w:val="PullOutBoxBodyText"/>
            </w:pPr>
            <w:r w:rsidRPr="00AE221D">
              <w:t xml:space="preserve">This component would establish a new financing entity, the Australian Infrastructure Bank (the ‘Bank’).  The ‘Bank’ would be a statutory authority inside the general government sector.  The ‘Bank’ would raise $75,000 million over ten years through borrowings.  </w:t>
            </w:r>
          </w:p>
          <w:p w:rsidR="000B5C96" w:rsidRPr="00AE221D" w:rsidRDefault="000B5C96" w:rsidP="003F606A">
            <w:pPr>
              <w:pStyle w:val="PullOutBoxBodyText"/>
            </w:pPr>
            <w:r w:rsidRPr="00AE221D">
              <w:t>Borrowings would be as follows:</w:t>
            </w:r>
          </w:p>
          <w:p w:rsidR="000B5C96" w:rsidRPr="00AE221D" w:rsidRDefault="000B5C96" w:rsidP="000B5C96">
            <w:pPr>
              <w:pStyle w:val="PullOutBoxBullet"/>
              <w:numPr>
                <w:ilvl w:val="0"/>
                <w:numId w:val="2"/>
              </w:numPr>
              <w:ind w:left="397"/>
            </w:pPr>
            <w:r w:rsidRPr="00AE221D">
              <w:t>Tranche 1 - 25 per cent would be raised from 10</w:t>
            </w:r>
            <w:r w:rsidRPr="00AE221D">
              <w:noBreakHyphen/>
              <w:t>year bond issuances at 2.75 per cent.</w:t>
            </w:r>
          </w:p>
          <w:p w:rsidR="000B5C96" w:rsidRPr="00AE221D" w:rsidRDefault="000B5C96" w:rsidP="000B5C96">
            <w:pPr>
              <w:pStyle w:val="PullOutBoxBullet"/>
              <w:numPr>
                <w:ilvl w:val="0"/>
                <w:numId w:val="2"/>
              </w:numPr>
              <w:ind w:left="397"/>
            </w:pPr>
            <w:r w:rsidRPr="00AE221D">
              <w:t>Tranche 2 - 25 per cent would be raised from 15</w:t>
            </w:r>
            <w:r w:rsidRPr="00AE221D">
              <w:noBreakHyphen/>
              <w:t>year bond issuances at 3.00 per cent.</w:t>
            </w:r>
          </w:p>
          <w:p w:rsidR="000B5C96" w:rsidRPr="00AE221D" w:rsidRDefault="000B5C96" w:rsidP="000B5C96">
            <w:pPr>
              <w:pStyle w:val="PullOutBoxBullet"/>
              <w:numPr>
                <w:ilvl w:val="0"/>
                <w:numId w:val="2"/>
              </w:numPr>
              <w:ind w:left="397"/>
            </w:pPr>
            <w:r w:rsidRPr="00AE221D">
              <w:t>Tranche 3 - 25 per cent would be raised from 20</w:t>
            </w:r>
            <w:r w:rsidRPr="00AE221D">
              <w:noBreakHyphen/>
              <w:t>year bond issuances at 3.25 per cent.</w:t>
            </w:r>
          </w:p>
          <w:p w:rsidR="000B5C96" w:rsidRPr="00AE221D" w:rsidRDefault="000B5C96" w:rsidP="000B5C96">
            <w:pPr>
              <w:pStyle w:val="PullOutBoxBullet"/>
              <w:numPr>
                <w:ilvl w:val="0"/>
                <w:numId w:val="2"/>
              </w:numPr>
              <w:ind w:left="397"/>
            </w:pPr>
            <w:r w:rsidRPr="00AE221D">
              <w:t>Tranche 4 - 25 per cent would be raised from direct equity investments with an expected annual dividend of 3.25 per cent.</w:t>
            </w:r>
          </w:p>
          <w:p w:rsidR="000B5C96" w:rsidRPr="00AE221D" w:rsidRDefault="000B5C96" w:rsidP="003F606A">
            <w:pPr>
              <w:pStyle w:val="PullOutBoxBodyText"/>
            </w:pPr>
            <w:r w:rsidRPr="00AE221D">
              <w:t>The profile of raising this finance would be $75,000 million over 10 years with the annual amounts to reflect the annual change in the Consumer Price Index (CPI).</w:t>
            </w:r>
          </w:p>
          <w:p w:rsidR="000B5C96" w:rsidRPr="00AE221D" w:rsidRDefault="000B5C96" w:rsidP="003F606A">
            <w:pPr>
              <w:pStyle w:val="PullOutBoxBodyText"/>
            </w:pPr>
            <w:r w:rsidRPr="00AE221D">
              <w:t>Further, the Australian Office of Financial Management (AOFM) would be rolled into the ‘Bank’.</w:t>
            </w:r>
          </w:p>
          <w:p w:rsidR="000B5C96" w:rsidRPr="00AE221D" w:rsidRDefault="000B5C96" w:rsidP="003F606A">
            <w:pPr>
              <w:pStyle w:val="PullOutBoxBodyText"/>
              <w:rPr>
                <w:u w:val="single"/>
              </w:rPr>
            </w:pPr>
            <w:r w:rsidRPr="00AE221D">
              <w:rPr>
                <w:u w:val="single"/>
              </w:rPr>
              <w:t xml:space="preserve">Component 2 </w:t>
            </w:r>
            <w:r>
              <w:rPr>
                <w:u w:val="single"/>
              </w:rPr>
              <w:t>-</w:t>
            </w:r>
            <w:r w:rsidRPr="00AE221D">
              <w:rPr>
                <w:u w:val="single"/>
              </w:rPr>
              <w:t xml:space="preserve"> Redirecting polluting infrastructure</w:t>
            </w:r>
          </w:p>
          <w:p w:rsidR="000B5C96" w:rsidRPr="00AE221D" w:rsidRDefault="000B5C96" w:rsidP="003F606A">
            <w:pPr>
              <w:pStyle w:val="PullOutBoxBodyText"/>
              <w:rPr>
                <w:color w:val="272828"/>
              </w:rPr>
            </w:pPr>
            <w:r w:rsidRPr="00AE221D">
              <w:t>This component would a</w:t>
            </w:r>
            <w:r w:rsidRPr="00AE221D">
              <w:rPr>
                <w:color w:val="272828"/>
              </w:rPr>
              <w:t>bolish the following programs/projects, while honouring contracts:</w:t>
            </w:r>
          </w:p>
          <w:p w:rsidR="000B5C96" w:rsidRPr="00AE221D" w:rsidRDefault="000B5C96" w:rsidP="000B5C96">
            <w:pPr>
              <w:pStyle w:val="PullOutBoxBullet"/>
              <w:numPr>
                <w:ilvl w:val="0"/>
                <w:numId w:val="2"/>
              </w:numPr>
              <w:ind w:left="397"/>
            </w:pPr>
            <w:r w:rsidRPr="00AE221D">
              <w:t>Asset Recycling</w:t>
            </w:r>
          </w:p>
          <w:p w:rsidR="000B5C96" w:rsidRPr="00AE221D" w:rsidRDefault="000B5C96" w:rsidP="000B5C96">
            <w:pPr>
              <w:pStyle w:val="PullOutBoxBullet"/>
              <w:numPr>
                <w:ilvl w:val="0"/>
                <w:numId w:val="2"/>
              </w:numPr>
              <w:ind w:left="397"/>
            </w:pPr>
            <w:r w:rsidRPr="00AE221D">
              <w:t>Northern Australia Infrastructure Facility</w:t>
            </w:r>
          </w:p>
          <w:p w:rsidR="000B5C96" w:rsidRPr="00AE221D" w:rsidRDefault="000B5C96" w:rsidP="000B5C96">
            <w:pPr>
              <w:pStyle w:val="PullOutBoxBullet"/>
              <w:numPr>
                <w:ilvl w:val="0"/>
                <w:numId w:val="2"/>
              </w:numPr>
              <w:ind w:left="397"/>
            </w:pPr>
            <w:r w:rsidRPr="00AE221D">
              <w:t>WestConnex</w:t>
            </w:r>
          </w:p>
          <w:p w:rsidR="000B5C96" w:rsidRPr="00AE221D" w:rsidRDefault="000B5C96" w:rsidP="000B5C96">
            <w:pPr>
              <w:pStyle w:val="PullOutBoxBullet"/>
              <w:numPr>
                <w:ilvl w:val="0"/>
                <w:numId w:val="2"/>
              </w:numPr>
              <w:ind w:left="397"/>
            </w:pPr>
            <w:r w:rsidRPr="00AE221D">
              <w:t>East West Link</w:t>
            </w:r>
          </w:p>
          <w:p w:rsidR="000B5C96" w:rsidRPr="00AE221D" w:rsidRDefault="000B5C96" w:rsidP="000B5C96">
            <w:pPr>
              <w:pStyle w:val="PullOutBoxBullet"/>
              <w:numPr>
                <w:ilvl w:val="0"/>
                <w:numId w:val="2"/>
              </w:numPr>
              <w:spacing w:after="480"/>
              <w:ind w:left="397"/>
            </w:pPr>
            <w:r>
              <w:t>Perth Freight Link</w:t>
            </w:r>
          </w:p>
          <w:p w:rsidR="000B5C96" w:rsidRPr="00AE221D" w:rsidRDefault="000B5C96" w:rsidP="000B5C96">
            <w:pPr>
              <w:pStyle w:val="PullOutBoxBullet"/>
              <w:numPr>
                <w:ilvl w:val="0"/>
                <w:numId w:val="2"/>
              </w:numPr>
              <w:ind w:left="397"/>
            </w:pPr>
            <w:r w:rsidRPr="00AE221D">
              <w:t xml:space="preserve">Ipswich Motorway </w:t>
            </w:r>
          </w:p>
          <w:p w:rsidR="000B5C96" w:rsidRDefault="000B5C96" w:rsidP="000B5C96">
            <w:pPr>
              <w:pStyle w:val="PullOutBoxBullet"/>
              <w:numPr>
                <w:ilvl w:val="0"/>
                <w:numId w:val="2"/>
              </w:numPr>
              <w:ind w:left="397"/>
            </w:pPr>
            <w:r>
              <w:t>Western Sydney Airport.</w:t>
            </w:r>
          </w:p>
          <w:p w:rsidR="000B5C96" w:rsidRPr="00AE221D" w:rsidRDefault="000B5C96" w:rsidP="003F606A">
            <w:pPr>
              <w:pStyle w:val="PullOutBoxBodyText"/>
            </w:pPr>
            <w:r w:rsidRPr="00AE221D">
              <w:t>Unallocated and allocated-but-not-yet-contractually-committed funds would be returned to the budget.</w:t>
            </w:r>
          </w:p>
          <w:p w:rsidR="000B5C96" w:rsidRPr="00AE221D" w:rsidRDefault="000B5C96" w:rsidP="003F606A">
            <w:pPr>
              <w:pStyle w:val="PullOutBoxBodyText"/>
              <w:rPr>
                <w:u w:val="single"/>
              </w:rPr>
            </w:pPr>
            <w:r w:rsidRPr="00AE221D">
              <w:rPr>
                <w:u w:val="single"/>
              </w:rPr>
              <w:t xml:space="preserve">Component 3 </w:t>
            </w:r>
            <w:r>
              <w:rPr>
                <w:u w:val="single"/>
              </w:rPr>
              <w:t>-</w:t>
            </w:r>
            <w:r w:rsidRPr="00AE221D">
              <w:rPr>
                <w:u w:val="single"/>
              </w:rPr>
              <w:t xml:space="preserve"> RenewAustralia</w:t>
            </w:r>
          </w:p>
          <w:p w:rsidR="000B5C96" w:rsidRPr="00AE221D" w:rsidRDefault="000B5C96" w:rsidP="003F606A">
            <w:pPr>
              <w:pStyle w:val="PullOutBoxBodyText"/>
            </w:pPr>
            <w:r w:rsidRPr="00AE221D">
              <w:t>This component would transition Australian electricity generation to 90 per cent renewable technologies by 2029-30.  To achieve this target, this component would:</w:t>
            </w:r>
          </w:p>
          <w:p w:rsidR="000B5C96" w:rsidRPr="00AE221D" w:rsidRDefault="000B5C96" w:rsidP="000B5C96">
            <w:pPr>
              <w:pStyle w:val="PullOutBoxBullet"/>
              <w:numPr>
                <w:ilvl w:val="0"/>
                <w:numId w:val="2"/>
              </w:numPr>
              <w:ind w:left="397"/>
            </w:pPr>
            <w:r w:rsidRPr="00AE221D">
              <w:t xml:space="preserve">establish RenewAustralia (RA) </w:t>
            </w:r>
            <w:r>
              <w:t>-</w:t>
            </w:r>
            <w:r w:rsidRPr="00AE221D">
              <w:t xml:space="preserve"> a new government authority that would undertake contracts through reverse auctions for 150 terawatt hours (TWh) of renewable electricity generation with subsidies provided as grants</w:t>
            </w:r>
            <w:r>
              <w:t>.</w:t>
            </w:r>
          </w:p>
          <w:p w:rsidR="000B5C96" w:rsidRPr="00AE221D" w:rsidRDefault="000B5C96" w:rsidP="000B5C96">
            <w:pPr>
              <w:pStyle w:val="PullOutBoxBullet"/>
              <w:numPr>
                <w:ilvl w:val="0"/>
                <w:numId w:val="2"/>
              </w:numPr>
              <w:ind w:left="397"/>
              <w:rPr>
                <w:spacing w:val="-2"/>
              </w:rPr>
            </w:pPr>
            <w:r w:rsidRPr="00AE221D">
              <w:rPr>
                <w:spacing w:val="-2"/>
              </w:rPr>
              <w:t xml:space="preserve">establish RenewAustralia Corporation (RAC) </w:t>
            </w:r>
            <w:r>
              <w:rPr>
                <w:spacing w:val="-2"/>
              </w:rPr>
              <w:t>-</w:t>
            </w:r>
            <w:r w:rsidRPr="00AE221D">
              <w:rPr>
                <w:spacing w:val="-2"/>
              </w:rPr>
              <w:t xml:space="preserve"> a public financial corporation which would receive equity injections from the Commonwealth Government to invest to construct 65 TWh of renewable electricity generating assets.  The Commonwealth would borrow funds as needed in order to ensure RAC has sufficient capital to fund these projects.  The Commonwealth Government would receive annual dividends from RAC equal to the revenue from the sale of electricity less operating and maintenance costs. </w:t>
            </w:r>
          </w:p>
          <w:p w:rsidR="000B5C96" w:rsidRPr="00AE221D" w:rsidRDefault="000B5C96" w:rsidP="000B5C96">
            <w:pPr>
              <w:pStyle w:val="PullOutBoxBullet"/>
              <w:numPr>
                <w:ilvl w:val="0"/>
                <w:numId w:val="2"/>
              </w:numPr>
              <w:ind w:left="397"/>
            </w:pPr>
            <w:r w:rsidRPr="00AE221D">
              <w:t>increase the Renewable Energy Target (RET) by 36.5 TWh in each year over the period 2019</w:t>
            </w:r>
            <w:r w:rsidRPr="00AE221D">
              <w:noBreakHyphen/>
              <w:t>20 to 2029</w:t>
            </w:r>
            <w:r w:rsidRPr="00AE221D">
              <w:noBreakHyphen/>
              <w:t>30, resulting in a total annual target for additional renewable energy of 69.5 TWh.</w:t>
            </w:r>
          </w:p>
          <w:p w:rsidR="000B5C96" w:rsidRPr="0079749A" w:rsidRDefault="000B5C96" w:rsidP="003F606A">
            <w:pPr>
              <w:pStyle w:val="PullOutBoxBodyText"/>
              <w:rPr>
                <w:u w:val="single"/>
              </w:rPr>
            </w:pPr>
            <w:r w:rsidRPr="0079749A">
              <w:rPr>
                <w:u w:val="single"/>
              </w:rPr>
              <w:t>Component 4 - Affordable housing</w:t>
            </w:r>
          </w:p>
          <w:p w:rsidR="000B5C96" w:rsidRPr="00AE221D" w:rsidRDefault="000B5C96" w:rsidP="003F606A">
            <w:pPr>
              <w:pStyle w:val="PullOutBoxBodyText"/>
            </w:pPr>
            <w:r w:rsidRPr="00AE221D">
              <w:t>This component would establish the Affordable Housing Finance Corporation (AHFC) which would raise finance in order to provide loans to not-for-profit housing organisations to construct 7,200 new homes each year for 10 years.  The AHFC would be part of the general government sector.</w:t>
            </w:r>
          </w:p>
          <w:p w:rsidR="000B5C96" w:rsidRPr="00AE221D" w:rsidRDefault="000B5C96" w:rsidP="003F606A">
            <w:pPr>
              <w:pStyle w:val="PullOutBoxBodyText"/>
            </w:pPr>
            <w:r w:rsidRPr="00AE221D">
              <w:t>The AHFC would raise $2,040 million per year for 10 years from the following sources:</w:t>
            </w:r>
          </w:p>
          <w:p w:rsidR="000B5C96" w:rsidRPr="00AE221D" w:rsidRDefault="000B5C96" w:rsidP="000B5C96">
            <w:pPr>
              <w:pStyle w:val="PullOutBoxBullet"/>
              <w:numPr>
                <w:ilvl w:val="0"/>
                <w:numId w:val="2"/>
              </w:numPr>
              <w:ind w:left="397"/>
            </w:pPr>
            <w:r w:rsidRPr="00AE221D">
              <w:t>10 per cent would be sourced from Australian Government consolidated revenue.</w:t>
            </w:r>
          </w:p>
          <w:p w:rsidR="000B5C96" w:rsidRPr="00AE221D" w:rsidRDefault="000B5C96" w:rsidP="000B5C96">
            <w:pPr>
              <w:pStyle w:val="PullOutBoxBullet"/>
              <w:numPr>
                <w:ilvl w:val="0"/>
                <w:numId w:val="2"/>
              </w:numPr>
              <w:spacing w:after="600"/>
              <w:ind w:left="397"/>
            </w:pPr>
            <w:r w:rsidRPr="00AE221D">
              <w:t>20 per cent would be sourced by issuing ‘tax smart housing supply bonds’ to retail investors.  These bonds would pay a fixed interest rate of 5 per cent per annum (compounded monthly and paid annually) and mature after 10 years.  Returns on these bonds would be tax-free for investors.</w:t>
            </w:r>
          </w:p>
          <w:p w:rsidR="000B5C96" w:rsidRPr="00AE221D" w:rsidRDefault="000B5C96" w:rsidP="000B5C96">
            <w:pPr>
              <w:pStyle w:val="PullOutBoxBullet"/>
              <w:numPr>
                <w:ilvl w:val="0"/>
                <w:numId w:val="2"/>
              </w:numPr>
              <w:ind w:left="397"/>
            </w:pPr>
            <w:r w:rsidRPr="00AE221D">
              <w:t>70 per cent would be sourced by issuing ‘AAA housing supply bonds’ to wholesale/institutional investors.  These bonds would pay a fixed interest rate of 5 per cent per annum (compounded monthly, paid annually) and mature after 10 years.  The bonds would be guaranteed by the Australian Government.</w:t>
            </w:r>
          </w:p>
          <w:p w:rsidR="000B5C96" w:rsidRPr="00AE221D" w:rsidRDefault="000B5C96" w:rsidP="003F606A">
            <w:pPr>
              <w:pStyle w:val="PullOutBoxBodyText"/>
            </w:pPr>
            <w:r w:rsidRPr="00AE221D">
              <w:t>Each year the AHFC would provide 2,400 loans of $150,000 for homes built from prefabricated materials and 4,800 loans of $350,000 for standard housing under the following arrangements:</w:t>
            </w:r>
          </w:p>
          <w:p w:rsidR="000B5C96" w:rsidRPr="00AE221D" w:rsidRDefault="000B5C96" w:rsidP="000B5C96">
            <w:pPr>
              <w:pStyle w:val="PullOutBoxBullet"/>
              <w:numPr>
                <w:ilvl w:val="0"/>
                <w:numId w:val="2"/>
              </w:numPr>
              <w:ind w:left="397"/>
            </w:pPr>
            <w:r w:rsidRPr="00AE221D">
              <w:t>10 per cent of the value of these loans would be provided at a concessional interest rate of zero per cent per annum.  These loans would be for a period of 10 years with the principal repaid on an annual basis.</w:t>
            </w:r>
          </w:p>
          <w:p w:rsidR="000B5C96" w:rsidRPr="00AE221D" w:rsidRDefault="000B5C96" w:rsidP="000B5C96">
            <w:pPr>
              <w:pStyle w:val="PullOutBoxBullet"/>
              <w:numPr>
                <w:ilvl w:val="0"/>
                <w:numId w:val="2"/>
              </w:numPr>
              <w:ind w:left="397"/>
            </w:pPr>
            <w:r w:rsidRPr="00AE221D">
              <w:t>20 per cent of the value of these loans would be provided at an interest rate of 6 per cent per annum (compounded monthly, payable annually).  The loans would be for a period of 10 years with the principal repaid at maturity.</w:t>
            </w:r>
          </w:p>
          <w:p w:rsidR="000B5C96" w:rsidRPr="00AE221D" w:rsidRDefault="000B5C96" w:rsidP="000B5C96">
            <w:pPr>
              <w:pStyle w:val="PullOutBoxBullet"/>
              <w:numPr>
                <w:ilvl w:val="0"/>
                <w:numId w:val="2"/>
              </w:numPr>
              <w:ind w:left="397"/>
            </w:pPr>
            <w:r w:rsidRPr="00AE221D">
              <w:t>70 per cent of the value of these loans would be provided at an interest rate of 5 per cent per annum (compounded monthly, payable annually).  The loans would be for a period of 10 years with the principal repaid at maturity.</w:t>
            </w:r>
          </w:p>
          <w:p w:rsidR="000B5C96" w:rsidRPr="00AE221D" w:rsidRDefault="000B5C96" w:rsidP="003F606A">
            <w:pPr>
              <w:pStyle w:val="PullOutBoxBodyText"/>
              <w:rPr>
                <w:u w:val="single"/>
              </w:rPr>
            </w:pPr>
            <w:r w:rsidRPr="00AE221D">
              <w:t>Departmental expenses for this proposal would be capped at $10 million per year.</w:t>
            </w:r>
          </w:p>
          <w:p w:rsidR="000B5C96" w:rsidRPr="00AE221D" w:rsidRDefault="000B5C96" w:rsidP="003F606A">
            <w:pPr>
              <w:pStyle w:val="PullOutBoxBodyText"/>
              <w:rPr>
                <w:u w:val="single"/>
              </w:rPr>
            </w:pPr>
            <w:r w:rsidRPr="00AE221D">
              <w:rPr>
                <w:u w:val="single"/>
              </w:rPr>
              <w:t xml:space="preserve">Component 5 </w:t>
            </w:r>
            <w:r>
              <w:rPr>
                <w:u w:val="single"/>
              </w:rPr>
              <w:t>-</w:t>
            </w:r>
            <w:r w:rsidRPr="00AE221D">
              <w:rPr>
                <w:u w:val="single"/>
              </w:rPr>
              <w:t xml:space="preserve"> Infrastructure projects</w:t>
            </w:r>
          </w:p>
          <w:p w:rsidR="000B5C96" w:rsidRPr="00AE221D" w:rsidRDefault="000B5C96" w:rsidP="003F606A">
            <w:pPr>
              <w:pStyle w:val="PullOutBoxBodyText"/>
            </w:pPr>
            <w:r w:rsidRPr="00AE221D">
              <w:t xml:space="preserve">This component would provide $12,050 million over the 2016-17 Budget forward estimates  for the following areas of infrastructure: </w:t>
            </w:r>
          </w:p>
          <w:p w:rsidR="000B5C96" w:rsidRPr="00AE221D" w:rsidRDefault="000B5C96" w:rsidP="000B5C96">
            <w:pPr>
              <w:pStyle w:val="PullOutBoxBullet"/>
              <w:numPr>
                <w:ilvl w:val="0"/>
                <w:numId w:val="2"/>
              </w:numPr>
              <w:ind w:left="397"/>
            </w:pPr>
            <w:r w:rsidRPr="00AE221D">
              <w:t>$10,000 million for public transport.</w:t>
            </w:r>
          </w:p>
          <w:p w:rsidR="000B5C96" w:rsidRPr="00AE221D" w:rsidRDefault="000B5C96" w:rsidP="000B5C96">
            <w:pPr>
              <w:pStyle w:val="PullOutBoxBullet"/>
              <w:numPr>
                <w:ilvl w:val="0"/>
                <w:numId w:val="2"/>
              </w:numPr>
              <w:ind w:left="397"/>
            </w:pPr>
            <w:r w:rsidRPr="00AE221D">
              <w:t>$1,000 million for active transport.</w:t>
            </w:r>
          </w:p>
          <w:p w:rsidR="000B5C96" w:rsidRPr="00AE221D" w:rsidRDefault="000B5C96" w:rsidP="000B5C96">
            <w:pPr>
              <w:pStyle w:val="PullOutBoxBullet"/>
              <w:numPr>
                <w:ilvl w:val="0"/>
                <w:numId w:val="2"/>
              </w:numPr>
              <w:ind w:left="397"/>
            </w:pPr>
            <w:r w:rsidRPr="00AE221D">
              <w:t>$500 million for freight rail.</w:t>
            </w:r>
          </w:p>
          <w:p w:rsidR="000B5C96" w:rsidRPr="00AE221D" w:rsidRDefault="000B5C96" w:rsidP="000B5C96">
            <w:pPr>
              <w:pStyle w:val="PullOutBoxBullet"/>
              <w:numPr>
                <w:ilvl w:val="0"/>
                <w:numId w:val="2"/>
              </w:numPr>
              <w:ind w:left="397"/>
            </w:pPr>
            <w:r w:rsidRPr="00AE221D">
              <w:t>$300 million for blackspot funding.</w:t>
            </w:r>
          </w:p>
          <w:p w:rsidR="000B5C96" w:rsidRPr="00AE221D" w:rsidRDefault="000B5C96" w:rsidP="000B5C96">
            <w:pPr>
              <w:pStyle w:val="PullOutBoxBullet"/>
              <w:numPr>
                <w:ilvl w:val="0"/>
                <w:numId w:val="2"/>
              </w:numPr>
              <w:ind w:left="397"/>
            </w:pPr>
            <w:r w:rsidRPr="00AE221D">
              <w:t>$250 million for arterial road upgrades.</w:t>
            </w:r>
          </w:p>
          <w:p w:rsidR="000B5C96" w:rsidRDefault="000B5C96" w:rsidP="003F606A">
            <w:pPr>
              <w:pStyle w:val="PullOutBoxBodyText"/>
            </w:pPr>
            <w:r w:rsidRPr="00AE221D">
              <w:t>Funding provided to state, territory and local governments would be through concessional loans.</w:t>
            </w:r>
          </w:p>
          <w:p w:rsidR="000B5C96" w:rsidRPr="00AE221D" w:rsidRDefault="000B5C96" w:rsidP="003F606A">
            <w:pPr>
              <w:pStyle w:val="PullOutBoxBodyText"/>
            </w:pPr>
            <w:r w:rsidRPr="00AE221D">
              <w:t>There would be four tranches of concessional loans, and the amount of loans entered into each year and the length of the loan contracts would mirror the terms of the four tranches for the raising of funds under Component 1 with the following caveats:</w:t>
            </w:r>
          </w:p>
          <w:p w:rsidR="000B5C96" w:rsidRPr="00AE221D" w:rsidRDefault="000B5C96" w:rsidP="003F606A">
            <w:pPr>
              <w:pStyle w:val="PullOutBoxBodyText"/>
            </w:pPr>
            <w:r w:rsidRPr="00AE221D">
              <w:t xml:space="preserve">For loan Tranches 1 to 3 </w:t>
            </w:r>
            <w:r>
              <w:t>-</w:t>
            </w:r>
            <w:r w:rsidRPr="00AE221D">
              <w:t xml:space="preserve"> interest rates would be half of the borrowing cost.</w:t>
            </w:r>
          </w:p>
          <w:p w:rsidR="000B5C96" w:rsidRPr="00AE221D" w:rsidRDefault="000B5C96" w:rsidP="003F606A">
            <w:pPr>
              <w:pStyle w:val="PullOutBoxBodyText"/>
            </w:pPr>
            <w:r w:rsidRPr="00AE221D">
              <w:t xml:space="preserve">For loan Tranche 4 </w:t>
            </w:r>
            <w:r>
              <w:t>-</w:t>
            </w:r>
            <w:r w:rsidRPr="00AE221D">
              <w:t xml:space="preserve"> the interest rate would be the same as the cost of raising these funds.</w:t>
            </w:r>
          </w:p>
          <w:p w:rsidR="000B5C96" w:rsidRPr="00AE221D" w:rsidRDefault="000B5C96" w:rsidP="003F606A">
            <w:pPr>
              <w:pStyle w:val="PullOutBoxBodyText"/>
            </w:pPr>
            <w:r w:rsidRPr="00AE221D">
              <w:t>All components of this proposal would have effect from 1 September 2016.</w:t>
            </w:r>
          </w:p>
        </w:tc>
      </w:tr>
      <w:tr w:rsidR="000B5C96" w:rsidRPr="00AE221D" w:rsidTr="003F606A">
        <w:tc>
          <w:tcPr>
            <w:tcW w:w="1806" w:type="pct"/>
          </w:tcPr>
          <w:p w:rsidR="000B5C96" w:rsidRPr="00AE221D" w:rsidRDefault="000B5C96" w:rsidP="003F606A">
            <w:pPr>
              <w:pStyle w:val="PullOutBoxBodyText"/>
            </w:pPr>
            <w:r w:rsidRPr="00AE221D">
              <w:t>Party:</w:t>
            </w:r>
          </w:p>
        </w:tc>
        <w:tc>
          <w:tcPr>
            <w:tcW w:w="3194" w:type="pct"/>
          </w:tcPr>
          <w:p w:rsidR="000B5C96" w:rsidRPr="00AE221D" w:rsidRDefault="000B5C96" w:rsidP="003F606A">
            <w:pPr>
              <w:pStyle w:val="PullOutBoxBodyText"/>
            </w:pPr>
            <w:r w:rsidRPr="00AE221D">
              <w:t>Australian Greens</w:t>
            </w:r>
          </w:p>
        </w:tc>
      </w:tr>
      <w:tr w:rsidR="000B5C96" w:rsidRPr="00AE221D" w:rsidTr="003F606A">
        <w:tc>
          <w:tcPr>
            <w:tcW w:w="1806" w:type="pct"/>
          </w:tcPr>
          <w:p w:rsidR="000B5C96" w:rsidRPr="00AE221D" w:rsidRDefault="000B5C96" w:rsidP="003F606A">
            <w:pPr>
              <w:pStyle w:val="PullOutBoxBodyText"/>
            </w:pPr>
            <w:r w:rsidRPr="00AE221D">
              <w:t>Expiry date for the costing:</w:t>
            </w:r>
          </w:p>
        </w:tc>
        <w:tc>
          <w:tcPr>
            <w:tcW w:w="3194" w:type="pct"/>
          </w:tcPr>
          <w:p w:rsidR="000B5C96" w:rsidRPr="00AE221D" w:rsidRDefault="000B5C96" w:rsidP="003F606A">
            <w:pPr>
              <w:pStyle w:val="PullOutBoxBodyText"/>
            </w:pPr>
            <w:r w:rsidRPr="00AE221D">
              <w:t>Release of the next economic and fiscal update</w:t>
            </w:r>
          </w:p>
        </w:tc>
      </w:tr>
    </w:tbl>
    <w:p w:rsidR="000B5C96" w:rsidRPr="0092198D" w:rsidRDefault="000B5C96" w:rsidP="003F606A">
      <w:pPr>
        <w:pStyle w:val="CostingsH7"/>
      </w:pPr>
      <w:r w:rsidRPr="0092198D">
        <w:t>Costing overview</w:t>
      </w:r>
    </w:p>
    <w:p w:rsidR="000B5C96" w:rsidRPr="0092198D" w:rsidRDefault="000B5C96" w:rsidP="003F606A">
      <w:pPr>
        <w:pStyle w:val="BodyText"/>
      </w:pPr>
      <w:r w:rsidRPr="0092198D">
        <w:t xml:space="preserve">Since the private sector cannot hold equity in the general government sector, the Parliamentary Budget Office (PBO) has treated Tranche 4 of Component 1 of the proposal as a long-term borrowing via the issue of 30-year bonds at 3.25 per cent.  Consistent with the specification of this proposal, loans funded from Tranche 4 borrowings would have the same interest rate as the cost of the borrowings.  </w:t>
      </w:r>
    </w:p>
    <w:p w:rsidR="000B5C96" w:rsidRPr="0092198D" w:rsidRDefault="000B5C96" w:rsidP="003F606A">
      <w:pPr>
        <w:pStyle w:val="BodyText"/>
      </w:pPr>
      <w:r w:rsidRPr="0092198D">
        <w:t>The proposal would decrease the fiscal balance by $1,950 million, decrease the underlying cash balance by $2,200 million and decrease the headline cash balance by $29,130 million over the 2016</w:t>
      </w:r>
      <w:r w:rsidRPr="0092198D">
        <w:noBreakHyphen/>
        <w:t xml:space="preserve">17 Budget forward estimates period.  </w:t>
      </w:r>
    </w:p>
    <w:p w:rsidR="000B5C96" w:rsidRPr="0092198D" w:rsidRDefault="000B5C96" w:rsidP="003F606A">
      <w:pPr>
        <w:pStyle w:val="BodyText"/>
      </w:pPr>
      <w:r w:rsidRPr="0092198D">
        <w:t xml:space="preserve">The </w:t>
      </w:r>
      <w:r w:rsidRPr="0092198D">
        <w:rPr>
          <w:i/>
        </w:rPr>
        <w:t>Methodology</w:t>
      </w:r>
      <w:r w:rsidRPr="0092198D">
        <w:t xml:space="preserve"> section provides information on how the impacts on each budget balance were calculated.  As the proposal affects financial asset transactions, the public debt interest (PDI) impact of the proposal has been included in this costing.  </w:t>
      </w:r>
    </w:p>
    <w:p w:rsidR="000B5C96" w:rsidRPr="0092198D" w:rsidRDefault="000B5C96" w:rsidP="003F606A">
      <w:pPr>
        <w:pStyle w:val="BodyText"/>
      </w:pPr>
      <w:r w:rsidRPr="0092198D">
        <w:t>The proposal would have an ongoing impact that extends beyond the 2016-17 Budget forward estimates period.  The impact of the proposal over 2016-17 to 2026</w:t>
      </w:r>
      <w:r w:rsidRPr="0092198D">
        <w:noBreakHyphen/>
        <w:t xml:space="preserve">27 is provided at </w:t>
      </w:r>
      <w:r w:rsidRPr="0092198D">
        <w:rPr>
          <w:u w:val="single"/>
        </w:rPr>
        <w:t>Attachment A</w:t>
      </w:r>
      <w:r w:rsidRPr="0092198D">
        <w:t xml:space="preserve">.  Further disaggregation of the impact of the proposal by component is provided at </w:t>
      </w:r>
      <w:r w:rsidRPr="0092198D">
        <w:rPr>
          <w:u w:val="single"/>
        </w:rPr>
        <w:t>Attachment B</w:t>
      </w:r>
      <w:r w:rsidRPr="0092198D">
        <w:t xml:space="preserve">.  A breakdown of the departmental impact of the proposal is provided at </w:t>
      </w:r>
      <w:r w:rsidRPr="0092198D">
        <w:rPr>
          <w:u w:val="single"/>
        </w:rPr>
        <w:t>Attachment C</w:t>
      </w:r>
      <w:r w:rsidRPr="0092198D">
        <w:t>.</w:t>
      </w:r>
    </w:p>
    <w:p w:rsidR="000B5C96" w:rsidRPr="0092198D" w:rsidRDefault="000B5C96" w:rsidP="003F606A">
      <w:pPr>
        <w:pStyle w:val="BodyText"/>
      </w:pPr>
      <w:r w:rsidRPr="0092198D">
        <w:t>This costing is considered to be of very low reliability as:</w:t>
      </w:r>
    </w:p>
    <w:p w:rsidR="000B5C96" w:rsidRPr="0092198D" w:rsidRDefault="000B5C96" w:rsidP="000B5C96">
      <w:pPr>
        <w:pStyle w:val="ListBullet"/>
        <w:numPr>
          <w:ilvl w:val="0"/>
          <w:numId w:val="123"/>
        </w:numPr>
        <w:ind w:left="454" w:hanging="454"/>
        <w:rPr>
          <w:lang w:eastAsia="en-AU"/>
        </w:rPr>
      </w:pPr>
      <w:r w:rsidRPr="0092198D">
        <w:rPr>
          <w:lang w:eastAsia="en-AU"/>
        </w:rPr>
        <w:t xml:space="preserve">for Component 1, there is uncertainty around the demand for the specified financing activities </w:t>
      </w:r>
    </w:p>
    <w:p w:rsidR="000B5C96" w:rsidRPr="0092198D" w:rsidRDefault="000B5C96" w:rsidP="000B5C96">
      <w:pPr>
        <w:pStyle w:val="ListBullet"/>
        <w:numPr>
          <w:ilvl w:val="0"/>
          <w:numId w:val="123"/>
        </w:numPr>
        <w:ind w:left="454" w:hanging="454"/>
        <w:rPr>
          <w:lang w:eastAsia="en-AU"/>
        </w:rPr>
      </w:pPr>
      <w:r w:rsidRPr="0092198D">
        <w:rPr>
          <w:lang w:eastAsia="en-AU"/>
        </w:rPr>
        <w:t>for Component 2, while project expenditure estimates and contractual commitments for projects were provided by the Department of Infrastructure and Regional Development (DIRD) and the Department of the Treasury (The Treasury), there is uncertainty about the level of funding that would be contractually uncommitted and able to be returned to the Commonwealth at 1 September 2016</w:t>
      </w:r>
    </w:p>
    <w:p w:rsidR="000B5C96" w:rsidRPr="0092198D" w:rsidRDefault="000B5C96" w:rsidP="000B5C96">
      <w:pPr>
        <w:pStyle w:val="ListBullet2"/>
        <w:numPr>
          <w:ilvl w:val="0"/>
          <w:numId w:val="124"/>
        </w:numPr>
        <w:ind w:left="908" w:hanging="454"/>
        <w:rPr>
          <w:rFonts w:eastAsia="Times New Roman"/>
          <w:lang w:eastAsia="en-AU"/>
        </w:rPr>
      </w:pPr>
      <w:r w:rsidRPr="0092198D">
        <w:rPr>
          <w:lang w:eastAsia="en-AU"/>
        </w:rPr>
        <w:t>In addition, the PBO has made no judgements about Commonwealth liability for contractual commitments not fulfilled by ceasing Commonwealth funding, or the ability for the Commonwealth to retrieve East West Link funds from the Victorian Government.</w:t>
      </w:r>
    </w:p>
    <w:p w:rsidR="000B5C96" w:rsidRPr="0092198D" w:rsidRDefault="000B5C96" w:rsidP="000B5C96">
      <w:pPr>
        <w:pStyle w:val="ListBullet"/>
        <w:keepNext/>
        <w:numPr>
          <w:ilvl w:val="0"/>
          <w:numId w:val="123"/>
        </w:numPr>
        <w:ind w:left="454" w:hanging="454"/>
        <w:rPr>
          <w:lang w:eastAsia="en-AU"/>
        </w:rPr>
      </w:pPr>
      <w:r w:rsidRPr="0092198D">
        <w:rPr>
          <w:lang w:eastAsia="en-AU"/>
        </w:rPr>
        <w:t>for Component 3, there is uncertainty regarding technology-specific construction and operation costs, and modelling the electricity sector generally is complex</w:t>
      </w:r>
    </w:p>
    <w:p w:rsidR="000B5C96" w:rsidRPr="0092198D" w:rsidRDefault="000B5C96" w:rsidP="000B5C96">
      <w:pPr>
        <w:pStyle w:val="ListBullet"/>
        <w:keepNext/>
        <w:numPr>
          <w:ilvl w:val="0"/>
          <w:numId w:val="123"/>
        </w:numPr>
        <w:ind w:left="454" w:hanging="454"/>
        <w:rPr>
          <w:lang w:eastAsia="en-AU"/>
        </w:rPr>
      </w:pPr>
      <w:r w:rsidRPr="0092198D">
        <w:rPr>
          <w:lang w:eastAsia="en-AU"/>
        </w:rPr>
        <w:t>for Component 4, estimates are subject to a number of assumptions.</w:t>
      </w:r>
    </w:p>
    <w:p w:rsidR="000B5C96" w:rsidRPr="0092198D" w:rsidRDefault="000B5C96" w:rsidP="000B5C96">
      <w:pPr>
        <w:pStyle w:val="ListBullet2"/>
        <w:numPr>
          <w:ilvl w:val="0"/>
          <w:numId w:val="124"/>
        </w:numPr>
        <w:ind w:left="908" w:hanging="454"/>
        <w:rPr>
          <w:lang w:eastAsia="en-AU"/>
        </w:rPr>
      </w:pPr>
      <w:r w:rsidRPr="0092198D">
        <w:rPr>
          <w:lang w:eastAsia="en-AU"/>
        </w:rPr>
        <w:t xml:space="preserve">In addition, the PBO has not undertaken any analysis of whether or not the prescribed funding amounts are adequate to achieve the activities outlined, including whether the capped funding for the AHFC would be sufficient for it to administer the proposed activities or the adequacy of the proposed loan amounts. </w:t>
      </w:r>
    </w:p>
    <w:p w:rsidR="000B5C96" w:rsidRPr="0092198D" w:rsidRDefault="000B5C96" w:rsidP="000B5C96">
      <w:pPr>
        <w:pStyle w:val="ListBullet2"/>
        <w:numPr>
          <w:ilvl w:val="0"/>
          <w:numId w:val="124"/>
        </w:numPr>
        <w:ind w:left="908" w:hanging="454"/>
        <w:rPr>
          <w:lang w:eastAsia="en-AU"/>
        </w:rPr>
      </w:pPr>
      <w:r w:rsidRPr="0092198D">
        <w:rPr>
          <w:lang w:eastAsia="en-AU"/>
        </w:rPr>
        <w:t>Further, the impact of this proposal on property markets is highly uncertain.  The PBO has not included any impacts on property prices or the supply and demand of residential and non-residential properties in this costing.</w:t>
      </w:r>
    </w:p>
    <w:p w:rsidR="000B5C96" w:rsidRPr="0092198D" w:rsidRDefault="000B5C96" w:rsidP="003F606A">
      <w:pPr>
        <w:pStyle w:val="Caption"/>
      </w:pPr>
      <w:r w:rsidRPr="0092198D">
        <w:t>Table 1: Financial implications (outturn prices)</w:t>
      </w:r>
      <w:r w:rsidRPr="0092198D">
        <w:rPr>
          <w:vertAlign w:val="superscript"/>
        </w:rPr>
        <w:t>(a)(b)</w:t>
      </w:r>
    </w:p>
    <w:tbl>
      <w:tblPr>
        <w:tblStyle w:val="TableGrid86"/>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6"/>
        <w:gridCol w:w="1134"/>
        <w:gridCol w:w="1135"/>
        <w:gridCol w:w="1135"/>
        <w:gridCol w:w="1135"/>
        <w:gridCol w:w="1133"/>
      </w:tblGrid>
      <w:tr w:rsidR="000B5C96" w:rsidRPr="0092198D"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tcPr>
          <w:p w:rsidR="000B5C96" w:rsidRPr="0092198D" w:rsidRDefault="000B5C96" w:rsidP="003F606A">
            <w:pPr>
              <w:keepNext/>
              <w:keepLines/>
              <w:spacing w:line="240" w:lineRule="auto"/>
              <w:ind w:left="57" w:right="57"/>
              <w:rPr>
                <w:szCs w:val="20"/>
              </w:rPr>
            </w:pPr>
            <w:r w:rsidRPr="0092198D">
              <w:rPr>
                <w:szCs w:val="20"/>
              </w:rPr>
              <w:t>Impact on ($m)</w:t>
            </w:r>
          </w:p>
        </w:tc>
        <w:tc>
          <w:tcPr>
            <w:tcW w:w="682" w:type="pct"/>
            <w:tcBorders>
              <w:top w:val="single" w:sz="4" w:space="0" w:color="788184"/>
              <w:left w:val="single" w:sz="4" w:space="0" w:color="788184"/>
              <w:bottom w:val="single" w:sz="4" w:space="0" w:color="788184"/>
              <w:right w:val="single" w:sz="4" w:space="0" w:color="788184"/>
            </w:tcBorders>
          </w:tcPr>
          <w:p w:rsidR="000B5C96" w:rsidRPr="0092198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2198D">
              <w:rPr>
                <w:szCs w:val="20"/>
              </w:rPr>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92198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2198D">
              <w:rPr>
                <w:szCs w:val="20"/>
              </w:rPr>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92198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2198D">
              <w:rPr>
                <w:szCs w:val="20"/>
              </w:rPr>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92198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2198D">
              <w:rPr>
                <w:szCs w:val="20"/>
              </w:rPr>
              <w:t>2019–20</w:t>
            </w:r>
          </w:p>
        </w:tc>
        <w:tc>
          <w:tcPr>
            <w:tcW w:w="681" w:type="pct"/>
            <w:tcBorders>
              <w:top w:val="single" w:sz="4" w:space="0" w:color="788184"/>
              <w:left w:val="single" w:sz="4" w:space="0" w:color="788184"/>
              <w:bottom w:val="single" w:sz="4" w:space="0" w:color="788184"/>
              <w:right w:val="single" w:sz="4" w:space="0" w:color="788184"/>
            </w:tcBorders>
          </w:tcPr>
          <w:p w:rsidR="000B5C96" w:rsidRPr="0092198D"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2198D">
              <w:rPr>
                <w:b/>
                <w:szCs w:val="20"/>
              </w:rPr>
              <w:t>Total</w:t>
            </w:r>
          </w:p>
        </w:tc>
      </w:tr>
      <w:tr w:rsidR="000B5C96" w:rsidRPr="0092198D"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keepNext/>
              <w:keepLines/>
              <w:spacing w:line="240" w:lineRule="auto"/>
              <w:ind w:left="57" w:right="57"/>
              <w:rPr>
                <w:szCs w:val="20"/>
              </w:rPr>
            </w:pPr>
            <w:r w:rsidRPr="0092198D">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2198D">
              <w:rPr>
                <w:rFonts w:ascii="Calibri" w:hAnsi="Calibri"/>
                <w:sz w:val="20"/>
              </w:rPr>
              <w:t>2,100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2198D">
              <w:rPr>
                <w:rFonts w:ascii="Calibri" w:hAnsi="Calibri"/>
                <w:sz w:val="20"/>
              </w:rPr>
              <w:t>-270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2198D">
              <w:rPr>
                <w:rFonts w:ascii="Calibri" w:hAnsi="Calibri"/>
                <w:sz w:val="20"/>
              </w:rPr>
              <w:t>-1,550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2198D">
              <w:rPr>
                <w:rFonts w:ascii="Calibri" w:hAnsi="Calibri"/>
                <w:sz w:val="20"/>
              </w:rPr>
              <w:t>-2,230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rPr>
            </w:pPr>
            <w:r w:rsidRPr="0092198D">
              <w:rPr>
                <w:rFonts w:ascii="Calibri" w:hAnsi="Calibri"/>
                <w:b/>
                <w:sz w:val="20"/>
              </w:rPr>
              <w:t>-1,950</w:t>
            </w:r>
          </w:p>
        </w:tc>
      </w:tr>
      <w:tr w:rsidR="000B5C96" w:rsidRPr="0092198D"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keepNext/>
              <w:keepLines/>
              <w:spacing w:line="240" w:lineRule="auto"/>
              <w:ind w:left="57" w:right="57"/>
              <w:rPr>
                <w:szCs w:val="20"/>
              </w:rPr>
            </w:pPr>
            <w:r w:rsidRPr="0092198D">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pPr>
            <w:r w:rsidRPr="0092198D">
              <w:t>2,120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pPr>
            <w:r w:rsidRPr="0092198D">
              <w:t>-470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pPr>
            <w:r w:rsidRPr="0092198D">
              <w:t>-1,660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pPr>
            <w:r w:rsidRPr="0092198D">
              <w:t>-2,190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rPr>
            </w:pPr>
            <w:r w:rsidRPr="0092198D">
              <w:rPr>
                <w:b/>
              </w:rPr>
              <w:t>-2,200</w:t>
            </w:r>
          </w:p>
        </w:tc>
      </w:tr>
      <w:tr w:rsidR="000B5C96" w:rsidRPr="0092198D"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keepNext/>
              <w:keepLines/>
              <w:spacing w:line="240" w:lineRule="auto"/>
              <w:ind w:left="57" w:right="57"/>
              <w:rPr>
                <w:szCs w:val="20"/>
              </w:rPr>
            </w:pPr>
            <w:r w:rsidRPr="0092198D">
              <w:rPr>
                <w:szCs w:val="20"/>
              </w:rPr>
              <w:t>Headline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2198D">
              <w:rPr>
                <w:rFonts w:ascii="Calibri" w:hAnsi="Calibri"/>
                <w:sz w:val="20"/>
              </w:rPr>
              <w:t>-730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2198D">
              <w:rPr>
                <w:rFonts w:ascii="Calibri" w:hAnsi="Calibri"/>
                <w:sz w:val="20"/>
              </w:rPr>
              <w:t>-5,220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2198D">
              <w:rPr>
                <w:rFonts w:ascii="Calibri" w:hAnsi="Calibri"/>
                <w:sz w:val="20"/>
              </w:rPr>
              <w:t>-8,610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2198D">
              <w:rPr>
                <w:rFonts w:ascii="Calibri" w:hAnsi="Calibri"/>
                <w:sz w:val="20"/>
              </w:rPr>
              <w:t>-14,580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92198D"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rPr>
            </w:pPr>
            <w:r w:rsidRPr="0092198D">
              <w:rPr>
                <w:rFonts w:ascii="Calibri" w:hAnsi="Calibri"/>
                <w:b/>
                <w:sz w:val="20"/>
              </w:rPr>
              <w:t>-29,130</w:t>
            </w:r>
          </w:p>
        </w:tc>
      </w:tr>
    </w:tbl>
    <w:p w:rsidR="000B5C96" w:rsidRPr="0092198D" w:rsidRDefault="000B5C96" w:rsidP="00E54AEC">
      <w:pPr>
        <w:pStyle w:val="Footnotes"/>
        <w:numPr>
          <w:ilvl w:val="0"/>
          <w:numId w:val="327"/>
        </w:numPr>
        <w:ind w:left="284" w:hanging="284"/>
      </w:pPr>
      <w:r w:rsidRPr="0092198D">
        <w:t>A positive number indicates an increase in the relevant budget balance, a negative number a decrease.</w:t>
      </w:r>
    </w:p>
    <w:p w:rsidR="000B5C96" w:rsidRPr="0092198D" w:rsidRDefault="000B5C96" w:rsidP="000B5C96">
      <w:pPr>
        <w:pStyle w:val="Footnotes"/>
        <w:numPr>
          <w:ilvl w:val="0"/>
          <w:numId w:val="7"/>
        </w:numPr>
        <w:ind w:left="284" w:hanging="284"/>
      </w:pPr>
      <w:r w:rsidRPr="0092198D">
        <w:t>Figures may not sum to totals due to rounding.</w:t>
      </w:r>
    </w:p>
    <w:p w:rsidR="000B5C96" w:rsidRPr="0092198D" w:rsidRDefault="000B5C96" w:rsidP="003F606A">
      <w:pPr>
        <w:pStyle w:val="CostingsH7"/>
      </w:pPr>
      <w:r w:rsidRPr="0092198D">
        <w:t>Key assumptions</w:t>
      </w:r>
    </w:p>
    <w:p w:rsidR="000B5C96" w:rsidRPr="0092198D" w:rsidRDefault="000B5C96" w:rsidP="003F606A">
      <w:pPr>
        <w:pStyle w:val="BodyText"/>
      </w:pPr>
      <w:r w:rsidRPr="0092198D">
        <w:t>It has been assumed that:</w:t>
      </w:r>
    </w:p>
    <w:p w:rsidR="000B5C96" w:rsidRPr="0092198D" w:rsidRDefault="000B5C96" w:rsidP="000B5C96">
      <w:pPr>
        <w:pStyle w:val="ListBullet"/>
        <w:numPr>
          <w:ilvl w:val="0"/>
          <w:numId w:val="123"/>
        </w:numPr>
        <w:ind w:left="454" w:hanging="454"/>
        <w:rPr>
          <w:lang w:eastAsia="en-AU"/>
        </w:rPr>
      </w:pPr>
      <w:r w:rsidRPr="0092198D">
        <w:rPr>
          <w:lang w:eastAsia="en-AU"/>
        </w:rPr>
        <w:t>Any annual finance raised through the proposal that is not expensed would be utilised for other Commonwealth expenses in that year, and any annual shortfalls in finance would be met through general Commonwealth borrowings.</w:t>
      </w:r>
    </w:p>
    <w:p w:rsidR="000B5C96" w:rsidRPr="0092198D" w:rsidRDefault="000B5C96" w:rsidP="003F606A">
      <w:pPr>
        <w:pStyle w:val="CostingsH8"/>
        <w:rPr>
          <w:rFonts w:eastAsia="Calibri"/>
        </w:rPr>
      </w:pPr>
      <w:r w:rsidRPr="0092198D">
        <w:rPr>
          <w:rFonts w:eastAsia="Calibri"/>
        </w:rPr>
        <w:t>Component 1 - Australian Infrastructure Bank</w:t>
      </w:r>
    </w:p>
    <w:p w:rsidR="000B5C96" w:rsidRPr="0092198D" w:rsidRDefault="000B5C96" w:rsidP="003F606A">
      <w:pPr>
        <w:pStyle w:val="BodyText"/>
        <w:rPr>
          <w:lang w:eastAsia="en-AU"/>
        </w:rPr>
      </w:pPr>
      <w:r w:rsidRPr="0092198D">
        <w:rPr>
          <w:lang w:eastAsia="en-AU"/>
        </w:rPr>
        <w:t>All specified finance activities would be fully subscribed.</w:t>
      </w:r>
    </w:p>
    <w:p w:rsidR="000B5C96" w:rsidRPr="0092198D" w:rsidRDefault="000B5C96" w:rsidP="000B5C96">
      <w:pPr>
        <w:pStyle w:val="ListBullet"/>
        <w:numPr>
          <w:ilvl w:val="0"/>
          <w:numId w:val="123"/>
        </w:numPr>
        <w:ind w:left="454" w:hanging="454"/>
        <w:rPr>
          <w:lang w:eastAsia="en-AU"/>
        </w:rPr>
      </w:pPr>
      <w:r w:rsidRPr="0092198D">
        <w:rPr>
          <w:lang w:eastAsia="en-AU"/>
        </w:rPr>
        <w:t>Bond issuances would be Australian Government Treasury Bonds with a fixed coupon over the life of the security.</w:t>
      </w:r>
    </w:p>
    <w:p w:rsidR="000B5C96" w:rsidRPr="0092198D" w:rsidRDefault="000B5C96" w:rsidP="000B5C96">
      <w:pPr>
        <w:pStyle w:val="ListBullet"/>
        <w:numPr>
          <w:ilvl w:val="0"/>
          <w:numId w:val="123"/>
        </w:numPr>
        <w:ind w:left="454" w:hanging="454"/>
        <w:rPr>
          <w:lang w:eastAsia="en-AU"/>
        </w:rPr>
      </w:pPr>
      <w:r w:rsidRPr="0092198D">
        <w:rPr>
          <w:lang w:eastAsia="en-AU"/>
        </w:rPr>
        <w:t>Rates of interest offered in bond issuances in years beyond 2016-17 would be at the rates projected in the 2016-17 Budget.</w:t>
      </w:r>
    </w:p>
    <w:p w:rsidR="000B5C96" w:rsidRPr="0092198D" w:rsidRDefault="000B5C96" w:rsidP="000B5C96">
      <w:pPr>
        <w:pStyle w:val="ListBullet"/>
        <w:numPr>
          <w:ilvl w:val="0"/>
          <w:numId w:val="123"/>
        </w:numPr>
        <w:ind w:left="454" w:hanging="454"/>
        <w:rPr>
          <w:lang w:eastAsia="en-AU"/>
        </w:rPr>
      </w:pPr>
      <w:r w:rsidRPr="0092198D">
        <w:rPr>
          <w:lang w:eastAsia="en-AU"/>
        </w:rPr>
        <w:t>The merging of the AOFM with the ‘Bank’ would have no impact on current AOFM estimates.</w:t>
      </w:r>
    </w:p>
    <w:p w:rsidR="000B5C96" w:rsidRPr="0092198D" w:rsidRDefault="000B5C96" w:rsidP="003F606A">
      <w:pPr>
        <w:pStyle w:val="CostingsH8"/>
        <w:rPr>
          <w:rFonts w:eastAsia="Calibri"/>
        </w:rPr>
      </w:pPr>
      <w:r w:rsidRPr="0092198D">
        <w:rPr>
          <w:rFonts w:eastAsia="Calibri"/>
        </w:rPr>
        <w:t>Component 2 - Redirecting polluting infrastructure</w:t>
      </w:r>
    </w:p>
    <w:p w:rsidR="000B5C96" w:rsidRPr="00C17D8E" w:rsidRDefault="000B5C96" w:rsidP="003F606A">
      <w:pPr>
        <w:pStyle w:val="CostingsH9"/>
        <w:rPr>
          <w:i w:val="0"/>
          <w:color w:val="auto"/>
          <w:sz w:val="22"/>
          <w:u w:val="single"/>
        </w:rPr>
      </w:pPr>
      <w:r>
        <w:rPr>
          <w:i w:val="0"/>
          <w:color w:val="auto"/>
          <w:sz w:val="22"/>
          <w:u w:val="single"/>
        </w:rPr>
        <w:t>Asset Recycling</w:t>
      </w:r>
    </w:p>
    <w:p w:rsidR="000B5C96" w:rsidRPr="0092198D" w:rsidRDefault="000B5C96" w:rsidP="000B5C96">
      <w:pPr>
        <w:pStyle w:val="ListBullet"/>
        <w:numPr>
          <w:ilvl w:val="0"/>
          <w:numId w:val="123"/>
        </w:numPr>
        <w:ind w:left="454" w:hanging="454"/>
        <w:rPr>
          <w:lang w:eastAsia="en-AU"/>
        </w:rPr>
      </w:pPr>
      <w:r w:rsidRPr="0092198D">
        <w:rPr>
          <w:lang w:eastAsia="en-AU"/>
        </w:rPr>
        <w:t>For the purpose of this response, the National Partnership Agreement is not considered a legally enforceable contract.  For this reason the term “committed” has been determined by the PBO to reflect amounts that have been paid to jurisdictions.</w:t>
      </w:r>
    </w:p>
    <w:p w:rsidR="000B5C96" w:rsidRPr="00C17D8E" w:rsidRDefault="000B5C96" w:rsidP="003F606A">
      <w:pPr>
        <w:pStyle w:val="CostingsH9"/>
        <w:rPr>
          <w:i w:val="0"/>
          <w:color w:val="auto"/>
          <w:sz w:val="22"/>
          <w:u w:val="single"/>
        </w:rPr>
      </w:pPr>
      <w:r w:rsidRPr="00C17D8E">
        <w:rPr>
          <w:i w:val="0"/>
          <w:color w:val="auto"/>
          <w:sz w:val="22"/>
          <w:u w:val="single"/>
        </w:rPr>
        <w:t>Northern Australia Infrastructure Facility</w:t>
      </w:r>
    </w:p>
    <w:p w:rsidR="000B5C96" w:rsidRPr="0092198D" w:rsidRDefault="000B5C96" w:rsidP="000B5C96">
      <w:pPr>
        <w:pStyle w:val="ListBullet"/>
        <w:numPr>
          <w:ilvl w:val="0"/>
          <w:numId w:val="123"/>
        </w:numPr>
        <w:ind w:left="454" w:hanging="454"/>
        <w:rPr>
          <w:lang w:eastAsia="en-AU"/>
        </w:rPr>
      </w:pPr>
      <w:r w:rsidRPr="0092198D">
        <w:rPr>
          <w:lang w:eastAsia="en-AU"/>
        </w:rPr>
        <w:t>The Facility would provide a number of loans totalling $1,000 million each year over a five year period from 2016-17 to 2020-21.</w:t>
      </w:r>
    </w:p>
    <w:p w:rsidR="000B5C96" w:rsidRPr="0092198D" w:rsidRDefault="000B5C96" w:rsidP="000B5C96">
      <w:pPr>
        <w:pStyle w:val="ListBullet2"/>
        <w:numPr>
          <w:ilvl w:val="0"/>
          <w:numId w:val="124"/>
        </w:numPr>
        <w:ind w:left="908" w:hanging="454"/>
        <w:rPr>
          <w:lang w:eastAsia="en-AU"/>
        </w:rPr>
      </w:pPr>
      <w:r w:rsidRPr="0092198D">
        <w:rPr>
          <w:lang w:eastAsia="en-AU"/>
        </w:rPr>
        <w:t>$1,000 million of loans would be contractually committed in 2015-16 and issued in 2016</w:t>
      </w:r>
      <w:r w:rsidRPr="0092198D">
        <w:rPr>
          <w:lang w:eastAsia="en-AU"/>
        </w:rPr>
        <w:noBreakHyphen/>
        <w:t>17.</w:t>
      </w:r>
    </w:p>
    <w:p w:rsidR="000B5C96" w:rsidRPr="0092198D" w:rsidRDefault="000B5C96" w:rsidP="000B5C96">
      <w:pPr>
        <w:pStyle w:val="ListBullet"/>
        <w:numPr>
          <w:ilvl w:val="0"/>
          <w:numId w:val="123"/>
        </w:numPr>
        <w:ind w:left="454" w:hanging="454"/>
        <w:rPr>
          <w:lang w:eastAsia="en-AU"/>
        </w:rPr>
      </w:pPr>
      <w:r w:rsidRPr="0092198D">
        <w:rPr>
          <w:lang w:eastAsia="en-AU"/>
        </w:rPr>
        <w:t xml:space="preserve">In relation to the terms under which loans are to be issued, including the concessional rate of interest and the loan period, the PBO has made assumptions for modelling purposes only.  The PBO has assumed the loans would be issued as long-term loans at below-market rates.  These assumptions are not intended to provide any indication of the loan terms, including interest rates, for loans issued by the Facility.  Loan terms for each loan issued by the Facility would be negotiated on a case-by-case basis with individual borrowers.  </w:t>
      </w:r>
    </w:p>
    <w:p w:rsidR="000B5C96" w:rsidRPr="0092198D" w:rsidRDefault="000B5C96" w:rsidP="003F606A">
      <w:pPr>
        <w:spacing w:before="114" w:after="114"/>
        <w:rPr>
          <w:rFonts w:ascii="Calibri" w:eastAsia="Calibri" w:hAnsi="Calibri" w:cs="Times New Roman"/>
          <w:u w:val="single"/>
        </w:rPr>
      </w:pPr>
      <w:r w:rsidRPr="0092198D">
        <w:rPr>
          <w:rFonts w:ascii="Calibri" w:eastAsia="Calibri" w:hAnsi="Calibri" w:cs="Times New Roman"/>
          <w:u w:val="single"/>
        </w:rPr>
        <w:t>East West Link</w:t>
      </w:r>
    </w:p>
    <w:p w:rsidR="000B5C96" w:rsidRPr="0092198D" w:rsidRDefault="000B5C96" w:rsidP="000B5C96">
      <w:pPr>
        <w:pStyle w:val="ListBullet"/>
        <w:numPr>
          <w:ilvl w:val="0"/>
          <w:numId w:val="123"/>
        </w:numPr>
        <w:ind w:left="454" w:hanging="454"/>
        <w:rPr>
          <w:lang w:eastAsia="en-AU"/>
        </w:rPr>
      </w:pPr>
      <w:r w:rsidRPr="0092198D">
        <w:rPr>
          <w:lang w:eastAsia="en-AU"/>
        </w:rPr>
        <w:t>The full return of the $1,500 million of East West Link project funds would occur in 2016</w:t>
      </w:r>
      <w:r w:rsidRPr="0092198D">
        <w:rPr>
          <w:lang w:eastAsia="en-AU"/>
        </w:rPr>
        <w:noBreakHyphen/>
        <w:t>17.</w:t>
      </w:r>
    </w:p>
    <w:p w:rsidR="000B5C96" w:rsidRPr="0092198D" w:rsidRDefault="000B5C96" w:rsidP="003F606A">
      <w:pPr>
        <w:pStyle w:val="CostingsH8"/>
        <w:rPr>
          <w:rFonts w:eastAsia="Calibri"/>
        </w:rPr>
      </w:pPr>
      <w:r w:rsidRPr="0092198D">
        <w:rPr>
          <w:rFonts w:eastAsia="Calibri"/>
        </w:rPr>
        <w:t>Component 3 - RenewAustralia</w:t>
      </w:r>
    </w:p>
    <w:p w:rsidR="000B5C96" w:rsidRPr="0092198D" w:rsidRDefault="000B5C96" w:rsidP="000B5C96">
      <w:pPr>
        <w:pStyle w:val="ListBullet"/>
        <w:numPr>
          <w:ilvl w:val="0"/>
          <w:numId w:val="123"/>
        </w:numPr>
        <w:ind w:left="454" w:hanging="454"/>
        <w:rPr>
          <w:lang w:eastAsia="en-AU"/>
        </w:rPr>
      </w:pPr>
      <w:r w:rsidRPr="0092198D">
        <w:rPr>
          <w:lang w:eastAsia="en-AU"/>
        </w:rPr>
        <w:t>Capital expenditure would take place one year prior to capital becoming operational.  As such, no additional generating capacity can come on line prior to 2017-18.</w:t>
      </w:r>
    </w:p>
    <w:p w:rsidR="000B5C96" w:rsidRPr="0092198D" w:rsidRDefault="000B5C96" w:rsidP="000B5C96">
      <w:pPr>
        <w:pStyle w:val="ListBullet"/>
        <w:numPr>
          <w:ilvl w:val="0"/>
          <w:numId w:val="123"/>
        </w:numPr>
        <w:ind w:left="454" w:hanging="454"/>
        <w:rPr>
          <w:lang w:eastAsia="en-AU"/>
        </w:rPr>
      </w:pPr>
      <w:r w:rsidRPr="0092198D">
        <w:rPr>
          <w:lang w:eastAsia="en-AU"/>
        </w:rPr>
        <w:t>The RAC would use revenue from electricity generation to fund operation and maintenance costs.</w:t>
      </w:r>
    </w:p>
    <w:p w:rsidR="000B5C96" w:rsidRPr="0092198D" w:rsidRDefault="000B5C96" w:rsidP="000B5C96">
      <w:pPr>
        <w:pStyle w:val="ListBullet"/>
        <w:numPr>
          <w:ilvl w:val="0"/>
          <w:numId w:val="123"/>
        </w:numPr>
        <w:ind w:left="454" w:hanging="454"/>
        <w:rPr>
          <w:lang w:eastAsia="en-AU"/>
        </w:rPr>
      </w:pPr>
      <w:r w:rsidRPr="0092198D">
        <w:rPr>
          <w:lang w:eastAsia="en-AU"/>
        </w:rPr>
        <w:t>The level of subsidy provided by the auction would be sufficient for new entrant generators to obtain the necessary financing for construction.</w:t>
      </w:r>
    </w:p>
    <w:p w:rsidR="000B5C96" w:rsidRPr="0092198D" w:rsidRDefault="000B5C96" w:rsidP="000B5C96">
      <w:pPr>
        <w:pStyle w:val="ListBullet"/>
        <w:numPr>
          <w:ilvl w:val="0"/>
          <w:numId w:val="123"/>
        </w:numPr>
        <w:ind w:left="454" w:hanging="454"/>
        <w:rPr>
          <w:lang w:eastAsia="en-AU"/>
        </w:rPr>
      </w:pPr>
      <w:r w:rsidRPr="0092198D">
        <w:rPr>
          <w:lang w:eastAsia="en-AU"/>
        </w:rPr>
        <w:t>Renewable generation sufficient to meet the expanded RET would be distributed across renewable generating technologies consistent with the baseline distribution.</w:t>
      </w:r>
    </w:p>
    <w:p w:rsidR="000B5C96" w:rsidRPr="0092198D" w:rsidRDefault="000B5C96" w:rsidP="003F606A">
      <w:pPr>
        <w:pStyle w:val="BodyText"/>
      </w:pPr>
      <w:r w:rsidRPr="0092198D">
        <w:t xml:space="preserve">A detailed breakdown of the specifications used is provided at </w:t>
      </w:r>
      <w:r w:rsidRPr="0092198D">
        <w:rPr>
          <w:u w:val="single"/>
        </w:rPr>
        <w:t>Attachment D</w:t>
      </w:r>
      <w:r w:rsidRPr="0092198D">
        <w:t>.</w:t>
      </w:r>
    </w:p>
    <w:p w:rsidR="000B5C96" w:rsidRPr="0092198D" w:rsidRDefault="000B5C96" w:rsidP="003F606A">
      <w:pPr>
        <w:pStyle w:val="CostingsH8"/>
        <w:rPr>
          <w:rFonts w:eastAsia="Calibri"/>
        </w:rPr>
      </w:pPr>
      <w:r w:rsidRPr="0092198D">
        <w:rPr>
          <w:rFonts w:eastAsia="Calibri"/>
        </w:rPr>
        <w:t>Component 4 - Affordable housing</w:t>
      </w:r>
    </w:p>
    <w:p w:rsidR="000B5C96" w:rsidRPr="0092198D" w:rsidRDefault="000B5C96" w:rsidP="000B5C96">
      <w:pPr>
        <w:pStyle w:val="ListBullet"/>
        <w:numPr>
          <w:ilvl w:val="0"/>
          <w:numId w:val="123"/>
        </w:numPr>
        <w:ind w:left="454" w:hanging="454"/>
        <w:rPr>
          <w:lang w:eastAsia="en-AU"/>
        </w:rPr>
      </w:pPr>
      <w:r w:rsidRPr="0092198D">
        <w:rPr>
          <w:lang w:eastAsia="en-AU"/>
        </w:rPr>
        <w:t>The rates of interest on the non-zero interest AHFC loans to not-for-profit housing institutions are at rates that approximate non-concessional rates for those borrowers.</w:t>
      </w:r>
    </w:p>
    <w:p w:rsidR="000B5C96" w:rsidRPr="0092198D" w:rsidRDefault="000B5C96" w:rsidP="000B5C96">
      <w:pPr>
        <w:pStyle w:val="ListBullet"/>
        <w:numPr>
          <w:ilvl w:val="0"/>
          <w:numId w:val="123"/>
        </w:numPr>
        <w:ind w:left="454" w:hanging="454"/>
        <w:rPr>
          <w:lang w:eastAsia="en-AU"/>
        </w:rPr>
      </w:pPr>
      <w:r w:rsidRPr="0092198D">
        <w:rPr>
          <w:lang w:eastAsia="en-AU"/>
        </w:rPr>
        <w:t xml:space="preserve">Investors in the tax smart housing supply bonds are assumed to have an average marginal tax rate of 35 per cent.  </w:t>
      </w:r>
    </w:p>
    <w:p w:rsidR="000B5C96" w:rsidRPr="0092198D" w:rsidRDefault="000B5C96" w:rsidP="000B5C96">
      <w:pPr>
        <w:pStyle w:val="ListBullet"/>
        <w:numPr>
          <w:ilvl w:val="0"/>
          <w:numId w:val="123"/>
        </w:numPr>
        <w:ind w:left="454" w:hanging="454"/>
        <w:rPr>
          <w:lang w:eastAsia="en-AU"/>
        </w:rPr>
      </w:pPr>
      <w:r w:rsidRPr="0092198D">
        <w:rPr>
          <w:lang w:eastAsia="en-AU"/>
        </w:rPr>
        <w:t>The AHFC is assumed to issue bonds at the start of the financial year.</w:t>
      </w:r>
    </w:p>
    <w:p w:rsidR="000B5C96" w:rsidRPr="0092198D" w:rsidRDefault="000B5C96" w:rsidP="000B5C96">
      <w:pPr>
        <w:pStyle w:val="ListBullet"/>
        <w:numPr>
          <w:ilvl w:val="0"/>
          <w:numId w:val="123"/>
        </w:numPr>
        <w:ind w:left="454" w:hanging="454"/>
        <w:rPr>
          <w:lang w:eastAsia="en-AU"/>
        </w:rPr>
      </w:pPr>
      <w:r w:rsidRPr="0092198D">
        <w:rPr>
          <w:lang w:eastAsia="en-AU"/>
        </w:rPr>
        <w:t>The AHFC would on-lend funds during the same periods that the funds are raised.</w:t>
      </w:r>
    </w:p>
    <w:p w:rsidR="000B5C96" w:rsidRPr="0092198D" w:rsidRDefault="000B5C96" w:rsidP="003F606A">
      <w:pPr>
        <w:pStyle w:val="CostingsH8"/>
        <w:rPr>
          <w:rFonts w:eastAsia="Calibri"/>
        </w:rPr>
      </w:pPr>
      <w:r w:rsidRPr="0092198D">
        <w:rPr>
          <w:rFonts w:eastAsia="Calibri"/>
        </w:rPr>
        <w:t>Component 5 - Infrastructure projects</w:t>
      </w:r>
    </w:p>
    <w:p w:rsidR="000B5C96" w:rsidRPr="0092198D" w:rsidRDefault="000B5C96" w:rsidP="000B5C96">
      <w:pPr>
        <w:pStyle w:val="ListBullet"/>
        <w:numPr>
          <w:ilvl w:val="0"/>
          <w:numId w:val="123"/>
        </w:numPr>
        <w:ind w:left="454" w:hanging="454"/>
        <w:rPr>
          <w:lang w:eastAsia="en-AU"/>
        </w:rPr>
      </w:pPr>
      <w:r w:rsidRPr="0092198D">
        <w:rPr>
          <w:lang w:eastAsia="en-AU"/>
        </w:rPr>
        <w:t>The amounts of loans provided to state, territory and local governments each year would be 50 per cent of the funding for infrastructure projects, based on the nature of the specified projects.</w:t>
      </w:r>
    </w:p>
    <w:p w:rsidR="000B5C96" w:rsidRPr="0092198D" w:rsidRDefault="000B5C96" w:rsidP="003F606A">
      <w:pPr>
        <w:pStyle w:val="CostingsH7"/>
      </w:pPr>
      <w:r w:rsidRPr="0092198D">
        <w:t>Methodology</w:t>
      </w:r>
    </w:p>
    <w:p w:rsidR="000B5C96" w:rsidRPr="0092198D" w:rsidRDefault="000B5C96" w:rsidP="003F606A">
      <w:pPr>
        <w:pStyle w:val="BodyText"/>
      </w:pPr>
      <w:r w:rsidRPr="0092198D">
        <w:t>A range of different methodologies has been employed across the components of the proposal.  All components are rounded to the nearest $10 million.</w:t>
      </w:r>
    </w:p>
    <w:p w:rsidR="000B5C96" w:rsidRPr="0092198D" w:rsidRDefault="000B5C96" w:rsidP="003F606A">
      <w:pPr>
        <w:pStyle w:val="CostingsH8"/>
        <w:rPr>
          <w:rFonts w:eastAsia="Calibri"/>
        </w:rPr>
      </w:pPr>
      <w:r w:rsidRPr="0092198D">
        <w:rPr>
          <w:rFonts w:eastAsia="Calibri"/>
        </w:rPr>
        <w:t>Component 1 - Australian Infrastructure Bank</w:t>
      </w:r>
    </w:p>
    <w:p w:rsidR="000B5C96" w:rsidRPr="0092198D" w:rsidRDefault="000B5C96" w:rsidP="003F606A">
      <w:pPr>
        <w:pStyle w:val="BodyText"/>
      </w:pPr>
      <w:r w:rsidRPr="0092198D">
        <w:t xml:space="preserve">Borrowing costs for the $75,000 million were derived based on applying The Treasury projections of Australian Government Treasury Bond yields to the specified profile of bond issuances. </w:t>
      </w:r>
    </w:p>
    <w:p w:rsidR="000B5C96" w:rsidRPr="0092198D" w:rsidRDefault="000B5C96" w:rsidP="003F606A">
      <w:pPr>
        <w:pStyle w:val="BodyText"/>
      </w:pPr>
      <w:r w:rsidRPr="0092198D">
        <w:t>The impact of total departmental expenditure for the ‘Bank’ to undertake the specified financing activities, the provision of loans, and to subsume the AOFM was derived by proportionally increasing the AOFM’s departmental estimates based on the increase in funds that would be managed by the entity (compared to current funds managed by the AOFM), accounting for fixed costs.</w:t>
      </w:r>
    </w:p>
    <w:p w:rsidR="000B5C96" w:rsidRPr="0092198D" w:rsidRDefault="000B5C96" w:rsidP="003F606A">
      <w:pPr>
        <w:pStyle w:val="CostingsH8"/>
        <w:rPr>
          <w:rFonts w:eastAsia="Calibri"/>
        </w:rPr>
      </w:pPr>
      <w:r w:rsidRPr="0092198D">
        <w:rPr>
          <w:rFonts w:eastAsia="Calibri"/>
        </w:rPr>
        <w:t>Component 2 - Redirecting polluting infrastructure</w:t>
      </w:r>
    </w:p>
    <w:p w:rsidR="000B5C96" w:rsidRPr="00C17D8E" w:rsidRDefault="000B5C96" w:rsidP="003F606A">
      <w:pPr>
        <w:pStyle w:val="CostingsH9"/>
        <w:rPr>
          <w:i w:val="0"/>
          <w:color w:val="auto"/>
          <w:sz w:val="22"/>
          <w:u w:val="single"/>
        </w:rPr>
      </w:pPr>
      <w:r w:rsidRPr="00C17D8E">
        <w:rPr>
          <w:i w:val="0"/>
          <w:color w:val="auto"/>
          <w:sz w:val="22"/>
          <w:u w:val="single"/>
        </w:rPr>
        <w:t>Asset Recycling, East West Link, Perth Freight Link, Ipswich Motorway and Western Sydney Airport</w:t>
      </w:r>
    </w:p>
    <w:p w:rsidR="000B5C96" w:rsidRPr="0092198D" w:rsidRDefault="000B5C96" w:rsidP="003F606A">
      <w:pPr>
        <w:pStyle w:val="BodyText"/>
      </w:pPr>
      <w:r w:rsidRPr="0092198D">
        <w:t xml:space="preserve">The impact of the proposal on administered expenditure was derived as current Commonwealth funding estimates less contractual commitments at 1 September 2016.  The impact of these elements of the proposal on the fiscal, underlying cash and headline cash balances are equal.  </w:t>
      </w:r>
    </w:p>
    <w:p w:rsidR="000B5C96" w:rsidRPr="00C17D8E" w:rsidRDefault="000B5C96" w:rsidP="003F606A">
      <w:pPr>
        <w:pStyle w:val="CostingsH9"/>
        <w:rPr>
          <w:i w:val="0"/>
          <w:color w:val="auto"/>
          <w:sz w:val="22"/>
          <w:u w:val="single"/>
        </w:rPr>
      </w:pPr>
      <w:r w:rsidRPr="00C17D8E">
        <w:rPr>
          <w:i w:val="0"/>
          <w:color w:val="auto"/>
          <w:sz w:val="22"/>
          <w:u w:val="single"/>
        </w:rPr>
        <w:t>Northern Australia Infrastructure Facility</w:t>
      </w:r>
    </w:p>
    <w:p w:rsidR="000B5C96" w:rsidRPr="0092198D" w:rsidRDefault="000B5C96" w:rsidP="003F606A">
      <w:pPr>
        <w:pStyle w:val="BodyText"/>
      </w:pPr>
      <w:r w:rsidRPr="0092198D">
        <w:t xml:space="preserve">The PBO projected the gross cost of establishing the Facility by applying concessional loan discount and interest calculations to the assumption that $1,000 million of loans would be issued each year over five years.  The financial impacts are then derived by taking the difference between the projected gross cost of the Facility and the gross cost of the Facility at the specified abolition date of 1 September 2016. </w:t>
      </w:r>
    </w:p>
    <w:p w:rsidR="000B5C96" w:rsidRPr="0092198D" w:rsidRDefault="000B5C96" w:rsidP="003F606A">
      <w:pPr>
        <w:pStyle w:val="BodyText"/>
      </w:pPr>
      <w:r w:rsidRPr="0092198D">
        <w:t>Savings from departmental funding are estimated by reversing departmental costs for the years in which no further new loans would be issued, and include further departmental funds provided in the 2016-17 Budget.</w:t>
      </w:r>
      <w:r w:rsidRPr="00365126">
        <w:rPr>
          <w:rStyle w:val="FootnoteReference"/>
        </w:rPr>
        <w:footnoteReference w:id="12"/>
      </w:r>
    </w:p>
    <w:p w:rsidR="000B5C96" w:rsidRPr="00C17D8E" w:rsidRDefault="000B5C96" w:rsidP="003F606A">
      <w:pPr>
        <w:pStyle w:val="CostingsH9"/>
        <w:rPr>
          <w:i w:val="0"/>
          <w:color w:val="auto"/>
          <w:sz w:val="22"/>
          <w:u w:val="single"/>
        </w:rPr>
      </w:pPr>
      <w:r w:rsidRPr="00C17D8E">
        <w:rPr>
          <w:i w:val="0"/>
          <w:color w:val="auto"/>
          <w:sz w:val="22"/>
          <w:u w:val="single"/>
        </w:rPr>
        <w:t>WestConnex</w:t>
      </w:r>
    </w:p>
    <w:p w:rsidR="000B5C96" w:rsidRPr="0092198D" w:rsidRDefault="000B5C96" w:rsidP="003F606A">
      <w:pPr>
        <w:pStyle w:val="BodyText"/>
      </w:pPr>
      <w:r w:rsidRPr="0092198D">
        <w:t xml:space="preserve">The reversal of funding for infrastructure projects also includes the impact of not proceeding with the concessional financing of the WestConnex project.  </w:t>
      </w:r>
    </w:p>
    <w:p w:rsidR="000B5C96" w:rsidRPr="0092198D" w:rsidRDefault="000B5C96" w:rsidP="003F606A">
      <w:pPr>
        <w:pStyle w:val="CostingsH8"/>
        <w:rPr>
          <w:rFonts w:eastAsia="Calibri"/>
        </w:rPr>
      </w:pPr>
      <w:r w:rsidRPr="0092198D">
        <w:rPr>
          <w:rFonts w:eastAsia="Calibri"/>
        </w:rPr>
        <w:t>Component 3 - RenewAustralia</w:t>
      </w:r>
    </w:p>
    <w:p w:rsidR="000B5C96" w:rsidRPr="0092198D" w:rsidRDefault="000B5C96" w:rsidP="003F606A">
      <w:pPr>
        <w:pStyle w:val="BodyText"/>
      </w:pPr>
      <w:r w:rsidRPr="0092198D">
        <w:t>In costing this request, baseline generation and electricity prices were estimated out to 2029</w:t>
      </w:r>
      <w:r w:rsidRPr="0092198D">
        <w:noBreakHyphen/>
        <w:t xml:space="preserve">30 based on data from the Department of Industry, Innovation and Science (generation), adjusted for the increased expansion of the RET, and the Australian Energy Market Operator (wholesale prices).  This baseline was then adjusted to include each component of the proposal sequentially. </w:t>
      </w:r>
    </w:p>
    <w:p w:rsidR="000B5C96" w:rsidRPr="00C17D8E" w:rsidRDefault="000B5C96" w:rsidP="003F606A">
      <w:pPr>
        <w:pStyle w:val="CostingsH9"/>
        <w:rPr>
          <w:i w:val="0"/>
          <w:color w:val="auto"/>
          <w:sz w:val="22"/>
          <w:u w:val="single"/>
        </w:rPr>
      </w:pPr>
      <w:r w:rsidRPr="00C17D8E">
        <w:rPr>
          <w:i w:val="0"/>
          <w:color w:val="auto"/>
          <w:sz w:val="22"/>
          <w:u w:val="single"/>
        </w:rPr>
        <w:t xml:space="preserve">Reverse auction </w:t>
      </w:r>
    </w:p>
    <w:p w:rsidR="000B5C96" w:rsidRPr="0092198D" w:rsidRDefault="000B5C96" w:rsidP="003F606A">
      <w:pPr>
        <w:pStyle w:val="BodyText"/>
      </w:pPr>
      <w:r w:rsidRPr="0092198D">
        <w:t>The reverse auction element of this component is the mechanism through which the Commonwealth would provide subsidies to various solar technologies to make them financially viable for the private operators.  In costing the auction, technology-specific costs of generation were used as a proxy for wholesale electricity prices.  These costs incorporated projected capital costs, operating and maintenance costs, and (in the case of non</w:t>
      </w:r>
      <w:r w:rsidRPr="0092198D">
        <w:noBreakHyphen/>
        <w:t>renewable generation technologies) fuel costs.  The difference between technology-specific wholesale prices and the market wholesale price represents the required annual income transfer required to meet the annual generation targets.  The net present value of the annual income transfers required is spread over fifteen years to produce the necessary subsidy base.</w:t>
      </w:r>
    </w:p>
    <w:p w:rsidR="000B5C96" w:rsidRPr="00C17D8E" w:rsidRDefault="000B5C96" w:rsidP="003F606A">
      <w:pPr>
        <w:pStyle w:val="CostingsH9"/>
        <w:rPr>
          <w:i w:val="0"/>
          <w:color w:val="auto"/>
          <w:sz w:val="22"/>
          <w:u w:val="single"/>
        </w:rPr>
      </w:pPr>
      <w:r w:rsidRPr="00C17D8E">
        <w:rPr>
          <w:i w:val="0"/>
          <w:color w:val="auto"/>
          <w:sz w:val="22"/>
          <w:u w:val="single"/>
        </w:rPr>
        <w:t>Construction of electricity generating assets</w:t>
      </w:r>
    </w:p>
    <w:p w:rsidR="000B5C96" w:rsidRPr="0092198D" w:rsidRDefault="000B5C96" w:rsidP="003F606A">
      <w:pPr>
        <w:pStyle w:val="BodyText"/>
      </w:pPr>
      <w:r w:rsidRPr="0092198D">
        <w:t>The RAC would finance construction of additional electricity generation capacity of both solar thermal and solar thermal with storage technologies.  There are three key factors in this component of the costing: capital costs; operational and maintenance costs; and revenue from electricity generated.</w:t>
      </w:r>
    </w:p>
    <w:p w:rsidR="000B5C96" w:rsidRPr="0092198D" w:rsidRDefault="000B5C96" w:rsidP="003F606A">
      <w:pPr>
        <w:pStyle w:val="BodyText"/>
      </w:pPr>
      <w:r w:rsidRPr="0092198D">
        <w:t xml:space="preserve">The RAC would receive equity injections from the Commonwealth Government to undertake capital construction of renewable electricity generation assets.  The Commonwealth would exchange one financial asset (cash) for another (an equity stake in RAC), which has no direct impact on the budget.  The cost of financing the equity injection, the PDI, would impact the budget. </w:t>
      </w:r>
    </w:p>
    <w:p w:rsidR="000B5C96" w:rsidRPr="0092198D" w:rsidRDefault="000B5C96" w:rsidP="003F606A">
      <w:pPr>
        <w:pStyle w:val="BodyText"/>
      </w:pPr>
      <w:r w:rsidRPr="0092198D">
        <w:t>Revenue from the sale of electricity net of operation and maintenance costs is distributed to the Commonwealth as an annual dividend.  For the fiscal and underlying cash balances the cost to the budget is the difference between the PDI and the revenue received by the Commonwealth, with the headline cash balance also incorporating capital injections.</w:t>
      </w:r>
    </w:p>
    <w:p w:rsidR="000B5C96" w:rsidRPr="0092198D" w:rsidRDefault="000B5C96" w:rsidP="003F606A">
      <w:pPr>
        <w:pStyle w:val="CostingsH8"/>
        <w:rPr>
          <w:rFonts w:eastAsia="Calibri"/>
        </w:rPr>
      </w:pPr>
      <w:r w:rsidRPr="0092198D">
        <w:rPr>
          <w:rFonts w:eastAsia="Calibri"/>
        </w:rPr>
        <w:t>Component 4 - Affordable housing</w:t>
      </w:r>
    </w:p>
    <w:p w:rsidR="000B5C96" w:rsidRPr="00C17D8E" w:rsidRDefault="000B5C96" w:rsidP="003F606A">
      <w:pPr>
        <w:pStyle w:val="CostingsH9"/>
        <w:rPr>
          <w:i w:val="0"/>
          <w:color w:val="auto"/>
          <w:sz w:val="22"/>
          <w:u w:val="single"/>
        </w:rPr>
      </w:pPr>
      <w:r w:rsidRPr="00C17D8E">
        <w:rPr>
          <w:i w:val="0"/>
          <w:color w:val="auto"/>
          <w:sz w:val="22"/>
          <w:u w:val="single"/>
        </w:rPr>
        <w:t xml:space="preserve">Zero interest social housing growth loans </w:t>
      </w:r>
    </w:p>
    <w:p w:rsidR="000B5C96" w:rsidRPr="0092198D" w:rsidRDefault="000B5C96" w:rsidP="003F606A">
      <w:pPr>
        <w:pStyle w:val="BodyText"/>
      </w:pPr>
      <w:r w:rsidRPr="0092198D">
        <w:t>This component of the costing has been estimated by calculating the associated cash flows and the impact on PDI from raising $204 million per year for 10 years and on-lending it at a rate of zero per cent per annum.  The estimate includes a concessional loan discount component which reflects the difference between the concessional rate charged on loans made by the AHFC (zero per cent) and the comparative rate the market would apply to these loans.</w:t>
      </w:r>
    </w:p>
    <w:p w:rsidR="000B5C96" w:rsidRPr="00C17D8E" w:rsidRDefault="000B5C96" w:rsidP="003F606A">
      <w:pPr>
        <w:pStyle w:val="CostingsH9"/>
        <w:rPr>
          <w:i w:val="0"/>
          <w:color w:val="auto"/>
          <w:sz w:val="22"/>
          <w:u w:val="single"/>
        </w:rPr>
      </w:pPr>
      <w:r w:rsidRPr="00C17D8E">
        <w:rPr>
          <w:i w:val="0"/>
          <w:color w:val="auto"/>
          <w:sz w:val="22"/>
          <w:u w:val="single"/>
        </w:rPr>
        <w:t>Tax smart housing supply loans</w:t>
      </w:r>
    </w:p>
    <w:p w:rsidR="000B5C96" w:rsidRPr="0092198D" w:rsidRDefault="000B5C96" w:rsidP="003F606A">
      <w:pPr>
        <w:pStyle w:val="BodyText"/>
      </w:pPr>
      <w:r w:rsidRPr="0092198D">
        <w:t>This component of the costing has been estimated by calculating the cash flows associated with the AHFC issuing bonds (to retail investors) and on-lending to non-profit housing organisations.</w:t>
      </w:r>
    </w:p>
    <w:p w:rsidR="000B5C96" w:rsidRPr="0092198D" w:rsidRDefault="000B5C96" w:rsidP="003F606A">
      <w:pPr>
        <w:pStyle w:val="BodyText"/>
        <w:rPr>
          <w:b/>
        </w:rPr>
      </w:pPr>
      <w:r w:rsidRPr="0092198D">
        <w:t xml:space="preserve">The underlying cash and fiscal balance implications largely represent the interest receipts on the loans and the payment of interest (PDI) on the bonds.  The headline cash balance recognises the loan amounts from AHFC to housing providers and the repayments made. </w:t>
      </w:r>
    </w:p>
    <w:p w:rsidR="000B5C96" w:rsidRPr="0092198D" w:rsidRDefault="000B5C96" w:rsidP="003F606A">
      <w:pPr>
        <w:pStyle w:val="BodyText"/>
      </w:pPr>
      <w:r w:rsidRPr="0092198D">
        <w:t>The revenue and receipt estimates also include a negative amount associated with providing tax exemptions for returns on investment in these bonds by retail investors.  The timing of each year’s tax revenue implications would occur when income tax returns are assessed, that is, in the next financial year.</w:t>
      </w:r>
    </w:p>
    <w:p w:rsidR="000B5C96" w:rsidRPr="00C17D8E" w:rsidRDefault="000B5C96" w:rsidP="003F606A">
      <w:pPr>
        <w:pStyle w:val="CostingsH9"/>
        <w:rPr>
          <w:i w:val="0"/>
          <w:color w:val="auto"/>
          <w:sz w:val="22"/>
          <w:u w:val="single"/>
        </w:rPr>
      </w:pPr>
      <w:r w:rsidRPr="00C17D8E">
        <w:rPr>
          <w:i w:val="0"/>
          <w:color w:val="auto"/>
          <w:sz w:val="22"/>
          <w:u w:val="single"/>
        </w:rPr>
        <w:t>AAA housing supply loans</w:t>
      </w:r>
    </w:p>
    <w:p w:rsidR="000B5C96" w:rsidRPr="0092198D" w:rsidRDefault="000B5C96" w:rsidP="003F606A">
      <w:pPr>
        <w:pStyle w:val="BodyText"/>
      </w:pPr>
      <w:r w:rsidRPr="0092198D">
        <w:t>This component of the costing has been estimated by calculating the cash flows associated with the AHFC issuing bonds (to wholesale investors) and on-lending to non</w:t>
      </w:r>
      <w:r>
        <w:t>-profit housing organisations.</w:t>
      </w:r>
    </w:p>
    <w:p w:rsidR="000B5C96" w:rsidRPr="0092198D" w:rsidRDefault="000B5C96" w:rsidP="003F606A">
      <w:pPr>
        <w:pStyle w:val="BodyText"/>
        <w:rPr>
          <w:b/>
        </w:rPr>
      </w:pPr>
      <w:r w:rsidRPr="0092198D">
        <w:t xml:space="preserve">The underlying cash and fiscal balance implications of these bonds largely represent the interest receipts on the loans and the PDI on the bonds.  The headline cash balance recognises the loan principal amounts from AHFC to housing providers. </w:t>
      </w:r>
    </w:p>
    <w:p w:rsidR="000B5C96" w:rsidRPr="0092198D" w:rsidRDefault="000B5C96" w:rsidP="003F606A">
      <w:pPr>
        <w:pStyle w:val="BodyText"/>
      </w:pPr>
      <w:r w:rsidRPr="0092198D">
        <w:t xml:space="preserve">The AAA housing supply bonds include a Government guarantee which provides an incentive to the institutional investors to invest but does not have direct implications on the budget bottom line.  </w:t>
      </w:r>
    </w:p>
    <w:p w:rsidR="000B5C96" w:rsidRPr="00C17D8E" w:rsidRDefault="000B5C96" w:rsidP="003F606A">
      <w:pPr>
        <w:pStyle w:val="CostingsH9"/>
        <w:rPr>
          <w:i w:val="0"/>
          <w:color w:val="auto"/>
          <w:sz w:val="22"/>
          <w:u w:val="single"/>
        </w:rPr>
      </w:pPr>
      <w:r w:rsidRPr="00C17D8E">
        <w:rPr>
          <w:i w:val="0"/>
          <w:color w:val="auto"/>
          <w:sz w:val="22"/>
          <w:u w:val="single"/>
        </w:rPr>
        <w:t xml:space="preserve">Overall </w:t>
      </w:r>
    </w:p>
    <w:p w:rsidR="000B5C96" w:rsidRPr="0092198D" w:rsidRDefault="000B5C96" w:rsidP="003F606A">
      <w:pPr>
        <w:pStyle w:val="BodyText"/>
      </w:pPr>
      <w:r w:rsidRPr="0092198D">
        <w:t>As specified, the departmental expenses of the AHFC are capped at $10 million per annum.</w:t>
      </w:r>
    </w:p>
    <w:p w:rsidR="000B5C96" w:rsidRPr="0092198D" w:rsidRDefault="000B5C96" w:rsidP="003F606A">
      <w:pPr>
        <w:pStyle w:val="CostingsH8"/>
        <w:rPr>
          <w:rFonts w:eastAsia="Calibri"/>
        </w:rPr>
      </w:pPr>
      <w:r w:rsidRPr="0092198D">
        <w:rPr>
          <w:rFonts w:eastAsia="Calibri"/>
        </w:rPr>
        <w:t>Component 5 - Infrastructure projects</w:t>
      </w:r>
    </w:p>
    <w:p w:rsidR="000B5C96" w:rsidRPr="0092198D" w:rsidRDefault="000B5C96" w:rsidP="003F606A">
      <w:pPr>
        <w:pStyle w:val="BodyText"/>
      </w:pPr>
      <w:r w:rsidRPr="0092198D">
        <w:t>The administered expense impacts were derived as half of the total of the specified infrastructure projects.</w:t>
      </w:r>
    </w:p>
    <w:p w:rsidR="000B5C96" w:rsidRPr="0092198D" w:rsidRDefault="000B5C96" w:rsidP="003F606A">
      <w:pPr>
        <w:pStyle w:val="BodyText"/>
      </w:pPr>
      <w:r w:rsidRPr="0092198D">
        <w:t xml:space="preserve">The loan impacts were derived by developing a concessional loan model to cost the impact of loans on administered expenditure and revenue.  </w:t>
      </w:r>
    </w:p>
    <w:p w:rsidR="000B5C96" w:rsidRPr="0092198D" w:rsidRDefault="000B5C96" w:rsidP="003F606A">
      <w:pPr>
        <w:pStyle w:val="BodyText"/>
        <w:rPr>
          <w:rFonts w:eastAsia="Times New Roman"/>
          <w:lang w:eastAsia="en-AU"/>
        </w:rPr>
      </w:pPr>
      <w:r w:rsidRPr="0092198D">
        <w:rPr>
          <w:rFonts w:eastAsia="Times New Roman"/>
          <w:lang w:eastAsia="en-AU"/>
        </w:rPr>
        <w:t>Each of the four specified loan tranches were modelled, accounting for the annual variance in the concessional interest rates and with the loan terms reflecting those of the corresponding capital raisings from Component 1.</w:t>
      </w:r>
    </w:p>
    <w:p w:rsidR="000B5C96" w:rsidRPr="0092198D" w:rsidRDefault="000B5C96" w:rsidP="003F606A">
      <w:pPr>
        <w:pStyle w:val="CostingsH7"/>
      </w:pPr>
      <w:r w:rsidRPr="0092198D">
        <w:t>Data sources</w:t>
      </w:r>
    </w:p>
    <w:p w:rsidR="000B5C96" w:rsidRPr="0092198D" w:rsidRDefault="000B5C96" w:rsidP="003F606A">
      <w:pPr>
        <w:pStyle w:val="CostingsH8"/>
        <w:rPr>
          <w:rFonts w:eastAsia="Calibri"/>
        </w:rPr>
      </w:pPr>
      <w:r w:rsidRPr="0092198D">
        <w:rPr>
          <w:rFonts w:eastAsia="Calibri"/>
        </w:rPr>
        <w:t>Component 1 - Australian Infrastructure Bank</w:t>
      </w:r>
    </w:p>
    <w:p w:rsidR="000B5C96" w:rsidRPr="0092198D" w:rsidRDefault="000B5C96" w:rsidP="003F606A">
      <w:pPr>
        <w:pStyle w:val="BodyText"/>
        <w:rPr>
          <w:lang w:eastAsia="en-AU"/>
        </w:rPr>
      </w:pPr>
      <w:r w:rsidRPr="0092198D">
        <w:rPr>
          <w:lang w:eastAsia="en-AU"/>
        </w:rPr>
        <w:t>The Treasury provided projections of Australian Government Treasury bond yields.</w:t>
      </w:r>
    </w:p>
    <w:p w:rsidR="000B5C96" w:rsidRPr="0092198D" w:rsidRDefault="000B5C96" w:rsidP="003F606A">
      <w:pPr>
        <w:pStyle w:val="BodyText"/>
        <w:rPr>
          <w:lang w:eastAsia="en-AU"/>
        </w:rPr>
      </w:pPr>
      <w:r w:rsidRPr="0092198D">
        <w:rPr>
          <w:lang w:eastAsia="en-AU"/>
        </w:rPr>
        <w:t>Australian Office of Financial Management 2016-17 Portfolio Budget Statements.</w:t>
      </w:r>
    </w:p>
    <w:p w:rsidR="000B5C96" w:rsidRPr="0092198D" w:rsidRDefault="000B5C96" w:rsidP="003F606A">
      <w:pPr>
        <w:pStyle w:val="BodyText"/>
        <w:rPr>
          <w:lang w:eastAsia="en-AU"/>
        </w:rPr>
      </w:pPr>
      <w:r w:rsidRPr="0092198D">
        <w:rPr>
          <w:lang w:eastAsia="en-AU"/>
        </w:rPr>
        <w:t>Australian Bureau of Statistics 5512.0 - Government Finance Statistics, Australia.</w:t>
      </w:r>
    </w:p>
    <w:p w:rsidR="000B5C96" w:rsidRPr="0092198D" w:rsidRDefault="000B5C96" w:rsidP="003F606A">
      <w:pPr>
        <w:pStyle w:val="CostingsH8"/>
        <w:rPr>
          <w:rFonts w:eastAsia="Calibri"/>
        </w:rPr>
      </w:pPr>
      <w:r w:rsidRPr="0092198D">
        <w:rPr>
          <w:rFonts w:eastAsia="Calibri"/>
        </w:rPr>
        <w:t>Component 2 - Redirecting polluting infrastructure</w:t>
      </w:r>
    </w:p>
    <w:p w:rsidR="000B5C96" w:rsidRPr="0092198D" w:rsidRDefault="000B5C96" w:rsidP="003F606A">
      <w:pPr>
        <w:pStyle w:val="BodyText"/>
        <w:rPr>
          <w:lang w:eastAsia="en-AU"/>
        </w:rPr>
      </w:pPr>
      <w:r w:rsidRPr="0092198D">
        <w:rPr>
          <w:lang w:eastAsia="en-AU"/>
        </w:rPr>
        <w:t>The Department of Finance - RMG 115 - Accounting for concessional loans</w:t>
      </w:r>
    </w:p>
    <w:p w:rsidR="000B5C96" w:rsidRPr="0092198D" w:rsidRDefault="00E46526" w:rsidP="003F606A">
      <w:pPr>
        <w:pStyle w:val="BodyText"/>
        <w:rPr>
          <w:color w:val="0000FF"/>
          <w:u w:val="single"/>
          <w:lang w:eastAsia="en-AU"/>
        </w:rPr>
      </w:pPr>
      <w:hyperlink r:id="rId611" w:history="1">
        <w:r w:rsidR="000B5C96" w:rsidRPr="0092198D">
          <w:rPr>
            <w:color w:val="0000FF"/>
            <w:u w:val="single"/>
            <w:lang w:eastAsia="en-AU"/>
          </w:rPr>
          <w:t>http://www.finance.gov.au/resource-management/reporting-accounting/accounting-guidance/</w:t>
        </w:r>
      </w:hyperlink>
      <w:r w:rsidR="000B5C96" w:rsidRPr="0092198D">
        <w:rPr>
          <w:color w:val="0000FF"/>
          <w:u w:val="single"/>
          <w:lang w:eastAsia="en-AU"/>
        </w:rPr>
        <w:t>.</w:t>
      </w:r>
    </w:p>
    <w:p w:rsidR="000B5C96" w:rsidRPr="0092198D" w:rsidRDefault="000B5C96" w:rsidP="003F606A">
      <w:pPr>
        <w:pStyle w:val="BodyText"/>
        <w:rPr>
          <w:rFonts w:eastAsia="Calibri"/>
        </w:rPr>
      </w:pPr>
      <w:r w:rsidRPr="0092198D">
        <w:rPr>
          <w:rFonts w:eastAsia="Calibri"/>
        </w:rPr>
        <w:t>DIRD provided whole-of-agency infrastructure expenditure estimates and commitments at 1 July 2016.</w:t>
      </w:r>
    </w:p>
    <w:p w:rsidR="000B5C96" w:rsidRPr="0092198D" w:rsidRDefault="000B5C96" w:rsidP="003F606A">
      <w:pPr>
        <w:pStyle w:val="BodyText"/>
        <w:rPr>
          <w:rFonts w:eastAsia="Calibri"/>
        </w:rPr>
      </w:pPr>
      <w:r w:rsidRPr="0092198D">
        <w:rPr>
          <w:rFonts w:eastAsia="Calibri"/>
        </w:rPr>
        <w:t>The Treasury provided:</w:t>
      </w:r>
    </w:p>
    <w:p w:rsidR="000B5C96" w:rsidRPr="0067404C" w:rsidRDefault="000B5C96" w:rsidP="000B5C96">
      <w:pPr>
        <w:pStyle w:val="ListBullet"/>
        <w:numPr>
          <w:ilvl w:val="0"/>
          <w:numId w:val="123"/>
        </w:numPr>
        <w:ind w:left="454" w:hanging="454"/>
        <w:rPr>
          <w:lang w:eastAsia="en-AU"/>
        </w:rPr>
      </w:pPr>
      <w:r w:rsidRPr="0067404C">
        <w:rPr>
          <w:lang w:eastAsia="en-AU"/>
        </w:rPr>
        <w:t>the WestConnex costing model</w:t>
      </w:r>
    </w:p>
    <w:p w:rsidR="000B5C96" w:rsidRPr="0067404C" w:rsidRDefault="000B5C96" w:rsidP="000B5C96">
      <w:pPr>
        <w:pStyle w:val="ListBullet"/>
        <w:numPr>
          <w:ilvl w:val="0"/>
          <w:numId w:val="123"/>
        </w:numPr>
        <w:ind w:left="454" w:hanging="454"/>
        <w:rPr>
          <w:lang w:eastAsia="en-AU"/>
        </w:rPr>
      </w:pPr>
      <w:r w:rsidRPr="0067404C">
        <w:rPr>
          <w:lang w:eastAsia="en-AU"/>
        </w:rPr>
        <w:t>Asset Recyling expenditure estimates and current commitments</w:t>
      </w:r>
    </w:p>
    <w:p w:rsidR="000B5C96" w:rsidRPr="0067404C" w:rsidRDefault="000B5C96" w:rsidP="000B5C96">
      <w:pPr>
        <w:pStyle w:val="ListBullet"/>
        <w:numPr>
          <w:ilvl w:val="0"/>
          <w:numId w:val="123"/>
        </w:numPr>
        <w:ind w:left="454" w:hanging="454"/>
        <w:rPr>
          <w:lang w:eastAsia="en-AU"/>
        </w:rPr>
      </w:pPr>
      <w:r w:rsidRPr="0067404C">
        <w:rPr>
          <w:lang w:eastAsia="en-AU"/>
        </w:rPr>
        <w:t>advice on the return of Commonwealth funds for the East West link.</w:t>
      </w:r>
    </w:p>
    <w:p w:rsidR="000B5C96" w:rsidRPr="0092198D" w:rsidRDefault="000B5C96" w:rsidP="003F606A">
      <w:pPr>
        <w:pStyle w:val="BodyText"/>
        <w:rPr>
          <w:lang w:eastAsia="en-AU"/>
        </w:rPr>
      </w:pPr>
      <w:r w:rsidRPr="0092198D">
        <w:rPr>
          <w:lang w:eastAsia="en-AU"/>
        </w:rPr>
        <w:t>2015-16 Budget measure, Developing Northern Australia - Northern Australia Infrastructure Facility (2015-16 Budget Paper No. 2, p174).</w:t>
      </w:r>
    </w:p>
    <w:p w:rsidR="000B5C96" w:rsidRPr="0092198D" w:rsidRDefault="000B5C96" w:rsidP="003F606A">
      <w:pPr>
        <w:pStyle w:val="BodyText"/>
        <w:rPr>
          <w:rFonts w:eastAsia="Calibri"/>
          <w:b/>
          <w:color w:val="2B3B5F"/>
          <w:sz w:val="24"/>
        </w:rPr>
      </w:pPr>
      <w:r w:rsidRPr="0092198D">
        <w:rPr>
          <w:rFonts w:eastAsia="Calibri"/>
        </w:rPr>
        <w:t>2016-17 Budget measure, Establishment of the Northern Australian Infrastructure Facility (2016-17 Budget Paper No. 2, p127).</w:t>
      </w:r>
    </w:p>
    <w:p w:rsidR="000B5C96" w:rsidRPr="0092198D" w:rsidRDefault="000B5C96" w:rsidP="003F606A">
      <w:pPr>
        <w:pStyle w:val="CostingsH8"/>
        <w:rPr>
          <w:rFonts w:eastAsia="Calibri"/>
        </w:rPr>
      </w:pPr>
      <w:r w:rsidRPr="0092198D">
        <w:rPr>
          <w:rFonts w:eastAsia="Calibri"/>
        </w:rPr>
        <w:t>Component 3 - RenewAustralia</w:t>
      </w:r>
    </w:p>
    <w:p w:rsidR="000B5C96" w:rsidRPr="0092198D" w:rsidRDefault="000B5C96" w:rsidP="003F606A">
      <w:pPr>
        <w:pStyle w:val="BodyText"/>
      </w:pPr>
      <w:r w:rsidRPr="0092198D">
        <w:t>ACIL-Allen consulting report, Electricity Sector Emissions - Modelling of the Australian Electricity Sector (2013) in support of the Climate Change Authority’s Targets and Progress Review (2013).</w:t>
      </w:r>
    </w:p>
    <w:p w:rsidR="000B5C96" w:rsidRPr="0092198D" w:rsidRDefault="000B5C96" w:rsidP="003F606A">
      <w:pPr>
        <w:pStyle w:val="BodyText"/>
      </w:pPr>
      <w:r w:rsidRPr="0092198D">
        <w:t xml:space="preserve">AEMO, </w:t>
      </w:r>
      <w:hyperlink r:id="rId612" w:history="1">
        <w:r w:rsidRPr="0092198D">
          <w:rPr>
            <w:color w:val="0000FF"/>
            <w:u w:val="single"/>
          </w:rPr>
          <w:t>http://forecasting.aemo.com.au/AnnualConsumption</w:t>
        </w:r>
      </w:hyperlink>
      <w:r w:rsidRPr="0092198D">
        <w:t>.</w:t>
      </w:r>
    </w:p>
    <w:p w:rsidR="000B5C96" w:rsidRPr="0092198D" w:rsidRDefault="000B5C96" w:rsidP="003F606A">
      <w:pPr>
        <w:pStyle w:val="BodyText"/>
      </w:pPr>
      <w:r w:rsidRPr="0092198D">
        <w:t>Commonwealth Scientific and Industrial Research Organisation publication, Pathways to deep decarbonisation in 2050: How Australia can prosper in a low carbon world (2014) in support of the Climate Works’ publication Pathways to deep decarbonisation in 2050 (2014).</w:t>
      </w:r>
    </w:p>
    <w:p w:rsidR="000B5C96" w:rsidRPr="0092198D" w:rsidRDefault="000B5C96" w:rsidP="003F606A">
      <w:pPr>
        <w:pStyle w:val="BodyText"/>
      </w:pPr>
      <w:r w:rsidRPr="0092198D">
        <w:t>Department of Industry, Innovation and Science, Australian Energy Projections to 2049-50 (2014).</w:t>
      </w:r>
    </w:p>
    <w:p w:rsidR="000B5C96" w:rsidRPr="0092198D" w:rsidRDefault="000B5C96" w:rsidP="003F606A">
      <w:pPr>
        <w:pStyle w:val="BodyText"/>
      </w:pPr>
      <w:r w:rsidRPr="0092198D">
        <w:t>Department of Industry, Innovation and Science, 2015 Australian Energy Statistics Update (2015).</w:t>
      </w:r>
    </w:p>
    <w:p w:rsidR="000B5C96" w:rsidRPr="0092198D" w:rsidRDefault="000B5C96" w:rsidP="003F606A">
      <w:pPr>
        <w:pStyle w:val="CostingsH8"/>
        <w:rPr>
          <w:rFonts w:eastAsia="Calibri"/>
        </w:rPr>
      </w:pPr>
      <w:r w:rsidRPr="0092198D">
        <w:rPr>
          <w:rFonts w:eastAsia="Calibri"/>
        </w:rPr>
        <w:t>Component 4 - Affordable housing</w:t>
      </w:r>
    </w:p>
    <w:p w:rsidR="000B5C96" w:rsidRPr="0092198D" w:rsidRDefault="000B5C96" w:rsidP="003F606A">
      <w:pPr>
        <w:pStyle w:val="BodyText"/>
      </w:pPr>
      <w:r w:rsidRPr="0092198D">
        <w:t xml:space="preserve">Assumptions for the housing supply bond structure are based on those contained in Lawson, J. et al. (2012) </w:t>
      </w:r>
      <w:r w:rsidRPr="0092198D">
        <w:rPr>
          <w:i/>
        </w:rPr>
        <w:t>Housing Supply Bonds—a suitable instrument to channel investment towards affordable housing in Australia?</w:t>
      </w:r>
      <w:r w:rsidRPr="0092198D">
        <w:t xml:space="preserve"> AHURI Final Report No. 188. Melbourne: Australian Housing and Urban Research Institute. </w:t>
      </w:r>
    </w:p>
    <w:p w:rsidR="000B5C96" w:rsidRDefault="000B5C96" w:rsidP="003F606A">
      <w:pPr>
        <w:pStyle w:val="BodyText"/>
        <w:rPr>
          <w:i/>
        </w:rPr>
      </w:pPr>
      <w:r w:rsidRPr="0092198D">
        <w:rPr>
          <w:i/>
        </w:rPr>
        <w:t>Long-term bond rates are based on 10-year Australian Government Treasury Bond rate in Reserve Bank of Australia (2016) ‘Statistical Tables: Capital Market Yields - Government Bonds - Monthly’, March 2016.</w:t>
      </w:r>
    </w:p>
    <w:p w:rsidR="000B5C96" w:rsidRDefault="000B5C96" w:rsidP="003F606A">
      <w:pPr>
        <w:pStyle w:val="BodyText"/>
      </w:pP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Pr="0067404C" w:rsidRDefault="000B5C96" w:rsidP="000B5C96">
      <w:pPr>
        <w:pStyle w:val="Heading6"/>
        <w:numPr>
          <w:ilvl w:val="0"/>
          <w:numId w:val="5"/>
        </w:numPr>
        <w:tabs>
          <w:tab w:val="right" w:pos="1418"/>
          <w:tab w:val="right" w:pos="1701"/>
          <w:tab w:val="right" w:pos="1985"/>
        </w:tabs>
      </w:pPr>
      <w:r w:rsidRPr="0067404C">
        <w:t>Attachment A:  Infrastructure Bank: Financing the new economy—financial implications</w:t>
      </w:r>
    </w:p>
    <w:p w:rsidR="000B5C96" w:rsidRPr="0067404C" w:rsidRDefault="000B5C96" w:rsidP="003F606A">
      <w:pPr>
        <w:pStyle w:val="Caption"/>
      </w:pPr>
      <w:r w:rsidRPr="0067404C">
        <w:t>Table A1: Infrastructure Bank: Financing the new economy—Financial implications (outturn prices)</w:t>
      </w:r>
      <w:r w:rsidRPr="0067404C">
        <w:rPr>
          <w:vertAlign w:val="superscript"/>
        </w:rPr>
        <w:t>(a)(b)</w:t>
      </w:r>
    </w:p>
    <w:tbl>
      <w:tblPr>
        <w:tblStyle w:val="TableGrid87"/>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67404C" w:rsidTr="003F606A">
        <w:trPr>
          <w:cantSplit/>
          <w:tblHeader/>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67404C" w:rsidRDefault="000B5C96" w:rsidP="003F606A">
            <w:pPr>
              <w:keepNext/>
              <w:keepLines/>
              <w:spacing w:line="240" w:lineRule="auto"/>
              <w:ind w:left="57" w:right="57"/>
              <w:rPr>
                <w:szCs w:val="20"/>
              </w:rPr>
            </w:pPr>
            <w:r w:rsidRPr="0067404C">
              <w:rPr>
                <w:szCs w:val="20"/>
              </w:rPr>
              <w:t>($m)</w:t>
            </w:r>
          </w:p>
        </w:tc>
        <w:tc>
          <w:tcPr>
            <w:tcW w:w="326"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2016–17</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2017–18</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2018–19</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2019–20</w:t>
            </w:r>
          </w:p>
        </w:tc>
        <w:tc>
          <w:tcPr>
            <w:tcW w:w="327"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Total to 2019–20</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2020–21</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2021–22</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2022–23</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2023–24</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2024–25</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2025–26</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2026–27</w:t>
            </w:r>
          </w:p>
        </w:tc>
        <w:tc>
          <w:tcPr>
            <w:tcW w:w="326"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Total to 2026–27</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Fiscal balance</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2,100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-270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-1,550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-2,230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67404C">
              <w:rPr>
                <w:rFonts w:ascii="Calibri" w:hAnsi="Calibri"/>
                <w:b/>
                <w:sz w:val="20"/>
              </w:rPr>
              <w:t>-1,950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-1,070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-2,300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-3,330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-4,450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-5,610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-6,800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-7,690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67404C">
              <w:rPr>
                <w:rFonts w:ascii="Calibri" w:hAnsi="Calibri"/>
                <w:b/>
                <w:sz w:val="20"/>
              </w:rPr>
              <w:t>-33,200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Underlying cash balance</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2,120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-470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-1,660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-2,190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67404C">
              <w:rPr>
                <w:rFonts w:ascii="Calibri" w:hAnsi="Calibri"/>
                <w:b/>
                <w:sz w:val="20"/>
              </w:rPr>
              <w:t>-2,200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-1,260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-2,140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-3,180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-4,310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-5,480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-6,690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-7,630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67404C">
              <w:rPr>
                <w:rFonts w:ascii="Calibri" w:hAnsi="Calibri"/>
                <w:b/>
                <w:sz w:val="20"/>
              </w:rPr>
              <w:t>-32,890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Headline cash balance</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-730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-5,220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-8,610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-14,580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67404C">
              <w:rPr>
                <w:rFonts w:ascii="Calibri" w:hAnsi="Calibri"/>
                <w:b/>
                <w:sz w:val="20"/>
              </w:rPr>
              <w:t>-29,130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-11,960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-13,860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-14,920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-15,850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-16,830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-15,760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7404C">
              <w:rPr>
                <w:rFonts w:ascii="Calibri" w:hAnsi="Calibri"/>
                <w:sz w:val="20"/>
              </w:rPr>
              <w:t>-14,260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67404C">
              <w:rPr>
                <w:rFonts w:ascii="Calibri" w:hAnsi="Calibri"/>
                <w:b/>
                <w:sz w:val="20"/>
              </w:rPr>
              <w:t>-132,580</w:t>
            </w:r>
          </w:p>
        </w:tc>
      </w:tr>
    </w:tbl>
    <w:p w:rsidR="000B5C96" w:rsidRDefault="000B5C96" w:rsidP="00E54AEC">
      <w:pPr>
        <w:pStyle w:val="Footnotes"/>
        <w:numPr>
          <w:ilvl w:val="0"/>
          <w:numId w:val="328"/>
        </w:numPr>
        <w:ind w:left="284" w:hanging="284"/>
      </w:pPr>
      <w:r w:rsidRPr="0067404C">
        <w:t>A positive number indicates an increase in revenue or decrease in expenses or net capital investment in accrual and cash terms.  A negative number indicates a decrease in revenue or an increase in expenses or net capital investment in accrual and cash term</w:t>
      </w:r>
      <w:r>
        <w:t>s.</w:t>
      </w:r>
    </w:p>
    <w:p w:rsidR="000B5C96" w:rsidRDefault="000B5C96" w:rsidP="000B5C96">
      <w:pPr>
        <w:pStyle w:val="Footnotes"/>
        <w:numPr>
          <w:ilvl w:val="0"/>
          <w:numId w:val="7"/>
        </w:numPr>
        <w:ind w:left="284" w:hanging="284"/>
      </w:pPr>
      <w:r>
        <w:t>Figures may not sum to totals due to rounding.</w:t>
      </w:r>
    </w:p>
    <w:p w:rsidR="000B5C96" w:rsidRDefault="000B5C96" w:rsidP="003F606A">
      <w:pPr>
        <w:pStyle w:val="BodyText"/>
      </w:pPr>
    </w:p>
    <w:p w:rsidR="000B5C96" w:rsidRDefault="000B5C96" w:rsidP="003F606A">
      <w:pPr>
        <w:pStyle w:val="BodyText"/>
        <w:sectPr w:rsidR="000B5C96" w:rsidSect="003F606A">
          <w:headerReference w:type="even" r:id="rId613"/>
          <w:headerReference w:type="default" r:id="rId614"/>
          <w:footerReference w:type="even" r:id="rId615"/>
          <w:footerReference w:type="default" r:id="rId616"/>
          <w:headerReference w:type="first" r:id="rId617"/>
          <w:footerReference w:type="first" r:id="rId618"/>
          <w:pgSz w:w="16839" w:h="11907" w:orient="landscape" w:code="9"/>
          <w:pgMar w:top="1361" w:right="1797" w:bottom="1474" w:left="1797" w:header="283" w:footer="454" w:gutter="0"/>
          <w:cols w:space="708"/>
          <w:docGrid w:linePitch="360"/>
        </w:sectPr>
      </w:pPr>
    </w:p>
    <w:p w:rsidR="000B5C96" w:rsidRPr="0067404C" w:rsidRDefault="000B5C96" w:rsidP="000B5C96">
      <w:pPr>
        <w:pStyle w:val="Heading6"/>
        <w:numPr>
          <w:ilvl w:val="0"/>
          <w:numId w:val="5"/>
        </w:numPr>
        <w:tabs>
          <w:tab w:val="right" w:pos="1418"/>
          <w:tab w:val="right" w:pos="1701"/>
          <w:tab w:val="right" w:pos="1985"/>
        </w:tabs>
      </w:pPr>
      <w:r w:rsidRPr="0067404C">
        <w:t>Attachment B: Infrastructure Bank: Financing the new economy—financial implications disaggregated by component</w:t>
      </w:r>
    </w:p>
    <w:p w:rsidR="000B5C96" w:rsidRPr="0067404C" w:rsidRDefault="000B5C96" w:rsidP="003F606A">
      <w:pPr>
        <w:pStyle w:val="Caption"/>
      </w:pPr>
      <w:r w:rsidRPr="0067404C">
        <w:t>Table B1: Infrastructure Bank: Financing the new economy—Fiscal balance</w:t>
      </w:r>
      <w:r w:rsidRPr="0067404C">
        <w:rPr>
          <w:vertAlign w:val="superscript"/>
        </w:rPr>
        <w:t>(a)(b)</w:t>
      </w:r>
    </w:p>
    <w:tbl>
      <w:tblPr>
        <w:tblStyle w:val="TableGrid88"/>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67404C" w:rsidTr="003F606A">
        <w:trPr>
          <w:cantSplit/>
          <w:tblHeader/>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67404C" w:rsidRDefault="000B5C96" w:rsidP="003F606A">
            <w:pPr>
              <w:keepNext/>
              <w:keepLines/>
              <w:spacing w:line="240" w:lineRule="auto"/>
              <w:ind w:left="57" w:right="57"/>
              <w:rPr>
                <w:szCs w:val="20"/>
              </w:rPr>
            </w:pPr>
            <w:r w:rsidRPr="0067404C">
              <w:rPr>
                <w:szCs w:val="20"/>
              </w:rPr>
              <w:t>($m)</w:t>
            </w:r>
          </w:p>
        </w:tc>
        <w:tc>
          <w:tcPr>
            <w:tcW w:w="326"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2016–17</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2017–18</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2018–19</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2019–20</w:t>
            </w:r>
          </w:p>
        </w:tc>
        <w:tc>
          <w:tcPr>
            <w:tcW w:w="327"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Total to 2019–20</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2020–21</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2021–22</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2022–23</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2023–24</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2024–25</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2025–26</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2026–27</w:t>
            </w:r>
          </w:p>
        </w:tc>
        <w:tc>
          <w:tcPr>
            <w:tcW w:w="326"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Total to 2026–27</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Australian Infrastructure Bank</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-100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Redirecting polluting infrastructure</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3,170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770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530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6,230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200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-240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5,170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RenewAustralia</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-400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-700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-730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-880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-990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-990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-6,720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Affordable housing</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340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780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630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720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810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840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5,670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Infrastructure projects</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-1,880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-1,860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-1,890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-6,590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-5,400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Financing costs/PDI</w:t>
            </w:r>
            <w:r w:rsidRPr="0067404C">
              <w:rPr>
                <w:szCs w:val="20"/>
                <w:vertAlign w:val="superscript"/>
              </w:rPr>
              <w:t>(c)</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-800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-1,640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-1,360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-2,110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-3,050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-4,150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-5,370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-6,670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-7,460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-31,830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67404C" w:rsidRDefault="000B5C96" w:rsidP="003F606A">
            <w:pPr>
              <w:keepNext/>
              <w:keepLines/>
              <w:spacing w:line="240" w:lineRule="auto"/>
              <w:ind w:left="57" w:right="57"/>
              <w:rPr>
                <w:b/>
                <w:szCs w:val="20"/>
              </w:rPr>
            </w:pPr>
            <w:r w:rsidRPr="0067404C">
              <w:rPr>
                <w:b/>
                <w:szCs w:val="20"/>
              </w:rPr>
              <w:t>Total</w:t>
            </w:r>
          </w:p>
        </w:tc>
        <w:tc>
          <w:tcPr>
            <w:tcW w:w="326"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2,100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-270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-1,550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-2,230</w:t>
            </w:r>
          </w:p>
        </w:tc>
        <w:tc>
          <w:tcPr>
            <w:tcW w:w="327"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-1,950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-1,070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-2,300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-3,330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-4,450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-5,610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-6,800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-7,690</w:t>
            </w:r>
          </w:p>
        </w:tc>
        <w:tc>
          <w:tcPr>
            <w:tcW w:w="326"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-33,200</w:t>
            </w:r>
          </w:p>
        </w:tc>
      </w:tr>
    </w:tbl>
    <w:p w:rsidR="000B5C96" w:rsidRPr="0067404C" w:rsidRDefault="000B5C96" w:rsidP="00E54AEC">
      <w:pPr>
        <w:pStyle w:val="Footnotes"/>
        <w:numPr>
          <w:ilvl w:val="0"/>
          <w:numId w:val="329"/>
        </w:numPr>
        <w:ind w:left="284" w:hanging="284"/>
      </w:pPr>
      <w:r w:rsidRPr="0067404C">
        <w:t xml:space="preserve">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   </w:t>
      </w:r>
    </w:p>
    <w:p w:rsidR="000B5C96" w:rsidRPr="0067404C" w:rsidRDefault="000B5C96" w:rsidP="000B5C96">
      <w:pPr>
        <w:pStyle w:val="Footnotes"/>
        <w:numPr>
          <w:ilvl w:val="0"/>
          <w:numId w:val="7"/>
        </w:numPr>
        <w:ind w:left="284" w:hanging="284"/>
      </w:pPr>
      <w:r w:rsidRPr="0067404C">
        <w:t>Figures may not sum to totals due to rounding.</w:t>
      </w:r>
    </w:p>
    <w:p w:rsidR="000B5C96" w:rsidRPr="0067404C" w:rsidRDefault="000B5C96" w:rsidP="000B5C96">
      <w:pPr>
        <w:pStyle w:val="Footnotes"/>
        <w:numPr>
          <w:ilvl w:val="0"/>
          <w:numId w:val="7"/>
        </w:numPr>
        <w:ind w:left="284" w:hanging="284"/>
      </w:pPr>
      <w:r w:rsidRPr="00947401">
        <w:rPr>
          <w:rFonts w:eastAsia="Times New Roman"/>
          <w:lang w:eastAsia="en-AU"/>
        </w:rPr>
        <w:t>These impacts are the net of effect of all components.</w:t>
      </w:r>
    </w:p>
    <w:p w:rsidR="000B5C96" w:rsidRDefault="000B5C96" w:rsidP="000B5C96">
      <w:pPr>
        <w:pStyle w:val="Footnotes"/>
        <w:numPr>
          <w:ilvl w:val="0"/>
          <w:numId w:val="121"/>
        </w:numPr>
        <w:ind w:left="284" w:hanging="284"/>
      </w:pPr>
      <w:r w:rsidRPr="0067404C">
        <w:t>Indicates nil.</w:t>
      </w:r>
    </w:p>
    <w:p w:rsidR="000B5C96" w:rsidRPr="0067404C" w:rsidRDefault="000B5C96" w:rsidP="003F606A">
      <w:pPr>
        <w:pStyle w:val="Caption"/>
      </w:pPr>
      <w:r w:rsidRPr="0067404C">
        <w:t>Table B2: Infrastructure Bank: Financing the new economy—Underlying cash balance</w:t>
      </w:r>
      <w:r w:rsidRPr="0067404C">
        <w:rPr>
          <w:vertAlign w:val="superscript"/>
        </w:rPr>
        <w:t>(a)(b)</w:t>
      </w:r>
    </w:p>
    <w:tbl>
      <w:tblPr>
        <w:tblStyle w:val="TableGrid89"/>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67404C" w:rsidTr="003F606A">
        <w:trPr>
          <w:cantSplit/>
          <w:tblHeader/>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67404C" w:rsidRDefault="000B5C96" w:rsidP="003F606A">
            <w:pPr>
              <w:keepNext/>
              <w:keepLines/>
              <w:spacing w:line="240" w:lineRule="auto"/>
              <w:ind w:left="57" w:right="57"/>
              <w:rPr>
                <w:szCs w:val="20"/>
              </w:rPr>
            </w:pPr>
            <w:r w:rsidRPr="0067404C">
              <w:rPr>
                <w:szCs w:val="20"/>
              </w:rPr>
              <w:t>($m)</w:t>
            </w:r>
          </w:p>
        </w:tc>
        <w:tc>
          <w:tcPr>
            <w:tcW w:w="326"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2016–17</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2017–18</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2018–19</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2019–20</w:t>
            </w:r>
          </w:p>
        </w:tc>
        <w:tc>
          <w:tcPr>
            <w:tcW w:w="327"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Total to 2019–20</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2020–21</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2021–22</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2022–23</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2023–24</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2024–25</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2025–26</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2026–27</w:t>
            </w:r>
          </w:p>
        </w:tc>
        <w:tc>
          <w:tcPr>
            <w:tcW w:w="326"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Total to 2026–27</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Australian Infrastructure Bank</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-100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Redirecting polluting infrastructure</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3,030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1,300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400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300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5,030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-150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4,510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RenewAustralia</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-400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-700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-730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-880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-990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-990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-6,720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Affordable housing</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260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510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630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720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810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900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4,890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Infrastructure projects</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-830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-1,640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-1,630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-1,660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-5,760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110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-4,960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Financing costs/PDI</w:t>
            </w:r>
            <w:r w:rsidRPr="0067404C">
              <w:rPr>
                <w:szCs w:val="20"/>
                <w:vertAlign w:val="superscript"/>
              </w:rPr>
              <w:t>(c)</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-60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-150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-690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-1,230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-1,240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-1,970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-2,900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-3,980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-5,200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-6,490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-7,500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-30,520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67404C" w:rsidRDefault="000B5C96" w:rsidP="003F606A">
            <w:pPr>
              <w:keepNext/>
              <w:keepLines/>
              <w:spacing w:line="240" w:lineRule="auto"/>
              <w:ind w:left="57" w:right="57"/>
              <w:rPr>
                <w:b/>
                <w:szCs w:val="20"/>
              </w:rPr>
            </w:pPr>
            <w:r w:rsidRPr="0067404C">
              <w:rPr>
                <w:b/>
                <w:szCs w:val="20"/>
              </w:rPr>
              <w:t>Total</w:t>
            </w:r>
          </w:p>
        </w:tc>
        <w:tc>
          <w:tcPr>
            <w:tcW w:w="326"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2,120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-470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-1,660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-2,190</w:t>
            </w:r>
          </w:p>
        </w:tc>
        <w:tc>
          <w:tcPr>
            <w:tcW w:w="327"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-2,200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-1,260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-2,140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-3,180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-4,310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-5,480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-6,690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-7,630</w:t>
            </w:r>
          </w:p>
        </w:tc>
        <w:tc>
          <w:tcPr>
            <w:tcW w:w="326"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-32,890</w:t>
            </w:r>
          </w:p>
        </w:tc>
      </w:tr>
    </w:tbl>
    <w:p w:rsidR="000B5C96" w:rsidRPr="0067404C" w:rsidRDefault="000B5C96" w:rsidP="00E54AEC">
      <w:pPr>
        <w:pStyle w:val="Footnotes"/>
        <w:numPr>
          <w:ilvl w:val="0"/>
          <w:numId w:val="330"/>
        </w:numPr>
        <w:ind w:left="284" w:hanging="284"/>
      </w:pPr>
      <w:r w:rsidRPr="0067404C">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947401" w:rsidRDefault="000B5C96" w:rsidP="000B5C96">
      <w:pPr>
        <w:pStyle w:val="Footnotes"/>
        <w:numPr>
          <w:ilvl w:val="0"/>
          <w:numId w:val="7"/>
        </w:numPr>
        <w:ind w:left="284" w:hanging="284"/>
        <w:rPr>
          <w:rFonts w:eastAsia="Times New Roman"/>
          <w:lang w:eastAsia="en-AU"/>
        </w:rPr>
      </w:pPr>
      <w:r w:rsidRPr="0067404C">
        <w:t>Figures may not sum to totals due to rounding.</w:t>
      </w:r>
    </w:p>
    <w:p w:rsidR="000B5C96" w:rsidRPr="00947401" w:rsidRDefault="000B5C96" w:rsidP="000B5C96">
      <w:pPr>
        <w:pStyle w:val="Footnotes"/>
        <w:numPr>
          <w:ilvl w:val="0"/>
          <w:numId w:val="7"/>
        </w:numPr>
        <w:ind w:left="284" w:hanging="284"/>
        <w:rPr>
          <w:rFonts w:eastAsia="Times New Roman"/>
          <w:lang w:eastAsia="en-AU"/>
        </w:rPr>
      </w:pPr>
      <w:r w:rsidRPr="00947401">
        <w:rPr>
          <w:rFonts w:eastAsia="Times New Roman"/>
          <w:lang w:eastAsia="en-AU"/>
        </w:rPr>
        <w:t>These impacts are the net of effect of all components.</w:t>
      </w:r>
    </w:p>
    <w:p w:rsidR="000B5C96" w:rsidRDefault="000B5C96" w:rsidP="000B5C96">
      <w:pPr>
        <w:pStyle w:val="Footnotes"/>
        <w:numPr>
          <w:ilvl w:val="0"/>
          <w:numId w:val="121"/>
        </w:numPr>
        <w:ind w:left="284" w:hanging="284"/>
        <w:rPr>
          <w:rFonts w:eastAsia="Times New Roman"/>
          <w:lang w:eastAsia="en-AU"/>
        </w:rPr>
      </w:pPr>
      <w:r w:rsidRPr="00947401">
        <w:rPr>
          <w:rFonts w:eastAsia="Times New Roman"/>
          <w:lang w:eastAsia="en-AU"/>
        </w:rPr>
        <w:t>Indicates nil.</w:t>
      </w:r>
    </w:p>
    <w:p w:rsidR="000B5C96" w:rsidRDefault="000B5C96" w:rsidP="003F606A">
      <w:pPr>
        <w:pStyle w:val="Caption"/>
        <w:rPr>
          <w:vertAlign w:val="superscript"/>
        </w:rPr>
      </w:pPr>
      <w:r w:rsidRPr="00AE221D">
        <w:t>Table B3: Infrastructure Bank: Financing the new economy—Headline cash balance</w:t>
      </w:r>
      <w:r w:rsidRPr="00AE221D">
        <w:rPr>
          <w:vertAlign w:val="superscript"/>
        </w:rPr>
        <w:t>(a)(b)</w:t>
      </w:r>
    </w:p>
    <w:tbl>
      <w:tblPr>
        <w:tblStyle w:val="TableGrid119"/>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DE4C8A" w:rsidTr="003F606A">
        <w:trPr>
          <w:cantSplit/>
          <w:tblHeader/>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DE4C8A" w:rsidRDefault="000B5C96" w:rsidP="003F606A">
            <w:pPr>
              <w:keepNext/>
              <w:keepLines/>
              <w:spacing w:line="240" w:lineRule="auto"/>
              <w:ind w:left="57" w:right="57"/>
              <w:rPr>
                <w:szCs w:val="20"/>
              </w:rPr>
            </w:pPr>
            <w:r w:rsidRPr="00DE4C8A">
              <w:rPr>
                <w:szCs w:val="20"/>
              </w:rPr>
              <w:t>($m)</w:t>
            </w:r>
          </w:p>
        </w:tc>
        <w:tc>
          <w:tcPr>
            <w:tcW w:w="326"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E4C8A">
              <w:rPr>
                <w:rFonts w:ascii="Calibri" w:hAnsi="Calibri"/>
                <w:sz w:val="20"/>
                <w:szCs w:val="20"/>
              </w:rPr>
              <w:t>2016–17</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E4C8A">
              <w:rPr>
                <w:rFonts w:ascii="Calibri" w:hAnsi="Calibri"/>
                <w:sz w:val="20"/>
                <w:szCs w:val="20"/>
              </w:rPr>
              <w:t>2017–18</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E4C8A">
              <w:rPr>
                <w:rFonts w:ascii="Calibri" w:hAnsi="Calibri"/>
                <w:sz w:val="20"/>
                <w:szCs w:val="20"/>
              </w:rPr>
              <w:t>2018–19</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E4C8A">
              <w:rPr>
                <w:rFonts w:ascii="Calibri" w:hAnsi="Calibri"/>
                <w:sz w:val="20"/>
                <w:szCs w:val="20"/>
              </w:rPr>
              <w:t>2019–20</w:t>
            </w:r>
          </w:p>
        </w:tc>
        <w:tc>
          <w:tcPr>
            <w:tcW w:w="327"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Total to 2019–20</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E4C8A">
              <w:rPr>
                <w:rFonts w:ascii="Calibri" w:hAnsi="Calibri"/>
                <w:sz w:val="20"/>
                <w:szCs w:val="20"/>
              </w:rPr>
              <w:t>2020–21</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E4C8A">
              <w:rPr>
                <w:rFonts w:ascii="Calibri" w:hAnsi="Calibri"/>
                <w:sz w:val="20"/>
                <w:szCs w:val="20"/>
              </w:rPr>
              <w:t>2021–22</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E4C8A">
              <w:rPr>
                <w:rFonts w:ascii="Calibri" w:hAnsi="Calibri"/>
                <w:sz w:val="20"/>
                <w:szCs w:val="20"/>
              </w:rPr>
              <w:t>2022–23</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E4C8A">
              <w:rPr>
                <w:rFonts w:ascii="Calibri" w:hAnsi="Calibri"/>
                <w:sz w:val="20"/>
                <w:szCs w:val="20"/>
              </w:rPr>
              <w:t>2023–24</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E4C8A">
              <w:rPr>
                <w:rFonts w:ascii="Calibri" w:hAnsi="Calibri"/>
                <w:sz w:val="20"/>
                <w:szCs w:val="20"/>
              </w:rPr>
              <w:t>2024–25</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E4C8A">
              <w:rPr>
                <w:rFonts w:ascii="Calibri" w:hAnsi="Calibri"/>
                <w:sz w:val="20"/>
                <w:szCs w:val="20"/>
              </w:rPr>
              <w:t>2025–26</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E4C8A">
              <w:rPr>
                <w:rFonts w:ascii="Calibri" w:hAnsi="Calibri"/>
                <w:sz w:val="20"/>
                <w:szCs w:val="20"/>
              </w:rPr>
              <w:t>2026–27</w:t>
            </w:r>
          </w:p>
        </w:tc>
        <w:tc>
          <w:tcPr>
            <w:tcW w:w="326"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Total to 2026–27</w:t>
            </w:r>
          </w:p>
        </w:tc>
      </w:tr>
      <w:tr w:rsidR="000B5C96" w:rsidRPr="00DE4C8A"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DE4C8A" w:rsidRDefault="000B5C96" w:rsidP="003F606A">
            <w:pPr>
              <w:keepNext/>
              <w:keepLines/>
              <w:spacing w:line="240" w:lineRule="auto"/>
              <w:ind w:left="57" w:right="57"/>
              <w:rPr>
                <w:szCs w:val="20"/>
              </w:rPr>
            </w:pPr>
            <w:r w:rsidRPr="00DE4C8A">
              <w:rPr>
                <w:szCs w:val="20"/>
              </w:rPr>
              <w:t>Australian Infrastructure Bank</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w:t>
            </w:r>
          </w:p>
        </w:tc>
        <w:tc>
          <w:tcPr>
            <w:tcW w:w="327"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-30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-100</w:t>
            </w:r>
          </w:p>
        </w:tc>
      </w:tr>
      <w:tr w:rsidR="000B5C96" w:rsidRPr="00DE4C8A"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DE4C8A" w:rsidRDefault="000B5C96" w:rsidP="003F606A">
            <w:pPr>
              <w:keepNext/>
              <w:keepLines/>
              <w:spacing w:line="240" w:lineRule="auto"/>
              <w:ind w:left="57" w:right="57"/>
              <w:rPr>
                <w:szCs w:val="20"/>
              </w:rPr>
            </w:pPr>
            <w:r w:rsidRPr="00DE4C8A">
              <w:rPr>
                <w:szCs w:val="20"/>
              </w:rPr>
              <w:t>Redirecting polluting infrastructure</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3,670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3,000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1,870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1,250</w:t>
            </w:r>
          </w:p>
        </w:tc>
        <w:tc>
          <w:tcPr>
            <w:tcW w:w="327"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9,790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890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-120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-170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-210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-250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-290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-280</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9,360</w:t>
            </w:r>
          </w:p>
        </w:tc>
      </w:tr>
      <w:tr w:rsidR="000B5C96" w:rsidRPr="00DE4C8A"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DE4C8A" w:rsidRDefault="000B5C96" w:rsidP="003F606A">
            <w:pPr>
              <w:keepNext/>
              <w:keepLines/>
              <w:spacing w:line="240" w:lineRule="auto"/>
              <w:ind w:left="57" w:right="57"/>
              <w:rPr>
                <w:szCs w:val="20"/>
              </w:rPr>
            </w:pPr>
            <w:r w:rsidRPr="00DE4C8A">
              <w:rPr>
                <w:szCs w:val="20"/>
              </w:rPr>
              <w:t>RenewAustralia</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-630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-2,810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-4,980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-9,990</w:t>
            </w:r>
          </w:p>
        </w:tc>
        <w:tc>
          <w:tcPr>
            <w:tcW w:w="327"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-18,410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-10,140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-10,400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-10,590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-10,520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-10,340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-10,100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-9,930</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-90,440</w:t>
            </w:r>
          </w:p>
        </w:tc>
      </w:tr>
      <w:tr w:rsidR="000B5C96" w:rsidRPr="00DE4C8A"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DE4C8A" w:rsidRDefault="000B5C96" w:rsidP="003F606A">
            <w:pPr>
              <w:keepNext/>
              <w:keepLines/>
              <w:spacing w:line="240" w:lineRule="auto"/>
              <w:ind w:left="57" w:right="57"/>
              <w:rPr>
                <w:szCs w:val="20"/>
              </w:rPr>
            </w:pPr>
            <w:r w:rsidRPr="00DE4C8A">
              <w:rPr>
                <w:szCs w:val="20"/>
              </w:rPr>
              <w:t>Affordable housing</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-2,030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-1,920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-1,810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-1,700</w:t>
            </w:r>
          </w:p>
        </w:tc>
        <w:tc>
          <w:tcPr>
            <w:tcW w:w="327"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-7,450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-1,580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-1,470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-1,360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-1,250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-1,140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810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2,920</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-10,530</w:t>
            </w:r>
          </w:p>
        </w:tc>
      </w:tr>
      <w:tr w:rsidR="000B5C96" w:rsidRPr="00DE4C8A"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DE4C8A" w:rsidRDefault="000B5C96" w:rsidP="003F606A">
            <w:pPr>
              <w:keepNext/>
              <w:keepLines/>
              <w:spacing w:line="240" w:lineRule="auto"/>
              <w:ind w:left="57" w:right="57"/>
              <w:rPr>
                <w:szCs w:val="20"/>
              </w:rPr>
            </w:pPr>
            <w:r w:rsidRPr="00DE4C8A">
              <w:rPr>
                <w:szCs w:val="20"/>
              </w:rPr>
              <w:t>Infrastructure projects</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-1,670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-3,330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-3,340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-3,440</w:t>
            </w:r>
          </w:p>
        </w:tc>
        <w:tc>
          <w:tcPr>
            <w:tcW w:w="327"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-11,790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120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120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120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120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120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330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530</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-10,350</w:t>
            </w:r>
          </w:p>
        </w:tc>
      </w:tr>
      <w:tr w:rsidR="000B5C96" w:rsidRPr="00DE4C8A"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DE4C8A" w:rsidRDefault="000B5C96" w:rsidP="003F606A">
            <w:pPr>
              <w:keepNext/>
              <w:keepLines/>
              <w:spacing w:line="240" w:lineRule="auto"/>
              <w:ind w:left="57" w:right="57"/>
              <w:rPr>
                <w:szCs w:val="20"/>
              </w:rPr>
            </w:pPr>
            <w:r w:rsidRPr="00DE4C8A">
              <w:rPr>
                <w:szCs w:val="20"/>
              </w:rPr>
              <w:t>Financing costs/PDI</w:t>
            </w:r>
            <w:r w:rsidRPr="00DE4C8A">
              <w:rPr>
                <w:szCs w:val="20"/>
                <w:vertAlign w:val="superscript"/>
              </w:rPr>
              <w:t>(c)</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-60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-150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-340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-690</w:t>
            </w:r>
          </w:p>
        </w:tc>
        <w:tc>
          <w:tcPr>
            <w:tcW w:w="327"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-1,230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-1,240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-1,970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-2,900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-3,980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-5,200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-6,490</w:t>
            </w:r>
          </w:p>
        </w:tc>
        <w:tc>
          <w:tcPr>
            <w:tcW w:w="325"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E4C8A">
              <w:rPr>
                <w:rFonts w:ascii="Calibri" w:hAnsi="Calibri"/>
                <w:i/>
                <w:sz w:val="20"/>
                <w:szCs w:val="20"/>
              </w:rPr>
              <w:t>-7,500</w:t>
            </w:r>
          </w:p>
        </w:tc>
        <w:tc>
          <w:tcPr>
            <w:tcW w:w="326" w:type="pct"/>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E4C8A">
              <w:rPr>
                <w:rFonts w:ascii="Calibri" w:hAnsi="Calibri"/>
                <w:b/>
                <w:i/>
                <w:sz w:val="20"/>
                <w:szCs w:val="20"/>
              </w:rPr>
              <w:t>-30,520</w:t>
            </w:r>
          </w:p>
        </w:tc>
      </w:tr>
      <w:tr w:rsidR="000B5C96" w:rsidRPr="00DE4C8A"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DE4C8A" w:rsidRDefault="000B5C96" w:rsidP="003F606A">
            <w:pPr>
              <w:keepNext/>
              <w:keepLines/>
              <w:spacing w:line="240" w:lineRule="auto"/>
              <w:ind w:left="57" w:right="57"/>
              <w:rPr>
                <w:b/>
                <w:szCs w:val="20"/>
              </w:rPr>
            </w:pPr>
            <w:r w:rsidRPr="00DE4C8A">
              <w:rPr>
                <w:b/>
                <w:szCs w:val="20"/>
              </w:rPr>
              <w:t>Total</w:t>
            </w:r>
          </w:p>
        </w:tc>
        <w:tc>
          <w:tcPr>
            <w:tcW w:w="326"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-730</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-5,220</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-8,610</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-14,580</w:t>
            </w:r>
          </w:p>
        </w:tc>
        <w:tc>
          <w:tcPr>
            <w:tcW w:w="327"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-29,130</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-11,960</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-13,860</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-14,920</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-15,850</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-16,830</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-15,760</w:t>
            </w:r>
          </w:p>
        </w:tc>
        <w:tc>
          <w:tcPr>
            <w:tcW w:w="325"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-14,260</w:t>
            </w:r>
          </w:p>
        </w:tc>
        <w:tc>
          <w:tcPr>
            <w:tcW w:w="326" w:type="pct"/>
            <w:shd w:val="clear" w:color="auto" w:fill="D7DDE9"/>
          </w:tcPr>
          <w:p w:rsidR="000B5C96" w:rsidRPr="00DE4C8A"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E4C8A">
              <w:rPr>
                <w:rFonts w:ascii="Calibri" w:hAnsi="Calibri"/>
                <w:b/>
                <w:sz w:val="20"/>
                <w:szCs w:val="20"/>
              </w:rPr>
              <w:t>-132,580</w:t>
            </w:r>
          </w:p>
        </w:tc>
      </w:tr>
    </w:tbl>
    <w:p w:rsidR="000B5C96" w:rsidRPr="0007428A" w:rsidRDefault="000B5C96" w:rsidP="00E54AEC">
      <w:pPr>
        <w:pStyle w:val="Footnotes"/>
        <w:keepNext/>
        <w:keepLines/>
        <w:numPr>
          <w:ilvl w:val="0"/>
          <w:numId w:val="331"/>
        </w:numPr>
        <w:ind w:left="284" w:hanging="284"/>
      </w:pPr>
      <w:r w:rsidRPr="0007428A">
        <w:t>A positive number for the headline cash balance indicates an increase in cash flows.  A negative number for the headline cash balance indicates a decrease in cash flows.</w:t>
      </w:r>
    </w:p>
    <w:p w:rsidR="000B5C96" w:rsidRPr="0007428A" w:rsidRDefault="000B5C96" w:rsidP="000B5C96">
      <w:pPr>
        <w:pStyle w:val="Footnotes"/>
        <w:keepNext/>
        <w:keepLines/>
        <w:numPr>
          <w:ilvl w:val="0"/>
          <w:numId w:val="7"/>
        </w:numPr>
        <w:ind w:left="284" w:hanging="284"/>
      </w:pPr>
      <w:r w:rsidRPr="0007428A">
        <w:t>Figures may not sum to totals due to rounding.</w:t>
      </w:r>
    </w:p>
    <w:p w:rsidR="000B5C96" w:rsidRDefault="000B5C96" w:rsidP="000B5C96">
      <w:pPr>
        <w:pStyle w:val="Footnotes"/>
        <w:numPr>
          <w:ilvl w:val="0"/>
          <w:numId w:val="7"/>
        </w:numPr>
        <w:ind w:left="284" w:hanging="284"/>
        <w:sectPr w:rsidR="000B5C96" w:rsidSect="003F606A">
          <w:headerReference w:type="even" r:id="rId619"/>
          <w:headerReference w:type="default" r:id="rId620"/>
          <w:footerReference w:type="even" r:id="rId621"/>
          <w:footerReference w:type="default" r:id="rId622"/>
          <w:pgSz w:w="16839" w:h="11907" w:orient="landscape" w:code="9"/>
          <w:pgMar w:top="1361" w:right="1797" w:bottom="1474" w:left="1797" w:header="283" w:footer="454" w:gutter="0"/>
          <w:cols w:space="708"/>
          <w:docGrid w:linePitch="360"/>
        </w:sectPr>
      </w:pPr>
      <w:r w:rsidRPr="0007428A">
        <w:t>These impacts are the net of effect of all components.</w:t>
      </w:r>
    </w:p>
    <w:p w:rsidR="000B5C96" w:rsidRPr="0067404C" w:rsidRDefault="000B5C96" w:rsidP="000B5C96">
      <w:pPr>
        <w:pStyle w:val="Heading6"/>
        <w:numPr>
          <w:ilvl w:val="0"/>
          <w:numId w:val="5"/>
        </w:numPr>
        <w:tabs>
          <w:tab w:val="right" w:pos="1418"/>
          <w:tab w:val="right" w:pos="1701"/>
          <w:tab w:val="right" w:pos="1985"/>
        </w:tabs>
      </w:pPr>
      <w:r w:rsidRPr="0067404C">
        <w:t>Attachment C: Infrastructure Bank: Financing the new economy—departmental impacts</w:t>
      </w:r>
    </w:p>
    <w:p w:rsidR="000B5C96" w:rsidRPr="0067404C" w:rsidRDefault="000B5C96" w:rsidP="003F606A">
      <w:pPr>
        <w:pStyle w:val="Caption"/>
      </w:pPr>
      <w:r w:rsidRPr="0067404C">
        <w:t>Table C1: Infrastructure Bank: Financing the new economy—departmental impacts (outturn prices)</w:t>
      </w:r>
      <w:r w:rsidRPr="0067404C">
        <w:rPr>
          <w:vertAlign w:val="superscript"/>
        </w:rPr>
        <w:t xml:space="preserve">(a)(b) </w:t>
      </w:r>
    </w:p>
    <w:tbl>
      <w:tblPr>
        <w:tblStyle w:val="TableGrid90"/>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67404C" w:rsidTr="003F606A">
        <w:trPr>
          <w:cantSplit/>
          <w:tblHeader/>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67404C" w:rsidRDefault="000B5C96" w:rsidP="003F606A">
            <w:pPr>
              <w:keepNext/>
              <w:keepLines/>
              <w:spacing w:line="240" w:lineRule="auto"/>
              <w:ind w:left="57" w:right="57"/>
              <w:rPr>
                <w:szCs w:val="20"/>
              </w:rPr>
            </w:pPr>
            <w:r w:rsidRPr="0067404C">
              <w:rPr>
                <w:szCs w:val="20"/>
              </w:rPr>
              <w:t>($m)</w:t>
            </w:r>
          </w:p>
        </w:tc>
        <w:tc>
          <w:tcPr>
            <w:tcW w:w="326"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2016–17</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2017–18</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2018–19</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2019–20</w:t>
            </w:r>
          </w:p>
        </w:tc>
        <w:tc>
          <w:tcPr>
            <w:tcW w:w="327"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Total to 2019–20</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2020–21</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2021–22</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2022–23</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2023–24</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2024–25</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2025–26</w:t>
            </w:r>
          </w:p>
        </w:tc>
        <w:tc>
          <w:tcPr>
            <w:tcW w:w="325"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2026–27</w:t>
            </w:r>
          </w:p>
        </w:tc>
        <w:tc>
          <w:tcPr>
            <w:tcW w:w="326" w:type="pct"/>
            <w:shd w:val="clear" w:color="auto" w:fill="D7DDE9"/>
          </w:tcPr>
          <w:p w:rsidR="000B5C96" w:rsidRPr="0067404C"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Total to 2026–27</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Australian Infrastructure Bank</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-100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Redirecting polluting infrastructure</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30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60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RenewAustralia</w:t>
            </w:r>
            <w:r w:rsidRPr="0067404C">
              <w:rPr>
                <w:szCs w:val="20"/>
                <w:vertAlign w:val="superscript"/>
              </w:rPr>
              <w:t>(c)</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Affordable housing</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-40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-110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67404C" w:rsidRDefault="000B5C96" w:rsidP="003F606A">
            <w:pPr>
              <w:keepNext/>
              <w:keepLines/>
              <w:spacing w:line="240" w:lineRule="auto"/>
              <w:ind w:left="57" w:right="57"/>
              <w:rPr>
                <w:szCs w:val="20"/>
              </w:rPr>
            </w:pPr>
            <w:r w:rsidRPr="0067404C">
              <w:rPr>
                <w:szCs w:val="20"/>
              </w:rPr>
              <w:t>Infrastructure projects</w:t>
            </w:r>
            <w:r w:rsidRPr="0067404C">
              <w:rPr>
                <w:szCs w:val="20"/>
                <w:vertAlign w:val="superscript"/>
              </w:rPr>
              <w:t>(d)</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7"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5"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326" w:type="pct"/>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67404C">
              <w:rPr>
                <w:rFonts w:ascii="Calibri" w:hAnsi="Calibri"/>
                <w:b/>
                <w:i/>
                <w:sz w:val="20"/>
                <w:szCs w:val="20"/>
              </w:rPr>
              <w:t>-</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67404C" w:rsidRDefault="000B5C96" w:rsidP="003F606A">
            <w:pPr>
              <w:keepNext/>
              <w:keepLines/>
              <w:spacing w:line="240" w:lineRule="auto"/>
              <w:ind w:left="57" w:right="57"/>
              <w:rPr>
                <w:b/>
                <w:szCs w:val="20"/>
              </w:rPr>
            </w:pPr>
            <w:r w:rsidRPr="0067404C">
              <w:rPr>
                <w:b/>
                <w:szCs w:val="20"/>
              </w:rPr>
              <w:t>Total</w:t>
            </w:r>
          </w:p>
        </w:tc>
        <w:tc>
          <w:tcPr>
            <w:tcW w:w="326"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-10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-10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-10</w:t>
            </w:r>
          </w:p>
        </w:tc>
        <w:tc>
          <w:tcPr>
            <w:tcW w:w="327"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-40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-10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-20</w:t>
            </w:r>
          </w:p>
        </w:tc>
        <w:tc>
          <w:tcPr>
            <w:tcW w:w="325"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-20</w:t>
            </w:r>
          </w:p>
        </w:tc>
        <w:tc>
          <w:tcPr>
            <w:tcW w:w="326" w:type="pct"/>
            <w:shd w:val="clear" w:color="auto" w:fill="D7DDE9"/>
          </w:tcPr>
          <w:p w:rsidR="000B5C96" w:rsidRPr="0067404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67404C">
              <w:rPr>
                <w:rFonts w:ascii="Calibri" w:hAnsi="Calibri"/>
                <w:b/>
                <w:sz w:val="20"/>
                <w:szCs w:val="20"/>
              </w:rPr>
              <w:t>-150</w:t>
            </w:r>
          </w:p>
        </w:tc>
      </w:tr>
    </w:tbl>
    <w:p w:rsidR="000B5C96" w:rsidRDefault="000B5C96" w:rsidP="00E54AEC">
      <w:pPr>
        <w:pStyle w:val="Footnotes"/>
        <w:numPr>
          <w:ilvl w:val="0"/>
          <w:numId w:val="332"/>
        </w:numPr>
        <w:ind w:left="284" w:hanging="284"/>
      </w:pPr>
      <w:r w:rsidRPr="0067404C">
        <w:t>A positive number indicates an increase in revenue or decrease in expenses or net capital investment in accrual and cash terms.  A negative number indicates a decrease in revenue or an increase in expenses or net capital investment in accrual and cash terms.</w:t>
      </w:r>
    </w:p>
    <w:p w:rsidR="000B5C96" w:rsidRDefault="000B5C96" w:rsidP="000B5C96">
      <w:pPr>
        <w:pStyle w:val="Footnotes"/>
        <w:numPr>
          <w:ilvl w:val="0"/>
          <w:numId w:val="7"/>
        </w:numPr>
        <w:ind w:left="284" w:hanging="284"/>
      </w:pPr>
      <w:r w:rsidRPr="0067404C">
        <w:t>Figures may not sum to totals due to rounding.</w:t>
      </w:r>
    </w:p>
    <w:p w:rsidR="000B5C96" w:rsidRPr="0067404C" w:rsidRDefault="000B5C96" w:rsidP="000B5C96">
      <w:pPr>
        <w:pStyle w:val="Footnotes"/>
        <w:numPr>
          <w:ilvl w:val="0"/>
          <w:numId w:val="7"/>
        </w:numPr>
        <w:ind w:left="284" w:hanging="284"/>
      </w:pPr>
      <w:r w:rsidRPr="0067404C">
        <w:t>Departmental expenses for RenewAustralia are provided for under a separate costing.</w:t>
      </w:r>
    </w:p>
    <w:p w:rsidR="000B5C96" w:rsidRDefault="000B5C96" w:rsidP="000B5C96">
      <w:pPr>
        <w:pStyle w:val="Footnotes"/>
        <w:numPr>
          <w:ilvl w:val="0"/>
          <w:numId w:val="128"/>
        </w:numPr>
        <w:ind w:left="284" w:hanging="284"/>
      </w:pPr>
      <w:r>
        <w:t>Departmental expenses for i</w:t>
      </w:r>
      <w:r w:rsidRPr="0067404C">
        <w:t>nfrastructure projects are provided for under the Australian Infrastructure Bank.</w:t>
      </w:r>
    </w:p>
    <w:p w:rsidR="000B5C96" w:rsidRPr="0067404C" w:rsidRDefault="000B5C96" w:rsidP="000B5C96">
      <w:pPr>
        <w:pStyle w:val="Footnotes"/>
        <w:numPr>
          <w:ilvl w:val="0"/>
          <w:numId w:val="121"/>
        </w:numPr>
        <w:ind w:left="284" w:hanging="284"/>
      </w:pPr>
      <w:r>
        <w:t>Indicates nil.</w:t>
      </w:r>
    </w:p>
    <w:p w:rsidR="000B5C96" w:rsidRDefault="000B5C96" w:rsidP="003F606A">
      <w:pPr>
        <w:pStyle w:val="Footnotes"/>
        <w:numPr>
          <w:ilvl w:val="0"/>
          <w:numId w:val="0"/>
        </w:numPr>
        <w:ind w:left="284" w:hanging="284"/>
        <w:sectPr w:rsidR="000B5C96" w:rsidSect="003F606A">
          <w:pgSz w:w="16839" w:h="11907" w:orient="landscape" w:code="9"/>
          <w:pgMar w:top="1361" w:right="1797" w:bottom="1474" w:left="1797" w:header="283" w:footer="454" w:gutter="0"/>
          <w:cols w:space="708"/>
          <w:docGrid w:linePitch="360"/>
        </w:sectPr>
      </w:pPr>
      <w:r w:rsidRPr="0067404C">
        <w:rPr>
          <w:sz w:val="18"/>
        </w:rPr>
        <w:t>..</w:t>
      </w:r>
      <w:r>
        <w:rPr>
          <w:sz w:val="18"/>
        </w:rPr>
        <w:tab/>
      </w:r>
      <w:r w:rsidRPr="0067404C">
        <w:t>Indicates not zero but rounded to zero.</w:t>
      </w:r>
    </w:p>
    <w:p w:rsidR="000B5C96" w:rsidRPr="0067404C" w:rsidRDefault="000B5C96" w:rsidP="000B5C96">
      <w:pPr>
        <w:pStyle w:val="Heading6"/>
        <w:numPr>
          <w:ilvl w:val="0"/>
          <w:numId w:val="5"/>
        </w:numPr>
        <w:tabs>
          <w:tab w:val="right" w:pos="1418"/>
          <w:tab w:val="right" w:pos="1701"/>
          <w:tab w:val="right" w:pos="1985"/>
        </w:tabs>
      </w:pPr>
      <w:r w:rsidRPr="0067404C">
        <w:t>Attachment D: RenewAustralia Authority—specification</w:t>
      </w:r>
    </w:p>
    <w:p w:rsidR="000B5C96" w:rsidRPr="0067404C" w:rsidRDefault="000B5C96" w:rsidP="003F606A">
      <w:pPr>
        <w:pStyle w:val="Caption"/>
      </w:pPr>
      <w:r w:rsidRPr="0067404C">
        <w:t>Table D1: Cumulative additional generation targets under the proposal</w:t>
      </w:r>
      <w:r w:rsidRPr="0067404C">
        <w:rPr>
          <w:vertAlign w:val="superscript"/>
        </w:rPr>
        <w:t>(a)</w:t>
      </w:r>
    </w:p>
    <w:tbl>
      <w:tblPr>
        <w:tblStyle w:val="TableGrid91"/>
        <w:tblW w:w="13998" w:type="dxa"/>
        <w:tblLayout w:type="fixed"/>
        <w:tblLook w:val="0680" w:firstRow="0" w:lastRow="0" w:firstColumn="1" w:lastColumn="0" w:noHBand="1" w:noVBand="1"/>
      </w:tblPr>
      <w:tblGrid>
        <w:gridCol w:w="2098"/>
        <w:gridCol w:w="850"/>
        <w:gridCol w:w="850"/>
        <w:gridCol w:w="850"/>
        <w:gridCol w:w="850"/>
        <w:gridCol w:w="850"/>
        <w:gridCol w:w="850"/>
        <w:gridCol w:w="850"/>
        <w:gridCol w:w="850"/>
        <w:gridCol w:w="850"/>
        <w:gridCol w:w="850"/>
        <w:gridCol w:w="850"/>
        <w:gridCol w:w="850"/>
        <w:gridCol w:w="850"/>
        <w:gridCol w:w="850"/>
      </w:tblGrid>
      <w:tr w:rsidR="000B5C96" w:rsidRPr="0067404C" w:rsidTr="003F606A">
        <w:trPr>
          <w:cantSplit/>
          <w:tblHeader/>
        </w:trPr>
        <w:tc>
          <w:tcPr>
            <w:cnfStyle w:val="001000000000" w:firstRow="0" w:lastRow="0" w:firstColumn="1" w:lastColumn="0" w:oddVBand="0" w:evenVBand="0" w:oddHBand="0" w:evenHBand="0" w:firstRowFirstColumn="0" w:firstRowLastColumn="0" w:lastRowFirstColumn="0" w:lastRowLastColumn="0"/>
            <w:tcW w:w="2098" w:type="dxa"/>
            <w:shd w:val="clear" w:color="auto" w:fill="D7DDE9"/>
          </w:tcPr>
          <w:p w:rsidR="000B5C96" w:rsidRPr="0067404C" w:rsidRDefault="000B5C96" w:rsidP="003F606A">
            <w:pPr>
              <w:keepNext/>
              <w:keepLines/>
              <w:widowControl w:val="0"/>
              <w:spacing w:line="240" w:lineRule="auto"/>
              <w:ind w:left="57" w:right="57"/>
              <w:rPr>
                <w:szCs w:val="20"/>
              </w:rPr>
            </w:pPr>
            <w:r w:rsidRPr="0067404C">
              <w:rPr>
                <w:szCs w:val="20"/>
              </w:rPr>
              <w:t>($m)</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2016–17</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2017–18</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2018–19</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2019–20</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2020–21</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2021–22</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2022–23</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2023–24</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2024–25</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2025–26</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2026–27</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2027–28</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2028–29</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2029–30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shd w:val="clear" w:color="auto" w:fill="D7DDE9"/>
          </w:tcPr>
          <w:p w:rsidR="000B5C96" w:rsidRPr="0067404C" w:rsidRDefault="000B5C96" w:rsidP="003F606A">
            <w:pPr>
              <w:keepNext/>
              <w:keepLines/>
              <w:widowControl w:val="0"/>
              <w:spacing w:line="240" w:lineRule="auto"/>
              <w:ind w:left="57" w:right="57"/>
            </w:pPr>
            <w:r w:rsidRPr="0067404C">
              <w:t>RET</w:t>
            </w:r>
            <w:r w:rsidRPr="0067404C">
              <w:rPr>
                <w:vertAlign w:val="superscript"/>
              </w:rPr>
              <w:t>(b)</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tcPr>
          <w:p w:rsidR="000B5C96" w:rsidRPr="0067404C" w:rsidRDefault="000B5C96" w:rsidP="003F606A">
            <w:pPr>
              <w:keepNext/>
              <w:keepLines/>
              <w:widowControl w:val="0"/>
              <w:spacing w:line="240" w:lineRule="auto"/>
              <w:ind w:left="57" w:right="57"/>
            </w:pPr>
            <w:r w:rsidRPr="0067404C">
              <w:t>Wind</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4.1</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17.7</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40.8</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73.5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106.2</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139.0</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171.9</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204.8</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237.7</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270.7</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303.7</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336.8</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369.9</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403.0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tcPr>
          <w:p w:rsidR="000B5C96" w:rsidRPr="0067404C" w:rsidRDefault="000B5C96" w:rsidP="003F606A">
            <w:pPr>
              <w:keepNext/>
              <w:keepLines/>
              <w:widowControl w:val="0"/>
              <w:spacing w:line="240" w:lineRule="auto"/>
              <w:ind w:left="57" w:right="57"/>
            </w:pPr>
            <w:r w:rsidRPr="0067404C">
              <w:t>Solar photovoltaic</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0.5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2.1</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4.9</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8.7</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12.4</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16.1</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19.8</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23.4</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27.0</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30.5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33.9</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37.4</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40.8</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44.1</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shd w:val="clear" w:color="auto" w:fill="E9ECF3"/>
          </w:tcPr>
          <w:p w:rsidR="000B5C96" w:rsidRPr="0067404C" w:rsidRDefault="000B5C96" w:rsidP="003F606A">
            <w:pPr>
              <w:keepNext/>
              <w:keepLines/>
              <w:widowControl w:val="0"/>
              <w:spacing w:line="240" w:lineRule="auto"/>
              <w:ind w:left="57" w:right="57"/>
            </w:pPr>
            <w:r w:rsidRPr="0067404C">
              <w:t>RET total</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4.6</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19.8</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45.6</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82.1</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118.6</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155.1</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191.6</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228.1</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264.6</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301.1</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337.6</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374.1</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410.6</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447.1</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shd w:val="clear" w:color="auto" w:fill="D7DDE9"/>
          </w:tcPr>
          <w:p w:rsidR="000B5C96" w:rsidRPr="0067404C" w:rsidRDefault="000B5C96" w:rsidP="003F606A">
            <w:pPr>
              <w:keepNext/>
              <w:keepLines/>
              <w:widowControl w:val="0"/>
              <w:spacing w:line="240" w:lineRule="auto"/>
              <w:ind w:left="57" w:right="57"/>
            </w:pPr>
            <w:r w:rsidRPr="0067404C">
              <w:t>Auction</w:t>
            </w:r>
            <w:r w:rsidRPr="0067404C">
              <w:rPr>
                <w:vertAlign w:val="superscript"/>
              </w:rPr>
              <w:t>(c)</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tcPr>
          <w:p w:rsidR="000B5C96" w:rsidRPr="0067404C" w:rsidRDefault="000B5C96" w:rsidP="003F606A">
            <w:pPr>
              <w:keepNext/>
              <w:keepLines/>
              <w:widowControl w:val="0"/>
              <w:spacing w:line="240" w:lineRule="auto"/>
              <w:ind w:left="57" w:right="57"/>
            </w:pPr>
            <w:r w:rsidRPr="0067404C">
              <w:t>Solar photovoltaic</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6.1</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9.9</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13.7</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20.6</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27.4</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34.3</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41.1</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48.0</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49.5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49.5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49.5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49.5</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tcPr>
          <w:p w:rsidR="000B5C96" w:rsidRPr="0067404C" w:rsidRDefault="000B5C96" w:rsidP="003F606A">
            <w:pPr>
              <w:keepNext/>
              <w:keepLines/>
              <w:widowControl w:val="0"/>
              <w:spacing w:line="240" w:lineRule="auto"/>
              <w:ind w:left="57" w:right="57"/>
            </w:pPr>
            <w:r w:rsidRPr="0067404C">
              <w:t>Solar thermal</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1.1</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4.6</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7.6</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10.7</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15.2</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19.8</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24.4</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28.9</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33.5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42.1</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51.8</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61.5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71.2</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tcPr>
          <w:p w:rsidR="000B5C96" w:rsidRPr="0067404C" w:rsidRDefault="000B5C96" w:rsidP="003F606A">
            <w:pPr>
              <w:keepNext/>
              <w:keepLines/>
              <w:widowControl w:val="0"/>
              <w:spacing w:line="240" w:lineRule="auto"/>
              <w:ind w:left="57" w:right="57"/>
            </w:pPr>
            <w:r w:rsidRPr="0067404C">
              <w:t>Solar thermal with storage</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0.8</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2.3</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4.6</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6.9</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9.1</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11.4</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13.7</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17.3</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21.3</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25.3</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29.3</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shd w:val="clear" w:color="auto" w:fill="E9ECF3"/>
          </w:tcPr>
          <w:p w:rsidR="000B5C96" w:rsidRPr="0067404C" w:rsidRDefault="000B5C96" w:rsidP="003F606A">
            <w:pPr>
              <w:keepNext/>
              <w:keepLines/>
              <w:widowControl w:val="0"/>
              <w:spacing w:line="240" w:lineRule="auto"/>
              <w:ind w:left="57" w:right="57"/>
            </w:pPr>
            <w:r w:rsidRPr="0067404C">
              <w:t>Auction total</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2.9</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11.4</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19.0</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26.6</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40.4</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54.1</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67.8</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81.5</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95.2</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108.9</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122.6</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136.3</w:t>
            </w:r>
          </w:p>
        </w:tc>
        <w:tc>
          <w:tcPr>
            <w:tcW w:w="850" w:type="dxa"/>
            <w:shd w:val="clear" w:color="auto" w:fill="E9ECF3"/>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150.0</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shd w:val="clear" w:color="auto" w:fill="D7DDE9"/>
          </w:tcPr>
          <w:p w:rsidR="000B5C96" w:rsidRPr="0067404C" w:rsidRDefault="000B5C96" w:rsidP="003F606A">
            <w:pPr>
              <w:keepNext/>
              <w:keepLines/>
              <w:widowControl w:val="0"/>
              <w:spacing w:line="240" w:lineRule="auto"/>
              <w:ind w:left="57" w:right="57"/>
            </w:pPr>
            <w:r w:rsidRPr="0067404C">
              <w:t>RAC</w:t>
            </w:r>
            <w:r w:rsidRPr="0067404C">
              <w:rPr>
                <w:vertAlign w:val="superscript"/>
              </w:rPr>
              <w:t>(d)</w:t>
            </w: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850" w:type="dxa"/>
            <w:shd w:val="clear" w:color="auto" w:fill="D7DDE9"/>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tcPr>
          <w:p w:rsidR="000B5C96" w:rsidRPr="0067404C" w:rsidRDefault="000B5C96" w:rsidP="003F606A">
            <w:pPr>
              <w:keepNext/>
              <w:keepLines/>
              <w:widowControl w:val="0"/>
              <w:spacing w:line="240" w:lineRule="auto"/>
              <w:ind w:left="57" w:right="57"/>
            </w:pPr>
            <w:r w:rsidRPr="0067404C">
              <w:t>Solar thermal</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0.4</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1.6</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3.8</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7.7</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11.2</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14.5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20.5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23.5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26.5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29.5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32.5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35.5</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tcPr>
          <w:p w:rsidR="000B5C96" w:rsidRPr="0067404C" w:rsidRDefault="000B5C96" w:rsidP="003F606A">
            <w:pPr>
              <w:keepNext/>
              <w:keepLines/>
              <w:widowControl w:val="0"/>
              <w:spacing w:line="240" w:lineRule="auto"/>
              <w:ind w:left="57" w:right="57"/>
            </w:pPr>
            <w:r w:rsidRPr="0067404C">
              <w:t>Solar thermal with storage</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0.4</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1.3</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3.4</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5.8</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8.5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11.5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14.5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17.5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20.5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23.5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26.5</w:t>
            </w:r>
          </w:p>
        </w:tc>
        <w:tc>
          <w:tcPr>
            <w:tcW w:w="850" w:type="dxa"/>
          </w:tcPr>
          <w:p w:rsidR="000B5C96" w:rsidRPr="0067404C" w:rsidRDefault="000B5C96" w:rsidP="003F606A">
            <w:pPr>
              <w:keepNext/>
              <w:keepLines/>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67404C">
              <w:rPr>
                <w:rFonts w:ascii="Calibri" w:hAnsi="Calibri"/>
                <w:i/>
                <w:sz w:val="20"/>
                <w:szCs w:val="20"/>
              </w:rPr>
              <w:t>29.5</w:t>
            </w:r>
          </w:p>
        </w:tc>
      </w:tr>
      <w:tr w:rsidR="000B5C96" w:rsidRPr="0067404C" w:rsidTr="003F606A">
        <w:trPr>
          <w:cantSplit/>
        </w:trPr>
        <w:tc>
          <w:tcPr>
            <w:cnfStyle w:val="001000000000" w:firstRow="0" w:lastRow="0" w:firstColumn="1" w:lastColumn="0" w:oddVBand="0" w:evenVBand="0" w:oddHBand="0" w:evenHBand="0" w:firstRowFirstColumn="0" w:firstRowLastColumn="0" w:lastRowFirstColumn="0" w:lastRowLastColumn="0"/>
            <w:tcW w:w="2098" w:type="dxa"/>
            <w:shd w:val="clear" w:color="auto" w:fill="E9ECF3"/>
          </w:tcPr>
          <w:p w:rsidR="000B5C96" w:rsidRPr="0067404C" w:rsidRDefault="000B5C96" w:rsidP="003F606A">
            <w:pPr>
              <w:widowControl w:val="0"/>
              <w:spacing w:line="240" w:lineRule="auto"/>
              <w:ind w:left="57" w:right="57"/>
            </w:pPr>
            <w:r w:rsidRPr="0067404C">
              <w:t>RAC total</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0.4</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2.0</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5.0</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11.0</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17.0</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23.0</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29.0</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35.0</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41.0</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47.0</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53.0</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59.0</w:t>
            </w:r>
          </w:p>
        </w:tc>
        <w:tc>
          <w:tcPr>
            <w:tcW w:w="850" w:type="dxa"/>
            <w:shd w:val="clear" w:color="auto" w:fill="E9ECF3"/>
          </w:tcPr>
          <w:p w:rsidR="000B5C96" w:rsidRPr="0067404C" w:rsidRDefault="000B5C96" w:rsidP="003F606A">
            <w:pPr>
              <w:widowControl w:val="0"/>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67404C">
              <w:rPr>
                <w:rFonts w:ascii="Calibri" w:hAnsi="Calibri"/>
                <w:sz w:val="20"/>
                <w:szCs w:val="20"/>
              </w:rPr>
              <w:t>65.0</w:t>
            </w:r>
          </w:p>
        </w:tc>
      </w:tr>
    </w:tbl>
    <w:p w:rsidR="000B5C96" w:rsidRDefault="000B5C96" w:rsidP="00E54AEC">
      <w:pPr>
        <w:pStyle w:val="Footnotes"/>
        <w:keepNext/>
        <w:keepLines/>
        <w:numPr>
          <w:ilvl w:val="0"/>
          <w:numId w:val="333"/>
        </w:numPr>
        <w:ind w:left="284" w:hanging="284"/>
      </w:pPr>
      <w:r w:rsidRPr="0067404C">
        <w:t>Figures may not sum to totals due to rounding.</w:t>
      </w:r>
    </w:p>
    <w:p w:rsidR="000B5C96" w:rsidRDefault="000B5C96" w:rsidP="000B5C96">
      <w:pPr>
        <w:pStyle w:val="Footnotes"/>
        <w:keepNext/>
        <w:keepLines/>
        <w:numPr>
          <w:ilvl w:val="0"/>
          <w:numId w:val="7"/>
        </w:numPr>
        <w:ind w:left="284" w:hanging="284"/>
      </w:pPr>
      <w:r w:rsidRPr="0067404C">
        <w:t>Aggregate RET target was imposed in line with the proposal received.  The PBO has distributed this between wind and solar photovoltaic generation based on existing levels of generation.</w:t>
      </w:r>
    </w:p>
    <w:p w:rsidR="000B5C96" w:rsidRDefault="000B5C96" w:rsidP="000B5C96">
      <w:pPr>
        <w:pStyle w:val="Footnotes"/>
        <w:keepNext/>
        <w:keepLines/>
        <w:numPr>
          <w:ilvl w:val="0"/>
          <w:numId w:val="7"/>
        </w:numPr>
        <w:ind w:left="284" w:hanging="284"/>
      </w:pPr>
      <w:r w:rsidRPr="0067404C">
        <w:t>The auction target in 2029-30 and shares of new generation by technology type were imposed in line with the proposal received.  The PBO has delayed the commencement of new generation capacity to 2017-18 to reflect lags in construction.</w:t>
      </w:r>
    </w:p>
    <w:p w:rsidR="000B5C96" w:rsidRPr="0067404C" w:rsidRDefault="000B5C96" w:rsidP="000B5C96">
      <w:pPr>
        <w:pStyle w:val="Footnotes"/>
        <w:keepNext/>
        <w:keepLines/>
        <w:numPr>
          <w:ilvl w:val="0"/>
          <w:numId w:val="7"/>
        </w:numPr>
        <w:ind w:left="284" w:hanging="284"/>
      </w:pPr>
      <w:r w:rsidRPr="0067404C">
        <w:t>Aggregate targets, targets in key years, and shares of annual new generation by technology type were imposed in line with the proposal received.   The PBO has delayed the commencement of new generation capacity to 2017-18 to reflect lags in construction.</w:t>
      </w:r>
    </w:p>
    <w:p w:rsidR="000B5C96" w:rsidRDefault="000B5C96" w:rsidP="000B5C96">
      <w:pPr>
        <w:pStyle w:val="Footnotes"/>
        <w:keepNext/>
        <w:keepLines/>
        <w:numPr>
          <w:ilvl w:val="0"/>
          <w:numId w:val="121"/>
        </w:numPr>
        <w:ind w:left="284" w:hanging="284"/>
      </w:pPr>
      <w:r w:rsidRPr="0067404C">
        <w:t>Indicates nil.</w:t>
      </w:r>
    </w:p>
    <w:p w:rsidR="000B5C96" w:rsidRPr="0067404C" w:rsidRDefault="000B5C96" w:rsidP="003F606A">
      <w:pPr>
        <w:pStyle w:val="BodyText"/>
        <w:keepNext/>
        <w:keepLines/>
        <w:sectPr w:rsidR="000B5C96" w:rsidRPr="0067404C" w:rsidSect="003F606A">
          <w:pgSz w:w="16839" w:h="11907" w:orient="landscape" w:code="9"/>
          <w:pgMar w:top="1258" w:right="1361" w:bottom="1797" w:left="1474" w:header="283" w:footer="454" w:gutter="0"/>
          <w:cols w:space="708"/>
          <w:docGrid w:linePitch="360"/>
        </w:sectPr>
      </w:pPr>
    </w:p>
    <w:p w:rsidR="000B5C96" w:rsidRDefault="000B5C96" w:rsidP="003F606A">
      <w:pPr>
        <w:pStyle w:val="Heading5"/>
      </w:pPr>
      <w:bookmarkStart w:id="229" w:name="_Toc458001994"/>
      <w:bookmarkStart w:id="230" w:name="_Toc458069479"/>
      <w:r>
        <w:t>GRN090: Putting a price back on pollution</w:t>
      </w:r>
      <w:bookmarkEnd w:id="229"/>
      <w:bookmarkEnd w:id="230"/>
    </w:p>
    <w:p w:rsidR="000B5C96" w:rsidRDefault="000B5C96" w:rsidP="003F606A">
      <w:pPr>
        <w:pStyle w:val="BodyText"/>
      </w:pPr>
      <w:r>
        <w:rPr>
          <w:noProof/>
          <w:lang w:eastAsia="en-AU"/>
        </w:rPr>
        <w:drawing>
          <wp:inline distT="0" distB="0" distL="0" distR="0" wp14:anchorId="01349E8F" wp14:editId="5AB37CC9">
            <wp:extent cx="2696845" cy="572135"/>
            <wp:effectExtent l="0" t="0" r="8255" b="0"/>
            <wp:docPr id="56" name="Picture 5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F96043" w:rsidRDefault="000B5C96" w:rsidP="000B5C96">
      <w:pPr>
        <w:pStyle w:val="Heading6"/>
        <w:numPr>
          <w:ilvl w:val="0"/>
          <w:numId w:val="5"/>
        </w:numPr>
        <w:tabs>
          <w:tab w:val="right" w:pos="1418"/>
          <w:tab w:val="right" w:pos="1701"/>
          <w:tab w:val="right" w:pos="1985"/>
        </w:tabs>
      </w:pPr>
      <w:r w:rsidRPr="00F96043">
        <w:t>Policy costing—2016 post-election report</w:t>
      </w:r>
    </w:p>
    <w:tbl>
      <w:tblPr>
        <w:tblStyle w:val="Style114"/>
        <w:tblW w:w="5000" w:type="pct"/>
        <w:tblLook w:val="04A0" w:firstRow="1" w:lastRow="0" w:firstColumn="1" w:lastColumn="0" w:noHBand="0" w:noVBand="1"/>
      </w:tblPr>
      <w:tblGrid>
        <w:gridCol w:w="3080"/>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rPr>
            </w:pPr>
            <w:r w:rsidRPr="00EA7F7A">
              <w:rPr>
                <w:b/>
              </w:rPr>
              <w:t>Name of proposal:</w:t>
            </w:r>
          </w:p>
        </w:tc>
        <w:tc>
          <w:tcPr>
            <w:tcW w:w="3194" w:type="pct"/>
          </w:tcPr>
          <w:p w:rsidR="000B5C96" w:rsidRPr="00EA7F7A" w:rsidRDefault="000B5C96" w:rsidP="003F606A">
            <w:pPr>
              <w:pStyle w:val="PullOutBoxHeading"/>
              <w:rPr>
                <w:b/>
              </w:rPr>
            </w:pPr>
            <w:r w:rsidRPr="00EA7F7A">
              <w:rPr>
                <w:b/>
              </w:rPr>
              <w:t>Putting a price back on pollution</w:t>
            </w:r>
          </w:p>
        </w:tc>
      </w:tr>
      <w:tr w:rsidR="000B5C96" w:rsidRPr="00F96043" w:rsidTr="003F606A">
        <w:tc>
          <w:tcPr>
            <w:tcW w:w="1806" w:type="pct"/>
          </w:tcPr>
          <w:p w:rsidR="000B5C96" w:rsidRPr="00F96043" w:rsidRDefault="000B5C96" w:rsidP="003F606A">
            <w:pPr>
              <w:pStyle w:val="PullOutBoxBodyText"/>
            </w:pPr>
            <w:r w:rsidRPr="00F96043">
              <w:t>Summary of proposal:</w:t>
            </w:r>
          </w:p>
        </w:tc>
        <w:tc>
          <w:tcPr>
            <w:tcW w:w="3194" w:type="pct"/>
          </w:tcPr>
          <w:p w:rsidR="000B5C96" w:rsidRPr="00F96043" w:rsidRDefault="000B5C96" w:rsidP="003F606A">
            <w:pPr>
              <w:pStyle w:val="PullOutBoxBodyText"/>
            </w:pPr>
            <w:r w:rsidRPr="00F96043">
              <w:t>This proposal has two components:</w:t>
            </w:r>
          </w:p>
          <w:p w:rsidR="000B5C96" w:rsidRPr="00F96043" w:rsidRDefault="000B5C96" w:rsidP="003F606A">
            <w:pPr>
              <w:pStyle w:val="PullOutBoxBodyText"/>
              <w:rPr>
                <w:u w:val="single"/>
              </w:rPr>
            </w:pPr>
            <w:r w:rsidRPr="00F96043">
              <w:rPr>
                <w:u w:val="single"/>
              </w:rPr>
              <w:t>Component 1 - Reinstating the carbon pricing mechanism</w:t>
            </w:r>
          </w:p>
          <w:p w:rsidR="000B5C96" w:rsidRPr="00F96043" w:rsidRDefault="000B5C96" w:rsidP="003F606A">
            <w:pPr>
              <w:pStyle w:val="PullOutBoxBodyText"/>
            </w:pPr>
            <w:r w:rsidRPr="00F96043">
              <w:t>This component would reintroduce a carbon price from 1 July 2017 with the same specifications that would have applied under the former carbon pricing mechanism had it not been repealed, except for the following adjustments:</w:t>
            </w:r>
          </w:p>
          <w:p w:rsidR="000B5C96" w:rsidRPr="00F96043" w:rsidRDefault="000B5C96" w:rsidP="000B5C96">
            <w:pPr>
              <w:pStyle w:val="PullOutBoxBullet"/>
              <w:numPr>
                <w:ilvl w:val="0"/>
                <w:numId w:val="2"/>
              </w:numPr>
              <w:ind w:left="397"/>
              <w:rPr>
                <w:lang w:eastAsia="en-AU"/>
              </w:rPr>
            </w:pPr>
            <w:r w:rsidRPr="00F96043">
              <w:rPr>
                <w:lang w:eastAsia="en-AU"/>
              </w:rPr>
              <w:t>The price would be fixed and would start at $25.40 per tonne and be indexed each year by the consumer price index (CPI).</w:t>
            </w:r>
          </w:p>
          <w:p w:rsidR="000B5C96" w:rsidRPr="00F96043" w:rsidRDefault="000B5C96" w:rsidP="000B5C96">
            <w:pPr>
              <w:pStyle w:val="PullOutBoxBullet"/>
              <w:numPr>
                <w:ilvl w:val="0"/>
                <w:numId w:val="2"/>
              </w:numPr>
              <w:ind w:left="397"/>
              <w:rPr>
                <w:lang w:eastAsia="en-AU"/>
              </w:rPr>
            </w:pPr>
            <w:r w:rsidRPr="00F96043">
              <w:rPr>
                <w:lang w:eastAsia="en-AU"/>
              </w:rPr>
              <w:t>Emissions-intensive trade-exposed industries would receive 66 per cent of their emissions permits free in the first year, with this percentage declining by 3 percentage points each year.</w:t>
            </w:r>
          </w:p>
          <w:p w:rsidR="000B5C96" w:rsidRPr="00F96043" w:rsidRDefault="000B5C96" w:rsidP="000B5C96">
            <w:pPr>
              <w:pStyle w:val="PullOutBoxBullet"/>
              <w:numPr>
                <w:ilvl w:val="0"/>
                <w:numId w:val="2"/>
              </w:numPr>
              <w:ind w:left="397"/>
              <w:rPr>
                <w:lang w:eastAsia="en-AU"/>
              </w:rPr>
            </w:pPr>
            <w:r w:rsidRPr="00F96043">
              <w:rPr>
                <w:lang w:eastAsia="en-AU"/>
              </w:rPr>
              <w:t>There would be no financial compensation or free permits for the coal generation sector.</w:t>
            </w:r>
          </w:p>
          <w:p w:rsidR="000B5C96" w:rsidRPr="00F96043" w:rsidRDefault="000B5C96" w:rsidP="000B5C96">
            <w:pPr>
              <w:pStyle w:val="PullOutBoxBullet"/>
              <w:numPr>
                <w:ilvl w:val="0"/>
                <w:numId w:val="2"/>
              </w:numPr>
              <w:ind w:left="397"/>
              <w:rPr>
                <w:lang w:eastAsia="en-AU"/>
              </w:rPr>
            </w:pPr>
            <w:r w:rsidRPr="00F96043">
              <w:rPr>
                <w:lang w:eastAsia="en-AU"/>
              </w:rPr>
              <w:t>There would be no free permits for fugitive emissions from mining.</w:t>
            </w:r>
          </w:p>
          <w:p w:rsidR="000B5C96" w:rsidRPr="00F96043" w:rsidRDefault="000B5C96" w:rsidP="000B5C96">
            <w:pPr>
              <w:pStyle w:val="PullOutBoxBullet"/>
              <w:numPr>
                <w:ilvl w:val="0"/>
                <w:numId w:val="2"/>
              </w:numPr>
              <w:ind w:left="397"/>
              <w:rPr>
                <w:lang w:eastAsia="en-AU"/>
              </w:rPr>
            </w:pPr>
            <w:r w:rsidRPr="00F96043">
              <w:rPr>
                <w:lang w:eastAsia="en-AU"/>
              </w:rPr>
              <w:t>International linkage with the European Union or foreign credits would not be permitted, with all permits required to be sourced from domestic abatement, until the Climate Change Authority advises the Government that there is a rigorous market for Australia to sell permits into.</w:t>
            </w:r>
          </w:p>
          <w:p w:rsidR="000B5C96" w:rsidRPr="000979F1" w:rsidRDefault="000B5C96" w:rsidP="003F606A">
            <w:pPr>
              <w:pStyle w:val="PullOutBoxBodyText"/>
              <w:rPr>
                <w:u w:val="single"/>
              </w:rPr>
            </w:pPr>
            <w:r w:rsidRPr="000979F1">
              <w:rPr>
                <w:u w:val="single"/>
              </w:rPr>
              <w:t>Component 2 - Household carbon price compensation</w:t>
            </w:r>
          </w:p>
          <w:p w:rsidR="000B5C96" w:rsidRPr="00F96043" w:rsidRDefault="000B5C96" w:rsidP="003F606A">
            <w:pPr>
              <w:pStyle w:val="PullOutBoxBodyText"/>
            </w:pPr>
            <w:r w:rsidRPr="00F96043">
              <w:t xml:space="preserve">This component would reinstate payments that formed the Clean Energy Household Assistance Package at the level that they would have reached had indexation been ongoing since 20 September 2014, plus an additional 30 per cent, and resume indexation from this point. </w:t>
            </w:r>
          </w:p>
        </w:tc>
      </w:tr>
      <w:tr w:rsidR="000B5C96" w:rsidRPr="00F96043" w:rsidTr="003F606A">
        <w:tc>
          <w:tcPr>
            <w:tcW w:w="1806" w:type="pct"/>
          </w:tcPr>
          <w:p w:rsidR="000B5C96" w:rsidRPr="00F96043" w:rsidRDefault="000B5C96" w:rsidP="003F606A">
            <w:pPr>
              <w:pStyle w:val="PullOutBoxBodyText"/>
              <w:keepNext/>
              <w:keepLines/>
            </w:pPr>
          </w:p>
        </w:tc>
        <w:tc>
          <w:tcPr>
            <w:tcW w:w="3194" w:type="pct"/>
          </w:tcPr>
          <w:p w:rsidR="000B5C96" w:rsidRPr="00F96043" w:rsidRDefault="000B5C96" w:rsidP="003F606A">
            <w:pPr>
              <w:pStyle w:val="PullOutBoxBodyText"/>
              <w:keepNext/>
              <w:keepLines/>
              <w:rPr>
                <w:lang w:eastAsia="en-AU"/>
              </w:rPr>
            </w:pPr>
            <w:r w:rsidRPr="00F96043">
              <w:rPr>
                <w:lang w:eastAsia="en-AU"/>
              </w:rPr>
              <w:t>This would involve the following:</w:t>
            </w:r>
          </w:p>
          <w:p w:rsidR="000B5C96" w:rsidRPr="00F96043" w:rsidRDefault="000B5C96" w:rsidP="000B5C96">
            <w:pPr>
              <w:pStyle w:val="PullOutBoxBullet"/>
              <w:keepNext/>
              <w:keepLines/>
              <w:numPr>
                <w:ilvl w:val="0"/>
                <w:numId w:val="2"/>
              </w:numPr>
              <w:ind w:left="397"/>
              <w:rPr>
                <w:lang w:eastAsia="en-AU"/>
              </w:rPr>
            </w:pPr>
            <w:r w:rsidRPr="00F96043">
              <w:rPr>
                <w:lang w:eastAsia="en-AU"/>
              </w:rPr>
              <w:t>Providing a payment equivalent to the first Clean Energy Advance on 1 July 2017, at an amount equal to the indexed original amount.</w:t>
            </w:r>
          </w:p>
          <w:p w:rsidR="000B5C96" w:rsidRPr="00F96043" w:rsidRDefault="000B5C96" w:rsidP="000B5C96">
            <w:pPr>
              <w:pStyle w:val="PullOutBoxBullet"/>
              <w:keepNext/>
              <w:keepLines/>
              <w:numPr>
                <w:ilvl w:val="0"/>
                <w:numId w:val="2"/>
              </w:numPr>
              <w:ind w:left="397"/>
              <w:rPr>
                <w:lang w:eastAsia="en-AU"/>
              </w:rPr>
            </w:pPr>
            <w:r w:rsidRPr="00F96043">
              <w:rPr>
                <w:lang w:eastAsia="en-AU"/>
              </w:rPr>
              <w:t>Re-indexing the Clean Energy Supplement to the CPI.</w:t>
            </w:r>
          </w:p>
          <w:p w:rsidR="000B5C96" w:rsidRPr="00F96043" w:rsidRDefault="000B5C96" w:rsidP="000B5C96">
            <w:pPr>
              <w:pStyle w:val="PullOutBoxBullet"/>
              <w:keepNext/>
              <w:keepLines/>
              <w:numPr>
                <w:ilvl w:val="0"/>
                <w:numId w:val="2"/>
              </w:numPr>
              <w:ind w:left="397"/>
              <w:rPr>
                <w:lang w:eastAsia="en-AU"/>
              </w:rPr>
            </w:pPr>
            <w:r w:rsidRPr="00F96043">
              <w:rPr>
                <w:lang w:eastAsia="en-AU"/>
              </w:rPr>
              <w:t>Continuing the Low Income Supplement / Low Income Family Supplement payments from 1 July 2017.</w:t>
            </w:r>
          </w:p>
          <w:p w:rsidR="000B5C96" w:rsidRPr="00F96043" w:rsidRDefault="000B5C96" w:rsidP="000B5C96">
            <w:pPr>
              <w:pStyle w:val="PullOutBoxBullet"/>
              <w:keepNext/>
              <w:keepLines/>
              <w:numPr>
                <w:ilvl w:val="0"/>
                <w:numId w:val="2"/>
              </w:numPr>
              <w:ind w:left="397"/>
              <w:rPr>
                <w:lang w:eastAsia="en-AU"/>
              </w:rPr>
            </w:pPr>
            <w:r w:rsidRPr="00F96043">
              <w:rPr>
                <w:lang w:eastAsia="en-AU"/>
              </w:rPr>
              <w:t xml:space="preserve">Maintaining the Essential Medical Equipment Payment. </w:t>
            </w:r>
          </w:p>
          <w:p w:rsidR="000B5C96" w:rsidRPr="00F96043" w:rsidRDefault="000B5C96" w:rsidP="003F606A">
            <w:pPr>
              <w:pStyle w:val="PullOutBoxBodyText"/>
              <w:keepNext/>
              <w:keepLines/>
            </w:pPr>
            <w:r w:rsidRPr="00F96043">
              <w:rPr>
                <w:lang w:eastAsia="en-AU"/>
              </w:rPr>
              <w:t>Maintaining the Single Income Family Supplement.</w:t>
            </w:r>
          </w:p>
        </w:tc>
      </w:tr>
      <w:tr w:rsidR="000B5C96" w:rsidRPr="00F96043" w:rsidTr="003F606A">
        <w:tc>
          <w:tcPr>
            <w:tcW w:w="1806" w:type="pct"/>
          </w:tcPr>
          <w:p w:rsidR="000B5C96" w:rsidRPr="00F96043" w:rsidRDefault="000B5C96" w:rsidP="003F606A">
            <w:pPr>
              <w:pStyle w:val="PullOutBoxBodyText"/>
            </w:pPr>
            <w:r w:rsidRPr="00F96043">
              <w:t>Party:</w:t>
            </w:r>
          </w:p>
        </w:tc>
        <w:tc>
          <w:tcPr>
            <w:tcW w:w="3194" w:type="pct"/>
          </w:tcPr>
          <w:p w:rsidR="000B5C96" w:rsidRPr="00F96043" w:rsidRDefault="000B5C96" w:rsidP="003F606A">
            <w:pPr>
              <w:pStyle w:val="PullOutBoxBodyText"/>
              <w:rPr>
                <w:rFonts w:eastAsia="Calibri" w:cs="Times New Roman"/>
              </w:rPr>
            </w:pPr>
            <w:r w:rsidRPr="00F96043">
              <w:rPr>
                <w:rFonts w:eastAsia="Calibri" w:cs="Times New Roman"/>
              </w:rPr>
              <w:t>Australian Greens</w:t>
            </w:r>
          </w:p>
        </w:tc>
      </w:tr>
      <w:tr w:rsidR="000B5C96" w:rsidRPr="00F96043" w:rsidTr="003F606A">
        <w:tc>
          <w:tcPr>
            <w:tcW w:w="1806" w:type="pct"/>
          </w:tcPr>
          <w:p w:rsidR="000B5C96" w:rsidRPr="00F96043" w:rsidRDefault="000B5C96" w:rsidP="003F606A">
            <w:pPr>
              <w:pStyle w:val="PullOutBoxBodyText"/>
            </w:pPr>
            <w:r w:rsidRPr="00F96043">
              <w:t>Expiry date for the costing:</w:t>
            </w:r>
          </w:p>
        </w:tc>
        <w:tc>
          <w:tcPr>
            <w:tcW w:w="3194" w:type="pct"/>
          </w:tcPr>
          <w:p w:rsidR="000B5C96" w:rsidRPr="00F96043" w:rsidRDefault="000B5C96" w:rsidP="003F606A">
            <w:pPr>
              <w:pStyle w:val="PullOutBoxBodyText"/>
              <w:rPr>
                <w:rFonts w:eastAsia="Calibri" w:cs="Times New Roman"/>
              </w:rPr>
            </w:pPr>
            <w:r w:rsidRPr="00F96043">
              <w:rPr>
                <w:rFonts w:eastAsia="Calibri" w:cs="Times New Roman"/>
              </w:rPr>
              <w:t>Release of the next economic and fiscal update</w:t>
            </w:r>
          </w:p>
        </w:tc>
      </w:tr>
    </w:tbl>
    <w:p w:rsidR="000B5C96" w:rsidRPr="0011373C" w:rsidRDefault="000B5C96" w:rsidP="003F606A">
      <w:pPr>
        <w:pStyle w:val="CostingsH7"/>
      </w:pPr>
      <w:r w:rsidRPr="0011373C">
        <w:t>Costing overview</w:t>
      </w:r>
    </w:p>
    <w:p w:rsidR="000B5C96" w:rsidRDefault="000B5C96" w:rsidP="003F606A">
      <w:pPr>
        <w:pStyle w:val="BodyText"/>
      </w:pPr>
      <w:r>
        <w:t xml:space="preserve">This proposal would be expected to increase the fiscal balance </w:t>
      </w:r>
      <w:r w:rsidRPr="00314C07">
        <w:t>by $1</w:t>
      </w:r>
      <w:r>
        <w:t>7,434 million and increase the underlying cash balance by $15,414 million over the 2016-17 Budget forward estimates period.  On a fiscal balance basis, this impact reflects an increase in revenue of $27,640 million and an increase in expenses of $10,206 million over this period.</w:t>
      </w:r>
    </w:p>
    <w:p w:rsidR="000B5C96" w:rsidRDefault="000B5C96" w:rsidP="003F606A">
      <w:pPr>
        <w:pStyle w:val="BodyText"/>
      </w:pPr>
      <w:r>
        <w:t>The proposal would be expected to have an ongoing impact that extends beyond the 2016</w:t>
      </w:r>
      <w:r>
        <w:noBreakHyphen/>
        <w:t>17 Budget forward estimates period.</w:t>
      </w:r>
      <w:r w:rsidRPr="00405A97">
        <w:t xml:space="preserve"> </w:t>
      </w:r>
    </w:p>
    <w:p w:rsidR="000B5C96" w:rsidRPr="008F080F" w:rsidRDefault="000B5C96" w:rsidP="003F606A">
      <w:pPr>
        <w:pStyle w:val="BodyText"/>
      </w:pPr>
      <w:r>
        <w:t xml:space="preserve">Detailed financial implications are provided at </w:t>
      </w:r>
      <w:r w:rsidRPr="00405A97">
        <w:rPr>
          <w:u w:val="single"/>
        </w:rPr>
        <w:t>Attachment A</w:t>
      </w:r>
      <w:r>
        <w:t xml:space="preserve">. </w:t>
      </w:r>
    </w:p>
    <w:p w:rsidR="000B5C96" w:rsidRDefault="000B5C96" w:rsidP="003F606A">
      <w:pPr>
        <w:pStyle w:val="BodyText"/>
      </w:pPr>
      <w:r>
        <w:t>The impact on the underlying cash balance differs from the impact on the fiscal balance for a number of reasons, including:</w:t>
      </w:r>
    </w:p>
    <w:p w:rsidR="000B5C96" w:rsidRPr="00FF681D" w:rsidRDefault="000B5C96" w:rsidP="000B5C96">
      <w:pPr>
        <w:pStyle w:val="ListBullet"/>
        <w:numPr>
          <w:ilvl w:val="0"/>
          <w:numId w:val="123"/>
        </w:numPr>
        <w:ind w:left="454" w:hanging="454"/>
      </w:pPr>
      <w:r>
        <w:t xml:space="preserve">Revenues from permit sales are recognised on a fiscal balance basis in the vintage year of </w:t>
      </w:r>
      <w:r w:rsidRPr="00FF681D">
        <w:t>permits sold (the year in which emissions occur), while the cash receipts are recognised when the cash payments for permits are made.  The majority of permits would be purchased within the vintage year with the remainder being purchased in the following year.</w:t>
      </w:r>
    </w:p>
    <w:p w:rsidR="000B5C96" w:rsidRPr="00FF681D" w:rsidRDefault="000B5C96" w:rsidP="000B5C96">
      <w:pPr>
        <w:pStyle w:val="ListBullet"/>
        <w:numPr>
          <w:ilvl w:val="0"/>
          <w:numId w:val="123"/>
        </w:numPr>
        <w:ind w:left="454" w:hanging="454"/>
      </w:pPr>
      <w:r w:rsidRPr="00FF681D">
        <w:t>Free carbon permits are recognised as permit revenue (in the same manner as permits sold) and as an offsetting expense on a fiscal balance basis, but not on an underlying cash balance basis.  Free carbon permits impact the underlying cash balance indirectly by reducing the number of permits that are sold.</w:t>
      </w:r>
    </w:p>
    <w:p w:rsidR="000B5C96" w:rsidRPr="00FF681D" w:rsidRDefault="000B5C96" w:rsidP="000B5C96">
      <w:pPr>
        <w:pStyle w:val="ListBullet"/>
        <w:numPr>
          <w:ilvl w:val="0"/>
          <w:numId w:val="123"/>
        </w:numPr>
        <w:ind w:left="454" w:hanging="454"/>
      </w:pPr>
      <w:r w:rsidRPr="00FF681D">
        <w:t>The buy-back of free permits has an impact on the underlying cash balance (reflecting the buy</w:t>
      </w:r>
      <w:r>
        <w:t>-</w:t>
      </w:r>
      <w:r w:rsidRPr="00FF681D">
        <w:t xml:space="preserve">back payments) but does not impact the fiscal balance (as the expense is recognised when the permit is issued). </w:t>
      </w:r>
    </w:p>
    <w:p w:rsidR="000B5C96" w:rsidRPr="00FF681D" w:rsidRDefault="000B5C96" w:rsidP="000B5C96">
      <w:pPr>
        <w:pStyle w:val="ListBullet"/>
        <w:keepNext/>
        <w:numPr>
          <w:ilvl w:val="0"/>
          <w:numId w:val="123"/>
        </w:numPr>
        <w:ind w:left="454" w:hanging="454"/>
      </w:pPr>
      <w:r w:rsidRPr="00FF681D">
        <w:t>There is a difference between when fuel tax credit expenses are incurred and when they are actually paid.</w:t>
      </w:r>
    </w:p>
    <w:p w:rsidR="000B5C96" w:rsidRPr="0011373C" w:rsidRDefault="000B5C96" w:rsidP="000B5C96">
      <w:pPr>
        <w:pStyle w:val="ListBullet"/>
        <w:numPr>
          <w:ilvl w:val="0"/>
          <w:numId w:val="123"/>
        </w:numPr>
        <w:ind w:left="454" w:hanging="454"/>
        <w:rPr>
          <w:rFonts w:ascii="Calibri" w:eastAsia="Times New Roman" w:hAnsi="Calibri" w:cs="Times New Roman"/>
          <w:lang w:eastAsia="en-AU"/>
        </w:rPr>
      </w:pPr>
      <w:r w:rsidRPr="0011373C">
        <w:rPr>
          <w:rFonts w:ascii="Calibri" w:eastAsia="Times New Roman" w:hAnsi="Calibri" w:cs="Times New Roman"/>
          <w:lang w:eastAsia="en-AU"/>
        </w:rPr>
        <w:t>There is a difference between when revenue from levies on synthetic greenhouse gases (SGGs) and excise on aviation and non-transport gaseous fuels is recognised and when it is received.</w:t>
      </w:r>
    </w:p>
    <w:p w:rsidR="000B5C96" w:rsidRPr="0011373C" w:rsidRDefault="000B5C96" w:rsidP="003F606A">
      <w:pPr>
        <w:pStyle w:val="BodyText"/>
      </w:pPr>
      <w:r w:rsidRPr="0011373C">
        <w:t>Additional departmental costs associated with the administration of the carbon pricing mechanism and household compensation are estimated to be $203 million per annum, plus an additional $202 million in the first year to establish the scheme.  This is based on an estimate of the cost of administering the former carbon pricing mechanism relative to the cost of administering current emissions reduction policies.</w:t>
      </w:r>
    </w:p>
    <w:p w:rsidR="000B5C96" w:rsidRPr="0011373C" w:rsidRDefault="000B5C96" w:rsidP="003F606A">
      <w:pPr>
        <w:pStyle w:val="BodyText"/>
      </w:pPr>
      <w:r w:rsidRPr="0011373C">
        <w:t>Estimates of departmental expenditure are considered to be of low to medium reliability due to the complexity of separately identifying the costs of administering the carbon pricing mechanism from the total costs associated with administering the previous Clean Energy Future policy.  The costing does not include potential efficiencies from utilising work on the former carbon pricing mechanism.</w:t>
      </w:r>
    </w:p>
    <w:p w:rsidR="000B5C96" w:rsidRPr="0011373C" w:rsidRDefault="000B5C96" w:rsidP="003F606A">
      <w:pPr>
        <w:pStyle w:val="BodyText"/>
      </w:pPr>
      <w:r w:rsidRPr="0011373C">
        <w:t>Estimates relating to reinstating the carbon pricing mechanism are considered to be of low reliability, as the magnitude and timing of carbon emission reductions in response to the carbon price is uncertain and could significantly impact on costing estimates.</w:t>
      </w:r>
    </w:p>
    <w:p w:rsidR="000B5C96" w:rsidRPr="0011373C" w:rsidRDefault="000B5C96" w:rsidP="003F606A">
      <w:pPr>
        <w:pStyle w:val="BodyText"/>
      </w:pPr>
      <w:r w:rsidRPr="0011373C">
        <w:t>Estimates relating to the household carbon price compensation are considered to be of medium reliability.  While these estimates are based on detailed administrative data from the Department of Social Services (DSS), these estimates include assumptions that would be sensitive to changes in economic and demographic factors.</w:t>
      </w:r>
    </w:p>
    <w:p w:rsidR="000B5C96" w:rsidRPr="0011373C" w:rsidRDefault="000B5C96" w:rsidP="003F606A">
      <w:pPr>
        <w:pStyle w:val="BodyText"/>
      </w:pPr>
      <w:r w:rsidRPr="0011373C">
        <w:t>Reinstating the carbon pricing mechanism would have broader macroeconomic impacts, including on consumer prices, and consequently increase Government payments which are indexed to the CPI.  However it is difficult, and not particularly meaningful, to quantify these impacts in isolation.  Broader macroeconomic impacts of this proposal have not been included in this costing as the size, timing and direction of these impacts would depend on how the additional revenue was utilised.</w:t>
      </w:r>
    </w:p>
    <w:p w:rsidR="000B5C96" w:rsidRPr="0011373C" w:rsidRDefault="000B5C96" w:rsidP="003F606A">
      <w:pPr>
        <w:pStyle w:val="Caption"/>
      </w:pPr>
      <w:r w:rsidRPr="0011373C">
        <w:t>Table 1: Financial implications (outturn prices)</w:t>
      </w:r>
      <w:r w:rsidRPr="0011373C">
        <w:rPr>
          <w:vertAlign w:val="superscript"/>
        </w:rPr>
        <w:t>(a)(b)</w:t>
      </w:r>
    </w:p>
    <w:tbl>
      <w:tblPr>
        <w:tblStyle w:val="TableGrid92"/>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7"/>
        <w:gridCol w:w="1135"/>
        <w:gridCol w:w="1134"/>
        <w:gridCol w:w="1134"/>
        <w:gridCol w:w="1134"/>
        <w:gridCol w:w="1133"/>
      </w:tblGrid>
      <w:tr w:rsidR="000B5C96" w:rsidRPr="0011373C"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Lines/>
              <w:spacing w:line="240" w:lineRule="auto"/>
              <w:ind w:left="57" w:right="57"/>
              <w:rPr>
                <w:szCs w:val="20"/>
              </w:rPr>
            </w:pPr>
            <w:r w:rsidRPr="0011373C">
              <w:rPr>
                <w:szCs w:val="20"/>
              </w:rPr>
              <w:t>Impact on ($m)</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11373C">
              <w:rPr>
                <w:szCs w:val="20"/>
              </w:rPr>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11373C">
              <w:rPr>
                <w:szCs w:val="20"/>
              </w:rPr>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11373C">
              <w:rPr>
                <w:szCs w:val="20"/>
              </w:rPr>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11373C">
              <w:rPr>
                <w:szCs w:val="20"/>
              </w:rPr>
              <w:t>2019–20</w:t>
            </w:r>
          </w:p>
        </w:tc>
        <w:tc>
          <w:tcPr>
            <w:tcW w:w="681"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11373C">
              <w:rPr>
                <w:b/>
                <w:szCs w:val="20"/>
              </w:rPr>
              <w:t>Total</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ind w:left="57" w:right="57"/>
              <w:rPr>
                <w:szCs w:val="20"/>
              </w:rPr>
            </w:pPr>
            <w:r w:rsidRPr="0011373C">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1373C">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1373C">
              <w:rPr>
                <w:rFonts w:ascii="Calibri" w:hAnsi="Calibri"/>
                <w:szCs w:val="20"/>
              </w:rPr>
              <w:t>4,725.0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1373C">
              <w:rPr>
                <w:rFonts w:ascii="Calibri" w:hAnsi="Calibri"/>
                <w:szCs w:val="20"/>
              </w:rPr>
              <w:t>6,442.0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11373C">
              <w:rPr>
                <w:rFonts w:ascii="Calibri" w:hAnsi="Calibri"/>
                <w:szCs w:val="20"/>
              </w:rPr>
              <w:t>6,267.0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11373C">
              <w:rPr>
                <w:rFonts w:ascii="Calibri" w:hAnsi="Calibri"/>
                <w:b/>
                <w:szCs w:val="20"/>
              </w:rPr>
              <w:t>17,434.0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ind w:left="57" w:right="57"/>
              <w:rPr>
                <w:szCs w:val="20"/>
              </w:rPr>
            </w:pPr>
            <w:r w:rsidRPr="0011373C">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cnfStyle w:val="000000010000" w:firstRow="0" w:lastRow="0" w:firstColumn="0" w:lastColumn="0" w:oddVBand="0" w:evenVBand="0" w:oddHBand="0" w:evenHBand="1" w:firstRowFirstColumn="0" w:firstRowLastColumn="0" w:lastRowFirstColumn="0" w:lastRowLastColumn="0"/>
              <w:rPr>
                <w:szCs w:val="20"/>
              </w:rPr>
            </w:pPr>
            <w:r w:rsidRPr="0011373C">
              <w:rPr>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cnfStyle w:val="000000010000" w:firstRow="0" w:lastRow="0" w:firstColumn="0" w:lastColumn="0" w:oddVBand="0" w:evenVBand="0" w:oddHBand="0" w:evenHBand="1" w:firstRowFirstColumn="0" w:firstRowLastColumn="0" w:lastRowFirstColumn="0" w:lastRowLastColumn="0"/>
              <w:rPr>
                <w:szCs w:val="20"/>
              </w:rPr>
            </w:pPr>
            <w:r w:rsidRPr="0011373C">
              <w:rPr>
                <w:szCs w:val="20"/>
              </w:rPr>
              <w:t>2,735.0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cnfStyle w:val="000000010000" w:firstRow="0" w:lastRow="0" w:firstColumn="0" w:lastColumn="0" w:oddVBand="0" w:evenVBand="0" w:oddHBand="0" w:evenHBand="1" w:firstRowFirstColumn="0" w:firstRowLastColumn="0" w:lastRowFirstColumn="0" w:lastRowLastColumn="0"/>
              <w:rPr>
                <w:szCs w:val="20"/>
              </w:rPr>
            </w:pPr>
            <w:r w:rsidRPr="0011373C">
              <w:rPr>
                <w:szCs w:val="20"/>
              </w:rPr>
              <w:t>6,412.0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cnfStyle w:val="000000010000" w:firstRow="0" w:lastRow="0" w:firstColumn="0" w:lastColumn="0" w:oddVBand="0" w:evenVBand="0" w:oddHBand="0" w:evenHBand="1" w:firstRowFirstColumn="0" w:firstRowLastColumn="0" w:lastRowFirstColumn="0" w:lastRowLastColumn="0"/>
              <w:rPr>
                <w:szCs w:val="20"/>
              </w:rPr>
            </w:pPr>
            <w:r w:rsidRPr="0011373C">
              <w:rPr>
                <w:szCs w:val="20"/>
              </w:rPr>
              <w:t>6,267.0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Lines/>
              <w:cnfStyle w:val="000000010000" w:firstRow="0" w:lastRow="0" w:firstColumn="0" w:lastColumn="0" w:oddVBand="0" w:evenVBand="0" w:oddHBand="0" w:evenHBand="1" w:firstRowFirstColumn="0" w:firstRowLastColumn="0" w:lastRowFirstColumn="0" w:lastRowLastColumn="0"/>
              <w:rPr>
                <w:b/>
                <w:szCs w:val="20"/>
              </w:rPr>
            </w:pPr>
            <w:r w:rsidRPr="0011373C">
              <w:rPr>
                <w:b/>
                <w:szCs w:val="20"/>
              </w:rPr>
              <w:t>15,414.0</w:t>
            </w:r>
          </w:p>
        </w:tc>
      </w:tr>
    </w:tbl>
    <w:p w:rsidR="000B5C96" w:rsidRDefault="000B5C96" w:rsidP="00E54AEC">
      <w:pPr>
        <w:pStyle w:val="Footnotes"/>
        <w:numPr>
          <w:ilvl w:val="0"/>
          <w:numId w:val="334"/>
        </w:numPr>
        <w:ind w:left="284" w:hanging="284"/>
      </w:pPr>
      <w:r w:rsidRPr="0011373C">
        <w:t>A positive number indicates an increase in the relevant budget balance, a negative number a decrease.</w:t>
      </w:r>
    </w:p>
    <w:p w:rsidR="000B5C96" w:rsidRPr="0011373C" w:rsidRDefault="000B5C96" w:rsidP="000B5C96">
      <w:pPr>
        <w:pStyle w:val="Footnotes"/>
        <w:numPr>
          <w:ilvl w:val="0"/>
          <w:numId w:val="7"/>
        </w:numPr>
        <w:ind w:left="284" w:hanging="284"/>
      </w:pPr>
      <w:r w:rsidRPr="0011373C">
        <w:t>Figures may not sum to totals due to rounding.</w:t>
      </w:r>
    </w:p>
    <w:p w:rsidR="000B5C96" w:rsidRPr="0011373C" w:rsidRDefault="000B5C96" w:rsidP="000B5C96">
      <w:pPr>
        <w:pStyle w:val="Footnotes"/>
        <w:numPr>
          <w:ilvl w:val="0"/>
          <w:numId w:val="121"/>
        </w:numPr>
        <w:ind w:left="284" w:hanging="284"/>
      </w:pPr>
      <w:r w:rsidRPr="0011373C">
        <w:t>Indicates nil.</w:t>
      </w:r>
    </w:p>
    <w:p w:rsidR="000B5C96" w:rsidRPr="00FC6579" w:rsidRDefault="000B5C96" w:rsidP="003F606A">
      <w:pPr>
        <w:pStyle w:val="CostingsH7"/>
      </w:pPr>
      <w:r w:rsidRPr="00FC6579">
        <w:t xml:space="preserve">Key </w:t>
      </w:r>
      <w:r w:rsidRPr="002E0B8C">
        <w:t>assumptions</w:t>
      </w:r>
    </w:p>
    <w:p w:rsidR="000B5C96" w:rsidRPr="00A34060" w:rsidRDefault="000B5C96" w:rsidP="003F606A">
      <w:pPr>
        <w:pStyle w:val="CostingsH8"/>
      </w:pPr>
      <w:r w:rsidRPr="00A34060">
        <w:t xml:space="preserve">Component 1 - Reinstating the carbon pricing mechanism </w:t>
      </w:r>
    </w:p>
    <w:p w:rsidR="000B5C96" w:rsidRPr="00CF1028" w:rsidRDefault="000B5C96" w:rsidP="003F606A">
      <w:pPr>
        <w:pStyle w:val="CostingsH9"/>
      </w:pPr>
      <w:r w:rsidRPr="00CF1028">
        <w:t>General assumptions</w:t>
      </w:r>
    </w:p>
    <w:p w:rsidR="000B5C96" w:rsidRDefault="000B5C96" w:rsidP="003F606A">
      <w:pPr>
        <w:pStyle w:val="BodyText"/>
      </w:pPr>
      <w:r>
        <w:t>The proposed scheme is intended to mirror the carbon pricing mechanism which came into effect on 1 July 2012 and was repealed from 1 July 2014, except for some adjustments.  The key features of the proposed scheme are that:</w:t>
      </w:r>
    </w:p>
    <w:p w:rsidR="000B5C96" w:rsidRPr="00FF681D" w:rsidRDefault="000B5C96" w:rsidP="000B5C96">
      <w:pPr>
        <w:pStyle w:val="ListBullet"/>
        <w:numPr>
          <w:ilvl w:val="0"/>
          <w:numId w:val="123"/>
        </w:numPr>
        <w:ind w:left="454" w:hanging="454"/>
      </w:pPr>
      <w:r>
        <w:t xml:space="preserve">the </w:t>
      </w:r>
      <w:r w:rsidRPr="00FF681D">
        <w:t xml:space="preserve">carbon price would operate at a fixed price that would be indexed to CPI  </w:t>
      </w:r>
    </w:p>
    <w:p w:rsidR="000B5C96" w:rsidRPr="00FF681D" w:rsidRDefault="000B5C96" w:rsidP="000B5C96">
      <w:pPr>
        <w:pStyle w:val="ListBullet"/>
        <w:numPr>
          <w:ilvl w:val="0"/>
          <w:numId w:val="123"/>
        </w:numPr>
        <w:ind w:left="454" w:hanging="454"/>
      </w:pPr>
      <w:r w:rsidRPr="00FF681D">
        <w:t>international linkage (foreign permits) would not be permitted</w:t>
      </w:r>
    </w:p>
    <w:p w:rsidR="000B5C96" w:rsidRPr="00FF681D" w:rsidRDefault="000B5C96" w:rsidP="000B5C96">
      <w:pPr>
        <w:pStyle w:val="ListBullet"/>
        <w:numPr>
          <w:ilvl w:val="0"/>
          <w:numId w:val="123"/>
        </w:numPr>
        <w:ind w:left="454" w:hanging="454"/>
      </w:pPr>
      <w:r w:rsidRPr="00FF681D">
        <w:t>coverage would be the same as the previous scheme, which covered around 60 per cent of domestic emissions, applying to entities responsible fo</w:t>
      </w:r>
      <w:r>
        <w:t xml:space="preserve">r facilities which have scope 1 </w:t>
      </w:r>
      <w:r w:rsidRPr="00FF681D">
        <w:t>emissions (direct emissions) of more than 25,000 tonnes of carbon dioxide equivalent in a given financial year</w:t>
      </w:r>
    </w:p>
    <w:p w:rsidR="000B5C96" w:rsidRDefault="000B5C96" w:rsidP="000B5C96">
      <w:pPr>
        <w:pStyle w:val="ListBullet"/>
        <w:numPr>
          <w:ilvl w:val="0"/>
          <w:numId w:val="123"/>
        </w:numPr>
        <w:ind w:left="454" w:hanging="454"/>
      </w:pPr>
      <w:r w:rsidRPr="00FF681D">
        <w:t>certain transport emissions and synthetic greenhouse gases would not be directly covered</w:t>
      </w:r>
      <w:r>
        <w:t xml:space="preserve"> by the carbon price but would be subject to an effective carbon charge, through reduced fuel tax credits and higher excise and customs duties.</w:t>
      </w:r>
    </w:p>
    <w:p w:rsidR="000B5C96" w:rsidRPr="00E54B3E" w:rsidRDefault="000B5C96" w:rsidP="003F606A">
      <w:pPr>
        <w:pStyle w:val="CostingsH9"/>
      </w:pPr>
      <w:r w:rsidRPr="00E54B3E">
        <w:t>Emissions</w:t>
      </w:r>
    </w:p>
    <w:p w:rsidR="000B5C96" w:rsidRDefault="000B5C96" w:rsidP="003F606A">
      <w:pPr>
        <w:pStyle w:val="BodyText"/>
      </w:pPr>
      <w:r>
        <w:t>A profile for carbon emissions in the costing has been assumed based on the Department of the Environment’s emissions projections 2015-16 interim update.</w:t>
      </w:r>
    </w:p>
    <w:p w:rsidR="000B5C96" w:rsidRPr="00FF681D" w:rsidRDefault="000B5C96" w:rsidP="000B5C96">
      <w:pPr>
        <w:pStyle w:val="ListBullet"/>
        <w:numPr>
          <w:ilvl w:val="0"/>
          <w:numId w:val="123"/>
        </w:numPr>
        <w:ind w:left="454" w:hanging="454"/>
      </w:pPr>
      <w:r>
        <w:t xml:space="preserve">It is </w:t>
      </w:r>
      <w:r w:rsidRPr="00FF681D">
        <w:t>assumed that, based on the experience of the former carbon pricing mechanism, emissions would decline in response to the introduction of the proposed carbon price.</w:t>
      </w:r>
    </w:p>
    <w:p w:rsidR="000B5C96" w:rsidRDefault="000B5C96" w:rsidP="000B5C96">
      <w:pPr>
        <w:pStyle w:val="ListBullet"/>
        <w:numPr>
          <w:ilvl w:val="0"/>
          <w:numId w:val="123"/>
        </w:numPr>
        <w:ind w:left="454" w:hanging="454"/>
      </w:pPr>
      <w:r w:rsidRPr="00FF681D">
        <w:t xml:space="preserve">It is assumed that the Climate Change Authority would not advise the </w:t>
      </w:r>
      <w:r>
        <w:t>G</w:t>
      </w:r>
      <w:r w:rsidRPr="00FF681D">
        <w:t>overnment that there is a rigorous market for Australia to sell permits into within the 2016-17 Budget forward</w:t>
      </w:r>
      <w:r>
        <w:t xml:space="preserve"> estimates period.</w:t>
      </w:r>
    </w:p>
    <w:p w:rsidR="000B5C96" w:rsidRPr="00A34060" w:rsidRDefault="000B5C96" w:rsidP="003F606A">
      <w:pPr>
        <w:pStyle w:val="CostingsH8"/>
      </w:pPr>
      <w:r w:rsidRPr="00A34060">
        <w:t>Component 2 - Household carbon price compensation</w:t>
      </w:r>
    </w:p>
    <w:p w:rsidR="000B5C96" w:rsidRDefault="000B5C96" w:rsidP="003F606A">
      <w:pPr>
        <w:pStyle w:val="BodyText"/>
      </w:pPr>
      <w:r w:rsidRPr="00A326F9">
        <w:t xml:space="preserve">The proposed compensation is intended to </w:t>
      </w:r>
      <w:r>
        <w:t>restore</w:t>
      </w:r>
      <w:r w:rsidRPr="00A326F9">
        <w:t xml:space="preserve"> the </w:t>
      </w:r>
      <w:r w:rsidRPr="00AA4F6C">
        <w:t>Clean Energy Household</w:t>
      </w:r>
      <w:r w:rsidRPr="00D667B4">
        <w:t xml:space="preserve"> Assistance Package</w:t>
      </w:r>
      <w:r>
        <w:t xml:space="preserve"> as originally specified in 2012, with the following adjustments:</w:t>
      </w:r>
    </w:p>
    <w:p w:rsidR="000B5C96" w:rsidRPr="00FF681D" w:rsidRDefault="000B5C96" w:rsidP="000B5C96">
      <w:pPr>
        <w:pStyle w:val="ListBullet"/>
        <w:numPr>
          <w:ilvl w:val="0"/>
          <w:numId w:val="123"/>
        </w:numPr>
        <w:ind w:left="454" w:hanging="454"/>
      </w:pPr>
      <w:r w:rsidRPr="00AB41DC">
        <w:t xml:space="preserve">A 30 </w:t>
      </w:r>
      <w:r w:rsidRPr="00FF681D">
        <w:t>per cent increase to the indexed payment amounts for all ongoing payments</w:t>
      </w:r>
      <w:r>
        <w:t>.</w:t>
      </w:r>
    </w:p>
    <w:p w:rsidR="000B5C96" w:rsidRDefault="000B5C96" w:rsidP="000B5C96">
      <w:pPr>
        <w:pStyle w:val="ListBullet"/>
        <w:numPr>
          <w:ilvl w:val="0"/>
          <w:numId w:val="123"/>
        </w:numPr>
        <w:ind w:left="454" w:hanging="454"/>
      </w:pPr>
      <w:r w:rsidRPr="00FF681D">
        <w:t>The payment of a second Clean Energy Advance (CEA) would occur on 1 July 2017 (the commencement</w:t>
      </w:r>
      <w:r>
        <w:t xml:space="preserve"> date of the reinstated carbon price).  The previous CEA was a one-off lump sum payment that was made in May 2012 prior to the commencement of the carbon pricing mechanism on 1 July 2012.</w:t>
      </w:r>
    </w:p>
    <w:p w:rsidR="000B5C96" w:rsidRPr="00FC6579" w:rsidRDefault="000B5C96" w:rsidP="003F606A">
      <w:pPr>
        <w:pStyle w:val="CostingsH7"/>
      </w:pPr>
      <w:r w:rsidRPr="00FC6579">
        <w:t>Methodology</w:t>
      </w:r>
    </w:p>
    <w:p w:rsidR="000B5C96" w:rsidRDefault="000B5C96" w:rsidP="003F606A">
      <w:pPr>
        <w:pStyle w:val="CostingsH8"/>
        <w:rPr>
          <w:highlight w:val="yellow"/>
        </w:rPr>
      </w:pPr>
      <w:r>
        <w:t xml:space="preserve">Component 1 - </w:t>
      </w:r>
      <w:r w:rsidRPr="00CF1028">
        <w:t>Reinstating the carbon pricing mechanism</w:t>
      </w:r>
      <w:r w:rsidRPr="00CF1028">
        <w:rPr>
          <w:highlight w:val="yellow"/>
        </w:rPr>
        <w:t xml:space="preserve"> </w:t>
      </w:r>
    </w:p>
    <w:p w:rsidR="000B5C96" w:rsidRDefault="000B5C96" w:rsidP="003F606A">
      <w:pPr>
        <w:pStyle w:val="BodyText"/>
        <w:keepNext/>
        <w:keepLines/>
      </w:pPr>
      <w:r>
        <w:t>The fiscal balance impact of reinstating the carbon pricing mechanism has been estimated by multiplying the expected carbon price in each financial year by the total amount of permits that would be needed for each vintage year to discharge the emissions obligation of liable entities, taking into account estimates of free permit allocations.</w:t>
      </w:r>
    </w:p>
    <w:p w:rsidR="000B5C96" w:rsidRDefault="000B5C96" w:rsidP="003F606A">
      <w:pPr>
        <w:pStyle w:val="BodyText"/>
      </w:pPr>
      <w:r>
        <w:t xml:space="preserve">Estimates of free permit allocations were based on data published by the Clean Energy Regulator relating to free carbon units issued under the Jobs and Competitiveness Program included in the </w:t>
      </w:r>
      <w:r w:rsidRPr="005921B6">
        <w:rPr>
          <w:i/>
        </w:rPr>
        <w:t>Clean Energy Act 2011</w:t>
      </w:r>
      <w:r>
        <w:t xml:space="preserve">.  Adjustments were made to reflect differences in the proposal. </w:t>
      </w:r>
    </w:p>
    <w:p w:rsidR="000B5C96" w:rsidRDefault="000B5C96" w:rsidP="003F606A">
      <w:pPr>
        <w:pStyle w:val="BodyText"/>
      </w:pPr>
      <w:r>
        <w:t>The underlying cash balance impact was estimated by adjusting the fiscal balance estimates of carbon permit revenue to reflect the timing of the payment and surrender process that was used in the former carbon pricing mechanism, and to account for the impact of free permits.</w:t>
      </w:r>
    </w:p>
    <w:p w:rsidR="000B5C96" w:rsidRDefault="000B5C96" w:rsidP="003F606A">
      <w:pPr>
        <w:pStyle w:val="BodyText"/>
      </w:pPr>
      <w:r>
        <w:t>Estimates of carbon pricing revenue and associated additional departmental expenditure have been rounded to the nearest $50 million.</w:t>
      </w:r>
    </w:p>
    <w:p w:rsidR="000B5C96" w:rsidRDefault="000B5C96" w:rsidP="003F606A">
      <w:pPr>
        <w:pStyle w:val="BodyText"/>
      </w:pPr>
      <w:r>
        <w:t xml:space="preserve">Estimates of the impact of the carbon pricing proposal on revenue from taxes on synthetic greenhouse gases and aviation fuel have been rounded to the nearest $10 million. </w:t>
      </w:r>
    </w:p>
    <w:p w:rsidR="000B5C96" w:rsidRDefault="000B5C96" w:rsidP="003F606A">
      <w:pPr>
        <w:pStyle w:val="BodyText"/>
      </w:pPr>
      <w:r>
        <w:t>Estimates of the impact of the carbon pricing proposal on fuel tax credit expenditure have also been rounded to the nearest $10 million.</w:t>
      </w:r>
    </w:p>
    <w:p w:rsidR="000B5C96" w:rsidRDefault="000B5C96" w:rsidP="003F606A">
      <w:pPr>
        <w:pStyle w:val="CostingsH8"/>
      </w:pPr>
      <w:r>
        <w:t xml:space="preserve">Component 2 - </w:t>
      </w:r>
      <w:r w:rsidRPr="00CF1028">
        <w:t>Household carbon price compensation</w:t>
      </w:r>
    </w:p>
    <w:p w:rsidR="000B5C96" w:rsidRDefault="000B5C96" w:rsidP="003F606A">
      <w:pPr>
        <w:pStyle w:val="BodyText"/>
      </w:pPr>
      <w:r>
        <w:t>The reversal of the cancellation of the Energy Supplement for new entrants from 20 September 2016 was estimated using the DSS 2016</w:t>
      </w:r>
      <w:r>
        <w:noBreakHyphen/>
        <w:t xml:space="preserve">17 Budget estimates model. </w:t>
      </w:r>
    </w:p>
    <w:p w:rsidR="000B5C96" w:rsidRDefault="000B5C96" w:rsidP="003F606A">
      <w:pPr>
        <w:pStyle w:val="BodyText"/>
      </w:pPr>
      <w:r>
        <w:t>The CEA payment expense was calculated by uprating the original CEA total costs published in the 2011-12 Mid-Year Economic and Fiscal Outlook report to 1 July 2017.</w:t>
      </w:r>
    </w:p>
    <w:p w:rsidR="000B5C96" w:rsidRDefault="000B5C96" w:rsidP="003F606A">
      <w:pPr>
        <w:pStyle w:val="BodyText"/>
      </w:pPr>
      <w:r>
        <w:t>The Clean Energy Supplement indexation administered expenses for the 2016</w:t>
      </w:r>
      <w:r>
        <w:noBreakHyphen/>
        <w:t xml:space="preserve">17 Budget forward estimates period were estimated using the Policy Evaluation Model (PoEM) from DSS, which simulates the Australian Government personal income tax and transfer payments at the family level using administrative data for payment recipients. </w:t>
      </w:r>
    </w:p>
    <w:p w:rsidR="000B5C96" w:rsidRDefault="000B5C96" w:rsidP="003F606A">
      <w:pPr>
        <w:pStyle w:val="BodyText"/>
      </w:pPr>
      <w:r>
        <w:t>The remaining elements of this component were calculated by multiplying projected payment populations by the relevant average payment increase.</w:t>
      </w:r>
    </w:p>
    <w:p w:rsidR="000B5C96" w:rsidRDefault="000B5C96" w:rsidP="003F606A">
      <w:pPr>
        <w:pStyle w:val="BodyText"/>
      </w:pPr>
      <w:r>
        <w:t>The departmental expenses for the Department of Human Services (DHS) were estimated by multiplying the number of new payment recipients by the unit price of administering each payment from the DHS Funding Model.</w:t>
      </w:r>
    </w:p>
    <w:p w:rsidR="000B5C96" w:rsidRDefault="000B5C96" w:rsidP="003F606A">
      <w:pPr>
        <w:pStyle w:val="BodyText"/>
      </w:pPr>
      <w:r>
        <w:t>The administered expense estimates were rounded to the nearest $5 million, and the departmental expense estimates were rounded to the nearest $1 million.</w:t>
      </w:r>
    </w:p>
    <w:p w:rsidR="000B5C96" w:rsidRPr="00FC6579" w:rsidRDefault="000B5C96" w:rsidP="003F606A">
      <w:pPr>
        <w:pStyle w:val="CostingsH7"/>
      </w:pPr>
      <w:r w:rsidRPr="00FC6579">
        <w:t>Data sources</w:t>
      </w:r>
    </w:p>
    <w:p w:rsidR="000B5C96" w:rsidRDefault="000B5C96" w:rsidP="000B5C96">
      <w:pPr>
        <w:pStyle w:val="ListBullet"/>
        <w:numPr>
          <w:ilvl w:val="0"/>
          <w:numId w:val="123"/>
        </w:numPr>
        <w:ind w:left="454" w:hanging="454"/>
      </w:pPr>
      <w:r>
        <w:rPr>
          <w:i/>
        </w:rPr>
        <w:t>Tracking to 2020: an interim update of Australia’s greenhouse gas emissions projections</w:t>
      </w:r>
      <w:r>
        <w:t xml:space="preserve"> </w:t>
      </w:r>
      <w:hyperlink r:id="rId623" w:history="1">
        <w:r w:rsidRPr="007268E0">
          <w:rPr>
            <w:rStyle w:val="Hyperlink"/>
          </w:rPr>
          <w:t>https://www.environment.gov.au/climate-change/publications/tracking-to-2020</w:t>
        </w:r>
      </w:hyperlink>
      <w:r w:rsidRPr="005921B6">
        <w:rPr>
          <w:rStyle w:val="Hyperlink"/>
        </w:rPr>
        <w:t>.</w:t>
      </w:r>
    </w:p>
    <w:p w:rsidR="000B5C96" w:rsidRDefault="000B5C96" w:rsidP="000B5C96">
      <w:pPr>
        <w:pStyle w:val="ListBullet"/>
        <w:numPr>
          <w:ilvl w:val="0"/>
          <w:numId w:val="123"/>
        </w:numPr>
        <w:ind w:left="454" w:hanging="454"/>
      </w:pPr>
      <w:r>
        <w:t xml:space="preserve">Details of the previous carbon pricing mechanism were obtained from the explanatory memorandum for the </w:t>
      </w:r>
      <w:r w:rsidRPr="005921B6">
        <w:rPr>
          <w:i/>
        </w:rPr>
        <w:t>Clean Energy Bill 2011</w:t>
      </w:r>
      <w:r>
        <w:t xml:space="preserve"> </w:t>
      </w:r>
      <w:hyperlink r:id="rId624" w:history="1">
        <w:r w:rsidRPr="006362C2">
          <w:rPr>
            <w:rStyle w:val="Hyperlink"/>
          </w:rPr>
          <w:t>https://www.legislation.gov.au/Details/C2011B00166/Explanatory%20Memorandum/Text</w:t>
        </w:r>
      </w:hyperlink>
      <w:r w:rsidRPr="006E6FA7">
        <w:rPr>
          <w:rStyle w:val="Hyperlink"/>
        </w:rPr>
        <w:t>.</w:t>
      </w:r>
    </w:p>
    <w:p w:rsidR="000B5C96" w:rsidRDefault="000B5C96" w:rsidP="000B5C96">
      <w:pPr>
        <w:pStyle w:val="ListBullet"/>
        <w:numPr>
          <w:ilvl w:val="0"/>
          <w:numId w:val="123"/>
        </w:numPr>
        <w:ind w:left="454" w:hanging="454"/>
      </w:pPr>
      <w:r>
        <w:t xml:space="preserve">Details of free carbon permits were obtained from the Clean Energy Regulator </w:t>
      </w:r>
      <w:hyperlink r:id="rId625" w:history="1">
        <w:r w:rsidRPr="006362C2">
          <w:rPr>
            <w:rStyle w:val="Hyperlink"/>
          </w:rPr>
          <w:t>http://www.cleanenergyregulator.gov.au/Infohub/Data-and-information/Pages/Jobs-and-competitiveness-program-issued-units.aspx</w:t>
        </w:r>
      </w:hyperlink>
      <w:r w:rsidRPr="005921B6">
        <w:rPr>
          <w:rStyle w:val="Hyperlink"/>
        </w:rPr>
        <w:t>.</w:t>
      </w:r>
    </w:p>
    <w:p w:rsidR="000B5C96" w:rsidRDefault="000B5C96" w:rsidP="000B5C96">
      <w:pPr>
        <w:pStyle w:val="ListBullet"/>
        <w:numPr>
          <w:ilvl w:val="0"/>
          <w:numId w:val="123"/>
        </w:numPr>
        <w:ind w:left="454" w:hanging="454"/>
      </w:pPr>
      <w:r>
        <w:t>2014-15 Budget Paper No. 2.</w:t>
      </w:r>
    </w:p>
    <w:p w:rsidR="000B5C96" w:rsidRDefault="000B5C96" w:rsidP="000B5C96">
      <w:pPr>
        <w:pStyle w:val="ListBullet"/>
        <w:numPr>
          <w:ilvl w:val="0"/>
          <w:numId w:val="123"/>
        </w:numPr>
        <w:ind w:left="454" w:hanging="454"/>
      </w:pPr>
      <w:r>
        <w:t>2016-17 Budget Paper No. 2.</w:t>
      </w:r>
    </w:p>
    <w:p w:rsidR="000B5C96" w:rsidRDefault="000B5C96" w:rsidP="000B5C96">
      <w:pPr>
        <w:pStyle w:val="ListBullet"/>
        <w:numPr>
          <w:ilvl w:val="0"/>
          <w:numId w:val="123"/>
        </w:numPr>
        <w:ind w:left="454" w:hanging="454"/>
      </w:pPr>
      <w:r>
        <w:t>2011-12 Mid-Year Economic and Fiscal Outlook.</w:t>
      </w:r>
    </w:p>
    <w:p w:rsidR="000B5C96" w:rsidRDefault="000B5C96" w:rsidP="000B5C96">
      <w:pPr>
        <w:pStyle w:val="ListBullet"/>
        <w:numPr>
          <w:ilvl w:val="0"/>
          <w:numId w:val="123"/>
        </w:numPr>
        <w:ind w:left="454" w:hanging="454"/>
      </w:pPr>
      <w:r>
        <w:t>Policy Evaluation Model, Department of Social Services.</w:t>
      </w:r>
    </w:p>
    <w:p w:rsidR="000B5C96" w:rsidRDefault="000B5C96" w:rsidP="000B5C96">
      <w:pPr>
        <w:pStyle w:val="ListBullet"/>
        <w:numPr>
          <w:ilvl w:val="0"/>
          <w:numId w:val="123"/>
        </w:numPr>
        <w:ind w:left="454" w:hanging="454"/>
      </w:pPr>
      <w:r>
        <w:t xml:space="preserve">Department of Social Services costing model for 2016-17 Budget measure, </w:t>
      </w:r>
      <w:r w:rsidRPr="005921B6">
        <w:rPr>
          <w:i/>
        </w:rPr>
        <w:t>National Disability Insurance Scheme Savings Fund</w:t>
      </w:r>
      <w:r>
        <w:t>.</w:t>
      </w:r>
    </w:p>
    <w:p w:rsidR="000B5C96" w:rsidRDefault="000B5C96" w:rsidP="000B5C96">
      <w:pPr>
        <w:pStyle w:val="ListBullet"/>
        <w:numPr>
          <w:ilvl w:val="0"/>
          <w:numId w:val="123"/>
        </w:numPr>
        <w:ind w:left="454" w:hanging="454"/>
      </w:pPr>
      <w:r>
        <w:t>Department of Human Services Funding Model - Unit Prices for National Policy Proposals.</w:t>
      </w:r>
    </w:p>
    <w:p w:rsidR="000B5C96" w:rsidRDefault="000B5C96" w:rsidP="000B5C96">
      <w:pPr>
        <w:pStyle w:val="ListBullet"/>
        <w:numPr>
          <w:ilvl w:val="0"/>
          <w:numId w:val="123"/>
        </w:numPr>
        <w:ind w:left="454" w:hanging="454"/>
      </w:pPr>
      <w:r>
        <w:t>Department of Finance indexation and efficiency dividend parameters.</w:t>
      </w:r>
    </w:p>
    <w:p w:rsidR="000B5C96" w:rsidRPr="00FC6579" w:rsidRDefault="000B5C96" w:rsidP="000B5C96">
      <w:pPr>
        <w:pStyle w:val="ListBullet"/>
        <w:numPr>
          <w:ilvl w:val="0"/>
          <w:numId w:val="123"/>
        </w:numPr>
        <w:ind w:left="454" w:hanging="454"/>
        <w:rPr>
          <w:highlight w:val="yellow"/>
        </w:rPr>
        <w:sectPr w:rsidR="000B5C96" w:rsidRPr="00FC6579" w:rsidSect="003F606A">
          <w:headerReference w:type="even" r:id="rId626"/>
          <w:headerReference w:type="default" r:id="rId627"/>
          <w:footerReference w:type="even" r:id="rId628"/>
          <w:footerReference w:type="default" r:id="rId629"/>
          <w:headerReference w:type="first" r:id="rId630"/>
          <w:footerReference w:type="first" r:id="rId631"/>
          <w:pgSz w:w="11906" w:h="16838"/>
          <w:pgMar w:top="1361" w:right="1797" w:bottom="1474" w:left="1797" w:header="283" w:footer="454" w:gutter="0"/>
          <w:cols w:space="708"/>
          <w:docGrid w:linePitch="360"/>
        </w:sectPr>
      </w:pPr>
    </w:p>
    <w:p w:rsidR="000B5C96" w:rsidRPr="0011373C" w:rsidRDefault="000B5C96" w:rsidP="000B5C96">
      <w:pPr>
        <w:pStyle w:val="Heading6"/>
        <w:numPr>
          <w:ilvl w:val="0"/>
          <w:numId w:val="5"/>
        </w:numPr>
        <w:tabs>
          <w:tab w:val="right" w:pos="1418"/>
          <w:tab w:val="right" w:pos="1701"/>
          <w:tab w:val="right" w:pos="1985"/>
        </w:tabs>
      </w:pPr>
      <w:r w:rsidRPr="0011373C">
        <w:t>Attachment A: Putting a price back on pollution—financial implications</w:t>
      </w:r>
    </w:p>
    <w:p w:rsidR="000B5C96" w:rsidRPr="0011373C" w:rsidRDefault="000B5C96" w:rsidP="003F606A">
      <w:pPr>
        <w:pStyle w:val="Caption"/>
        <w:rPr>
          <w:vertAlign w:val="superscript"/>
        </w:rPr>
      </w:pPr>
      <w:r w:rsidRPr="0011373C">
        <w:t>Table A1: Putting a price back on pollution—Fiscal balance</w:t>
      </w:r>
      <w:r w:rsidRPr="0011373C">
        <w:rPr>
          <w:vertAlign w:val="superscript"/>
        </w:rPr>
        <w:t>(a)(b)</w:t>
      </w:r>
    </w:p>
    <w:tbl>
      <w:tblPr>
        <w:tblStyle w:val="TableGrid93"/>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11373C"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rPr>
                <w:b/>
                <w:szCs w:val="20"/>
              </w:rPr>
            </w:pPr>
            <w:r w:rsidRPr="0011373C">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11373C">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11373C">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11373C">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11373C">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11373C">
              <w:rPr>
                <w:b/>
              </w:rPr>
              <w:t>Total to 2019–20</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ind w:left="57" w:right="57"/>
              <w:rPr>
                <w:b/>
                <w:szCs w:val="20"/>
              </w:rPr>
            </w:pPr>
            <w:r w:rsidRPr="0011373C">
              <w:rPr>
                <w:b/>
                <w:szCs w:val="20"/>
              </w:rPr>
              <w:t>Revenue</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9,310.0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9210.0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9120.0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27,640.0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Carbon permit sales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8,800.0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8,700.0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8,600.0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b/>
                <w:i/>
              </w:rPr>
            </w:pPr>
            <w:r w:rsidRPr="0011373C">
              <w:rPr>
                <w:b/>
                <w:i/>
              </w:rPr>
              <w:t>26,100.0</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Levy on SGGs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240.0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230.0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230.0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11373C">
              <w:rPr>
                <w:rFonts w:ascii="Calibri" w:hAnsi="Calibri"/>
                <w:b/>
                <w:i/>
              </w:rPr>
              <w:t>700.0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Excise on aviation and non-transport gaseous fuels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270.0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280.0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290.0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b/>
                <w:i/>
              </w:rPr>
            </w:pPr>
            <w:r w:rsidRPr="0011373C">
              <w:rPr>
                <w:b/>
                <w:i/>
              </w:rPr>
              <w:t>840.0</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ind w:left="57" w:right="57"/>
              <w:rPr>
                <w:b/>
                <w:szCs w:val="20"/>
              </w:rPr>
            </w:pPr>
            <w:r w:rsidRPr="0011373C">
              <w:rPr>
                <w:b/>
                <w:szCs w:val="20"/>
              </w:rPr>
              <w:t>Expenses</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-4,585.0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-2,768.0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-2,853.0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-10,206.0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i/>
                <w:szCs w:val="20"/>
              </w:rPr>
            </w:pPr>
            <w:r w:rsidRPr="0011373C">
              <w:rPr>
                <w:i/>
                <w:szCs w:val="20"/>
              </w:rPr>
              <w:t>Administered</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b/>
                <w:i/>
              </w:rPr>
            </w:pP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Free permits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11373C">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-2,250.0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-2,100.0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-2,000.0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11373C">
              <w:rPr>
                <w:rFonts w:ascii="Calibri" w:hAnsi="Calibri"/>
                <w:b/>
                <w:i/>
              </w:rPr>
              <w:t>-6,350.0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Buy-back of free permits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pPr>
            <w:r w:rsidRPr="0011373C">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b/>
                <w:i/>
              </w:rPr>
            </w:pPr>
            <w:r w:rsidRPr="0011373C">
              <w:rPr>
                <w:b/>
                <w:i/>
              </w:rPr>
              <w:t>-</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Fuel tax credits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11373C">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740.0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770.0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780.0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11373C">
              <w:rPr>
                <w:rFonts w:ascii="Calibri" w:hAnsi="Calibri"/>
                <w:b/>
                <w:i/>
              </w:rPr>
              <w:t>2,290.0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Household compensation</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pPr>
            <w:r w:rsidRPr="0011373C">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-2,670.0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-1,235.0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-1,430.0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b/>
                <w:i/>
              </w:rPr>
            </w:pPr>
            <w:r w:rsidRPr="0011373C">
              <w:rPr>
                <w:b/>
                <w:i/>
              </w:rPr>
              <w:t>-5,335.0</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i/>
                <w:szCs w:val="20"/>
              </w:rPr>
            </w:pPr>
            <w:r w:rsidRPr="0011373C">
              <w:rPr>
                <w:i/>
                <w:szCs w:val="20"/>
              </w:rPr>
              <w:t>Departmental</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Carbon pricing mechanism</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pPr>
            <w:r w:rsidRPr="0011373C">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-400.0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-200.0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i/>
              </w:rPr>
            </w:pPr>
            <w:r w:rsidRPr="0011373C">
              <w:rPr>
                <w:i/>
              </w:rPr>
              <w:t>-200.0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b/>
                <w:i/>
              </w:rPr>
            </w:pPr>
            <w:r w:rsidRPr="0011373C">
              <w:rPr>
                <w:b/>
                <w:i/>
              </w:rPr>
              <w:t>-800.0</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Household compensation</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11373C">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-5.0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11373C">
              <w:rPr>
                <w:rFonts w:ascii="Calibri" w:hAnsi="Calibri"/>
                <w:b/>
                <w:i/>
              </w:rPr>
              <w:t>-11.0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keepNext/>
              <w:keepLines/>
              <w:ind w:left="57" w:right="57"/>
              <w:rPr>
                <w:b/>
                <w:szCs w:val="20"/>
              </w:rPr>
            </w:pPr>
            <w:r w:rsidRPr="0011373C">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b/>
              </w:rPr>
            </w:pPr>
            <w:r w:rsidRPr="0011373C">
              <w:rPr>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b/>
              </w:rPr>
            </w:pPr>
            <w:r w:rsidRPr="0011373C">
              <w:rPr>
                <w:b/>
              </w:rPr>
              <w:t>4,725.0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b/>
              </w:rPr>
            </w:pPr>
            <w:r w:rsidRPr="0011373C">
              <w:rPr>
                <w:b/>
              </w:rPr>
              <w:t>6,442.0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b/>
              </w:rPr>
            </w:pPr>
            <w:r w:rsidRPr="0011373C">
              <w:rPr>
                <w:b/>
              </w:rPr>
              <w:t>6,267.0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cnfStyle w:val="000000010000" w:firstRow="0" w:lastRow="0" w:firstColumn="0" w:lastColumn="0" w:oddVBand="0" w:evenVBand="0" w:oddHBand="0" w:evenHBand="1" w:firstRowFirstColumn="0" w:firstRowLastColumn="0" w:lastRowFirstColumn="0" w:lastRowLastColumn="0"/>
              <w:rPr>
                <w:b/>
              </w:rPr>
            </w:pPr>
            <w:r w:rsidRPr="0011373C">
              <w:rPr>
                <w:b/>
              </w:rPr>
              <w:t>17,434.0</w:t>
            </w:r>
          </w:p>
        </w:tc>
      </w:tr>
    </w:tbl>
    <w:p w:rsidR="000B5C96" w:rsidRDefault="000B5C96" w:rsidP="00E54AEC">
      <w:pPr>
        <w:pStyle w:val="Footnotes"/>
        <w:numPr>
          <w:ilvl w:val="0"/>
          <w:numId w:val="335"/>
        </w:numPr>
        <w:ind w:left="284" w:hanging="284"/>
      </w:pPr>
      <w:r w:rsidRPr="0011373C">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11373C" w:rsidRDefault="000B5C96" w:rsidP="000B5C96">
      <w:pPr>
        <w:pStyle w:val="Footnotes"/>
        <w:numPr>
          <w:ilvl w:val="0"/>
          <w:numId w:val="7"/>
        </w:numPr>
        <w:ind w:left="284" w:hanging="284"/>
      </w:pPr>
      <w:r w:rsidRPr="0011373C">
        <w:t>Figures may not sum to totals due to rounding.</w:t>
      </w:r>
    </w:p>
    <w:p w:rsidR="000B5C96" w:rsidRPr="0011373C" w:rsidRDefault="000B5C96" w:rsidP="000B5C96">
      <w:pPr>
        <w:pStyle w:val="Footnotes"/>
        <w:numPr>
          <w:ilvl w:val="0"/>
          <w:numId w:val="121"/>
        </w:numPr>
        <w:ind w:left="284" w:hanging="284"/>
      </w:pPr>
      <w:r w:rsidRPr="0011373C">
        <w:t>Indicates nil.</w:t>
      </w:r>
    </w:p>
    <w:p w:rsidR="000B5C96" w:rsidRPr="0011373C" w:rsidRDefault="000B5C96" w:rsidP="003F606A">
      <w:pPr>
        <w:pStyle w:val="Caption"/>
        <w:rPr>
          <w:vertAlign w:val="superscript"/>
        </w:rPr>
      </w:pPr>
      <w:r w:rsidRPr="0011373C">
        <w:t>Table A2: Putting a price back on pollution—Underlying cash balance</w:t>
      </w:r>
      <w:r w:rsidRPr="0011373C">
        <w:rPr>
          <w:vertAlign w:val="superscript"/>
        </w:rPr>
        <w:t>(a)(b)</w:t>
      </w:r>
    </w:p>
    <w:tbl>
      <w:tblPr>
        <w:tblStyle w:val="TableGrid93"/>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11373C"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rPr>
                <w:b/>
                <w:szCs w:val="20"/>
              </w:rPr>
            </w:pPr>
            <w:r w:rsidRPr="0011373C">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11373C">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11373C">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11373C">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11373C">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11373C"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11373C">
              <w:rPr>
                <w:b/>
              </w:rPr>
              <w:t>Total</w:t>
            </w:r>
            <w:r w:rsidRPr="0011373C">
              <w:rPr>
                <w:b/>
                <w:szCs w:val="20"/>
              </w:rPr>
              <w:t xml:space="preserve"> to 2019–20</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ind w:left="57" w:right="57"/>
              <w:rPr>
                <w:b/>
                <w:szCs w:val="20"/>
              </w:rPr>
            </w:pPr>
            <w:r w:rsidRPr="0011373C">
              <w:rPr>
                <w:b/>
                <w:szCs w:val="20"/>
              </w:rPr>
              <w:t>Receipts</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11373C">
              <w:rPr>
                <w:rFonts w:ascii="Calibri" w:hAnsi="Calibri"/>
                <w:b/>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5,810.0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7,710.0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7,720.0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21,240.0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Carbon permit sales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5,400.0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7,200.0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7,200.0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b/>
                <w:i/>
              </w:rPr>
            </w:pPr>
            <w:r w:rsidRPr="0011373C">
              <w:rPr>
                <w:b/>
                <w:i/>
              </w:rPr>
              <w:t>19,800.0</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Levy on SGGs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180.0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230.0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230.0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11373C">
              <w:rPr>
                <w:rFonts w:ascii="Calibri" w:hAnsi="Calibri"/>
                <w:b/>
                <w:i/>
              </w:rPr>
              <w:t>640.0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Excise on aviation and non-transport gaseous fuels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230.0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280.0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290.0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b/>
                <w:i/>
              </w:rPr>
            </w:pPr>
            <w:r w:rsidRPr="0011373C">
              <w:rPr>
                <w:b/>
                <w:i/>
              </w:rPr>
              <w:t>800.0</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ind w:left="57" w:right="57"/>
              <w:rPr>
                <w:b/>
                <w:szCs w:val="20"/>
              </w:rPr>
            </w:pPr>
            <w:r w:rsidRPr="0011373C">
              <w:rPr>
                <w:b/>
                <w:szCs w:val="20"/>
              </w:rPr>
              <w:t>Outlays</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11373C">
              <w:rPr>
                <w:rFonts w:ascii="Calibri" w:hAnsi="Calibri"/>
                <w:b/>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-3,075.0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-1,298.0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-1,453.0</w:t>
            </w:r>
          </w:p>
        </w:tc>
        <w:tc>
          <w:tcPr>
            <w:tcW w:w="682" w:type="pct"/>
            <w:tcBorders>
              <w:top w:val="single" w:sz="4" w:space="0" w:color="788184"/>
              <w:left w:val="single" w:sz="4" w:space="0" w:color="788184"/>
              <w:bottom w:val="single" w:sz="4" w:space="0" w:color="788184"/>
              <w:right w:val="single" w:sz="4" w:space="0" w:color="788184"/>
            </w:tcBorders>
            <w:shd w:val="clear" w:color="auto" w:fill="E9ECF3"/>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11373C">
              <w:rPr>
                <w:rFonts w:ascii="Calibri" w:hAnsi="Calibri"/>
                <w:b/>
              </w:rPr>
              <w:t>-5,826.0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i/>
                <w:szCs w:val="20"/>
              </w:rPr>
            </w:pPr>
            <w:r w:rsidRPr="0011373C">
              <w:rPr>
                <w:i/>
                <w:szCs w:val="20"/>
              </w:rPr>
              <w:t>Administered</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b/>
                <w:i/>
              </w:rPr>
            </w:pP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Free permits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11373C">
              <w:rPr>
                <w:rFonts w:ascii="Calibri" w:hAnsi="Calibri"/>
                <w:b/>
                <w:i/>
              </w:rPr>
              <w:t>-</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Buy-back of free permits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-670.0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-630.0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-600.0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b/>
                <w:i/>
              </w:rPr>
            </w:pPr>
            <w:r w:rsidRPr="0011373C">
              <w:rPr>
                <w:b/>
                <w:i/>
              </w:rPr>
              <w:t>-1,900.0</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Fuel tax credits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670.0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770.0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780.0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11373C">
              <w:rPr>
                <w:rFonts w:ascii="Calibri" w:hAnsi="Calibri"/>
                <w:b/>
                <w:i/>
              </w:rPr>
              <w:t>2,220.0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Household compensation</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-2,670.0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-1,235.0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-1,430.0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b/>
                <w:i/>
              </w:rPr>
            </w:pPr>
            <w:r w:rsidRPr="0011373C">
              <w:rPr>
                <w:b/>
                <w:i/>
              </w:rPr>
              <w:t>-5,335.0</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i/>
                <w:szCs w:val="20"/>
              </w:rPr>
            </w:pPr>
            <w:r w:rsidRPr="0011373C">
              <w:rPr>
                <w:i/>
                <w:szCs w:val="20"/>
              </w:rPr>
              <w:t>Departmental</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Carbon pricing mechanism</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-400.0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-200.0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-200.0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b/>
                <w:i/>
              </w:rPr>
            </w:pPr>
            <w:r w:rsidRPr="0011373C">
              <w:rPr>
                <w:b/>
                <w:i/>
              </w:rPr>
              <w:t>-800.0</w:t>
            </w:r>
          </w:p>
        </w:tc>
      </w:tr>
      <w:tr w:rsidR="000B5C96" w:rsidRPr="0011373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ind w:left="57" w:right="57"/>
              <w:rPr>
                <w:szCs w:val="20"/>
              </w:rPr>
            </w:pPr>
            <w:r w:rsidRPr="0011373C">
              <w:rPr>
                <w:szCs w:val="20"/>
              </w:rPr>
              <w:t>Household compensation</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11373C">
              <w:rPr>
                <w:rFonts w:ascii="Calibri" w:hAnsi="Calibri"/>
                <w:b/>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-5.0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11373C">
              <w:rPr>
                <w:rFonts w:ascii="Calibri" w:hAnsi="Calibri"/>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1373C"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11373C">
              <w:rPr>
                <w:rFonts w:ascii="Calibri" w:hAnsi="Calibri"/>
                <w:b/>
                <w:i/>
              </w:rPr>
              <w:t>-11.0</w:t>
            </w:r>
          </w:p>
        </w:tc>
      </w:tr>
      <w:tr w:rsidR="000B5C96" w:rsidRPr="0011373C"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keepNext/>
              <w:keepLines/>
              <w:ind w:left="57" w:right="57"/>
              <w:rPr>
                <w:b/>
                <w:szCs w:val="20"/>
              </w:rPr>
            </w:pPr>
            <w:r w:rsidRPr="0011373C">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i/>
              </w:rPr>
            </w:pPr>
            <w:r w:rsidRPr="0011373C">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b/>
              </w:rPr>
            </w:pPr>
            <w:r w:rsidRPr="0011373C">
              <w:rPr>
                <w:b/>
              </w:rPr>
              <w:t>2,735.0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b/>
              </w:rPr>
            </w:pPr>
            <w:r w:rsidRPr="0011373C">
              <w:rPr>
                <w:b/>
              </w:rPr>
              <w:t>6,412.0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b/>
              </w:rPr>
            </w:pPr>
            <w:r w:rsidRPr="0011373C">
              <w:rPr>
                <w:b/>
              </w:rPr>
              <w:t>6,267.0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0B5C96" w:rsidRPr="0011373C" w:rsidRDefault="000B5C96" w:rsidP="003F606A">
            <w:pPr>
              <w:keepNext/>
              <w:keepLines/>
              <w:cnfStyle w:val="000000010000" w:firstRow="0" w:lastRow="0" w:firstColumn="0" w:lastColumn="0" w:oddVBand="0" w:evenVBand="0" w:oddHBand="0" w:evenHBand="1" w:firstRowFirstColumn="0" w:firstRowLastColumn="0" w:lastRowFirstColumn="0" w:lastRowLastColumn="0"/>
              <w:rPr>
                <w:b/>
              </w:rPr>
            </w:pPr>
            <w:r w:rsidRPr="0011373C">
              <w:rPr>
                <w:b/>
              </w:rPr>
              <w:t>15,414.0</w:t>
            </w:r>
          </w:p>
        </w:tc>
      </w:tr>
    </w:tbl>
    <w:p w:rsidR="000B5C96" w:rsidRPr="0011373C" w:rsidRDefault="000B5C96" w:rsidP="00E54AEC">
      <w:pPr>
        <w:pStyle w:val="Footnotes"/>
        <w:numPr>
          <w:ilvl w:val="0"/>
          <w:numId w:val="336"/>
        </w:numPr>
        <w:ind w:left="284" w:hanging="284"/>
      </w:pPr>
      <w:r w:rsidRPr="0011373C">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11373C" w:rsidRDefault="000B5C96" w:rsidP="000B5C96">
      <w:pPr>
        <w:pStyle w:val="Footnotes"/>
        <w:numPr>
          <w:ilvl w:val="0"/>
          <w:numId w:val="7"/>
        </w:numPr>
        <w:ind w:left="284" w:hanging="284"/>
      </w:pPr>
      <w:r w:rsidRPr="0011373C">
        <w:t>Figures may not sum to totals due to rounding.</w:t>
      </w:r>
    </w:p>
    <w:p w:rsidR="00E54AEC" w:rsidRDefault="000B5C96" w:rsidP="000B5C96">
      <w:pPr>
        <w:pStyle w:val="Footnotes"/>
        <w:numPr>
          <w:ilvl w:val="0"/>
          <w:numId w:val="121"/>
        </w:numPr>
        <w:ind w:left="284" w:hanging="284"/>
        <w:sectPr w:rsidR="00E54AEC" w:rsidSect="003F606A">
          <w:footnotePr>
            <w:numRestart w:val="eachSect"/>
          </w:footnotePr>
          <w:pgSz w:w="11907" w:h="16839" w:code="9"/>
          <w:pgMar w:top="1361" w:right="1797" w:bottom="1474" w:left="1797" w:header="283" w:footer="454" w:gutter="0"/>
          <w:cols w:space="708"/>
          <w:docGrid w:linePitch="360"/>
        </w:sectPr>
      </w:pPr>
      <w:r w:rsidRPr="0011373C">
        <w:t>Indicates nil.</w:t>
      </w:r>
    </w:p>
    <w:p w:rsidR="000B5C96" w:rsidRDefault="000B5C96" w:rsidP="003F606A">
      <w:pPr>
        <w:pStyle w:val="Heading5"/>
      </w:pPr>
      <w:bookmarkStart w:id="231" w:name="_Toc458001995"/>
      <w:bookmarkStart w:id="232" w:name="_Toc458069480"/>
      <w:r>
        <w:t>GRN091: End Emissions Reduction Fund &amp; Wind Farm Commissioner</w:t>
      </w:r>
      <w:bookmarkEnd w:id="231"/>
      <w:bookmarkEnd w:id="232"/>
    </w:p>
    <w:p w:rsidR="000B5C96" w:rsidRDefault="000B5C96" w:rsidP="003F606A">
      <w:pPr>
        <w:pStyle w:val="BodyText"/>
      </w:pPr>
      <w:r>
        <w:rPr>
          <w:noProof/>
          <w:lang w:eastAsia="en-AU"/>
        </w:rPr>
        <w:drawing>
          <wp:inline distT="0" distB="0" distL="0" distR="0" wp14:anchorId="736D4F38" wp14:editId="4384FAEC">
            <wp:extent cx="2696845" cy="572135"/>
            <wp:effectExtent l="0" t="0" r="8255" b="0"/>
            <wp:docPr id="57" name="Picture 5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C21ED" w:rsidRDefault="000B5C96" w:rsidP="000B5C96">
      <w:pPr>
        <w:pStyle w:val="Heading6"/>
        <w:numPr>
          <w:ilvl w:val="0"/>
          <w:numId w:val="5"/>
        </w:numPr>
        <w:tabs>
          <w:tab w:val="right" w:pos="1418"/>
          <w:tab w:val="right" w:pos="1701"/>
          <w:tab w:val="right" w:pos="1985"/>
        </w:tabs>
      </w:pPr>
      <w:r w:rsidRPr="00002D5D">
        <w:t>Policy costing—</w:t>
      </w:r>
      <w:r>
        <w:t>2016 post-election report</w:t>
      </w:r>
    </w:p>
    <w:tbl>
      <w:tblPr>
        <w:tblStyle w:val="Style1"/>
        <w:tblW w:w="5000" w:type="pct"/>
        <w:tblLook w:val="04A0" w:firstRow="1" w:lastRow="0" w:firstColumn="1" w:lastColumn="0" w:noHBand="0" w:noVBand="1"/>
      </w:tblPr>
      <w:tblGrid>
        <w:gridCol w:w="3081"/>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BodyText"/>
            </w:pPr>
            <w:r w:rsidRPr="00EA7F7A">
              <w:t>Name of proposal:</w:t>
            </w:r>
          </w:p>
        </w:tc>
        <w:tc>
          <w:tcPr>
            <w:tcW w:w="3194" w:type="pct"/>
          </w:tcPr>
          <w:p w:rsidR="000B5C96" w:rsidRPr="00EA7F7A" w:rsidRDefault="000B5C96" w:rsidP="003F606A">
            <w:pPr>
              <w:pStyle w:val="PullOutBoxBodyText"/>
            </w:pPr>
            <w:r w:rsidRPr="00EA7F7A">
              <w:t>End Emissions Reduction Fund &amp; Wind Farm Commissioner</w:t>
            </w:r>
          </w:p>
        </w:tc>
      </w:tr>
      <w:tr w:rsidR="000B5C96" w:rsidRPr="006175AD" w:rsidTr="003F606A">
        <w:tc>
          <w:tcPr>
            <w:tcW w:w="1806" w:type="pct"/>
          </w:tcPr>
          <w:p w:rsidR="000B5C96" w:rsidRPr="006175AD" w:rsidRDefault="000B5C96" w:rsidP="003F606A">
            <w:pPr>
              <w:pStyle w:val="PullOutBoxBodyText"/>
            </w:pPr>
            <w:r w:rsidRPr="006175AD">
              <w:t>Summary of proposal:</w:t>
            </w:r>
          </w:p>
        </w:tc>
        <w:tc>
          <w:tcPr>
            <w:tcW w:w="3194" w:type="pct"/>
          </w:tcPr>
          <w:p w:rsidR="000B5C96" w:rsidRPr="006175AD" w:rsidRDefault="000B5C96" w:rsidP="003F606A">
            <w:pPr>
              <w:pStyle w:val="PullOutBoxBodyText"/>
            </w:pPr>
            <w:r w:rsidRPr="006175AD">
              <w:t xml:space="preserve">The proposal has two components:  </w:t>
            </w:r>
          </w:p>
          <w:p w:rsidR="000B5C96" w:rsidRPr="006175AD" w:rsidRDefault="000B5C96" w:rsidP="000B5C96">
            <w:pPr>
              <w:pStyle w:val="PullOutBoxBullet"/>
              <w:numPr>
                <w:ilvl w:val="0"/>
                <w:numId w:val="2"/>
              </w:numPr>
              <w:ind w:left="397"/>
            </w:pPr>
            <w:r w:rsidRPr="006175AD">
              <w:t xml:space="preserve">Component 1 - Abolish the Emissions Reduction Fund (ERF). </w:t>
            </w:r>
          </w:p>
          <w:p w:rsidR="000B5C96" w:rsidRPr="006175AD" w:rsidRDefault="000B5C96" w:rsidP="000B5C96">
            <w:pPr>
              <w:pStyle w:val="PullOutBoxBullet"/>
              <w:numPr>
                <w:ilvl w:val="0"/>
                <w:numId w:val="2"/>
              </w:numPr>
              <w:ind w:left="397"/>
            </w:pPr>
            <w:r w:rsidRPr="006175AD">
              <w:t>Component 2 - Abolish the National Wind Farm Commissioner (NWFC).</w:t>
            </w:r>
          </w:p>
          <w:p w:rsidR="000B5C96" w:rsidRPr="006175AD" w:rsidRDefault="000B5C96" w:rsidP="003F606A">
            <w:pPr>
              <w:pStyle w:val="PullOutBoxBodyText"/>
            </w:pPr>
            <w:r w:rsidRPr="006175AD">
              <w:t>All financial obligations of contracts awarded before the abolition would be honoured.</w:t>
            </w:r>
          </w:p>
          <w:p w:rsidR="000B5C96" w:rsidRPr="006175AD" w:rsidRDefault="000B5C96" w:rsidP="003F606A">
            <w:pPr>
              <w:pStyle w:val="PullOutBoxBodyText"/>
            </w:pPr>
            <w:r w:rsidRPr="006175AD">
              <w:t>The policy would have effect from 1 September 2016.</w:t>
            </w:r>
          </w:p>
        </w:tc>
      </w:tr>
      <w:tr w:rsidR="000B5C96" w:rsidRPr="006175AD" w:rsidTr="003F606A">
        <w:tc>
          <w:tcPr>
            <w:tcW w:w="1806" w:type="pct"/>
          </w:tcPr>
          <w:p w:rsidR="000B5C96" w:rsidRPr="006175AD" w:rsidRDefault="000B5C96" w:rsidP="003F606A">
            <w:pPr>
              <w:pStyle w:val="PullOutBoxBodyText"/>
            </w:pPr>
            <w:r w:rsidRPr="006175AD">
              <w:t>Party:</w:t>
            </w:r>
          </w:p>
        </w:tc>
        <w:tc>
          <w:tcPr>
            <w:tcW w:w="3194" w:type="pct"/>
          </w:tcPr>
          <w:p w:rsidR="000B5C96" w:rsidRPr="006175AD" w:rsidRDefault="000B5C96" w:rsidP="003F606A">
            <w:pPr>
              <w:pStyle w:val="PullOutBoxBodyText"/>
            </w:pPr>
            <w:r w:rsidRPr="006175AD">
              <w:t>Australian Greens</w:t>
            </w:r>
          </w:p>
        </w:tc>
      </w:tr>
      <w:tr w:rsidR="000B5C96" w:rsidRPr="006175AD" w:rsidTr="003F606A">
        <w:tc>
          <w:tcPr>
            <w:tcW w:w="1806" w:type="pct"/>
          </w:tcPr>
          <w:p w:rsidR="000B5C96" w:rsidRPr="006175AD" w:rsidRDefault="000B5C96" w:rsidP="003F606A">
            <w:pPr>
              <w:pStyle w:val="PullOutBoxBodyText"/>
            </w:pPr>
            <w:r w:rsidRPr="006175AD">
              <w:t>Expiry date for the costing:</w:t>
            </w:r>
          </w:p>
        </w:tc>
        <w:tc>
          <w:tcPr>
            <w:tcW w:w="3194" w:type="pct"/>
          </w:tcPr>
          <w:p w:rsidR="000B5C96" w:rsidRPr="006175AD" w:rsidRDefault="000B5C96" w:rsidP="003F606A">
            <w:pPr>
              <w:pStyle w:val="PullOutBoxBodyText"/>
            </w:pPr>
            <w:r w:rsidRPr="006175AD">
              <w:t>Release of the next economic and fiscal update or the completion of the next ERF auction round</w:t>
            </w:r>
          </w:p>
        </w:tc>
      </w:tr>
    </w:tbl>
    <w:p w:rsidR="000B5C96" w:rsidRPr="00002D5D" w:rsidRDefault="000B5C96" w:rsidP="003F606A">
      <w:pPr>
        <w:pStyle w:val="CostingsH7"/>
      </w:pPr>
      <w:r w:rsidRPr="00002D5D">
        <w:t>Costing overview</w:t>
      </w:r>
    </w:p>
    <w:p w:rsidR="000B5C96" w:rsidRDefault="000B5C96" w:rsidP="003F606A">
      <w:pPr>
        <w:spacing w:before="120" w:after="120"/>
      </w:pPr>
      <w:r w:rsidRPr="003833ED">
        <w:t>T</w:t>
      </w:r>
      <w:r>
        <w:t>his proposal would be expected to increase the fiscal and underlying cash balances by $317.3 million over the 2016</w:t>
      </w:r>
      <w:r>
        <w:noBreakHyphen/>
        <w:t>17 Budget forward estimates period.   This is due to a $316.1 million decrease in administered expenses and a $1.2 million decrease in departmental expenses.</w:t>
      </w:r>
    </w:p>
    <w:p w:rsidR="000B5C96" w:rsidRPr="000E35B1" w:rsidRDefault="000B5C96" w:rsidP="003F606A">
      <w:pPr>
        <w:spacing w:before="120" w:after="120"/>
      </w:pPr>
      <w:r>
        <w:t>Component 1 (abolish the ERF) would have financial implications beyond 2019</w:t>
      </w:r>
      <w:r>
        <w:noBreakHyphen/>
        <w:t>20 until all uncommitted amounts from the initial $2.55 billion ERF commitment are exhausted.</w:t>
      </w:r>
      <w:r w:rsidRPr="00365126">
        <w:rPr>
          <w:rStyle w:val="FootnoteReference"/>
        </w:rPr>
        <w:footnoteReference w:id="13"/>
      </w:r>
      <w:r>
        <w:t xml:space="preserve">  Component 2 (abolish the NWFC) would not have financial implications beyond the 2016</w:t>
      </w:r>
      <w:r>
        <w:noBreakHyphen/>
        <w:t>17 Budget forward estimates period as the program is scheduled to conclude in 2018</w:t>
      </w:r>
      <w:r>
        <w:noBreakHyphen/>
        <w:t>19.  Detailed financial implications of the proposal over the 2016</w:t>
      </w:r>
      <w:r>
        <w:noBreakHyphen/>
        <w:t xml:space="preserve">17 Budget forward estimates period are included at </w:t>
      </w:r>
      <w:r>
        <w:rPr>
          <w:u w:val="single"/>
        </w:rPr>
        <w:t>Attachment A</w:t>
      </w:r>
      <w:r>
        <w:t>.</w:t>
      </w:r>
    </w:p>
    <w:p w:rsidR="000B5C96" w:rsidRDefault="000B5C96" w:rsidP="003F606A">
      <w:pPr>
        <w:pStyle w:val="BodyText"/>
      </w:pPr>
      <w:r>
        <w:tab/>
        <w:t>Component 1 would not be expected to have any impact on departmental costs as no departmental funding was provided in the original 2014</w:t>
      </w:r>
      <w:r>
        <w:noBreakHyphen/>
        <w:t>15 Budget measure.</w:t>
      </w:r>
      <w:r>
        <w:rPr>
          <w:rStyle w:val="FootnoteReference"/>
        </w:rPr>
        <w:footnoteReference w:id="14"/>
      </w:r>
      <w:r>
        <w:t xml:space="preserve">  Component 2 entirely reflects a reduction in departmental expenses.</w:t>
      </w:r>
    </w:p>
    <w:p w:rsidR="000B5C96" w:rsidRDefault="000B5C96" w:rsidP="003F606A">
      <w:pPr>
        <w:pStyle w:val="BodyText"/>
      </w:pPr>
      <w:r>
        <w:t xml:space="preserve">The costing is considered to be of medium reliability, due to the medium reliability of each of the two components. </w:t>
      </w:r>
    </w:p>
    <w:p w:rsidR="000B5C96" w:rsidRDefault="000B5C96" w:rsidP="000B5C96">
      <w:pPr>
        <w:pStyle w:val="ListBullet"/>
        <w:numPr>
          <w:ilvl w:val="0"/>
          <w:numId w:val="123"/>
        </w:numPr>
        <w:ind w:left="454" w:hanging="454"/>
      </w:pPr>
      <w:r>
        <w:t>Component 1 - While official estimates of annual ERF funding have been provided to 2019</w:t>
      </w:r>
      <w:r>
        <w:noBreakHyphen/>
        <w:t>20, the profile of contractually committed payments has been estimated by the Parliamentary Budget Office (PBO) (as the Department of the Environment has advised that the timing of contractual commitments under the ERF is commercial in confidence).</w:t>
      </w:r>
    </w:p>
    <w:p w:rsidR="000B5C96" w:rsidRDefault="000B5C96" w:rsidP="000B5C96">
      <w:pPr>
        <w:pStyle w:val="ListBullet"/>
        <w:numPr>
          <w:ilvl w:val="0"/>
          <w:numId w:val="123"/>
        </w:numPr>
        <w:ind w:left="454" w:hanging="454"/>
      </w:pPr>
      <w:r>
        <w:t>Component 2 - While NWFC program expenditure estimates were provided by the Department of the Environment, the level of contractual commitments at 1 September 2016 is uncertain.</w:t>
      </w:r>
    </w:p>
    <w:p w:rsidR="000B5C96" w:rsidRPr="00FC6579" w:rsidRDefault="000B5C96" w:rsidP="003F606A">
      <w:pPr>
        <w:pStyle w:val="Caption"/>
      </w:pPr>
      <w:r w:rsidRPr="00FC6579">
        <w:t>Table 1: Financial implications (outturn prices)</w:t>
      </w:r>
      <w:r w:rsidRPr="00611B22">
        <w:rPr>
          <w:vertAlign w:val="superscript"/>
        </w:rPr>
        <w:t>(a)</w:t>
      </w:r>
      <w:r>
        <w:rPr>
          <w:vertAlign w:val="superscript"/>
        </w:rPr>
        <w:t>(b)</w:t>
      </w:r>
    </w:p>
    <w:tbl>
      <w:tblPr>
        <w:tblStyle w:val="TableGrid"/>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6"/>
        <w:gridCol w:w="1134"/>
        <w:gridCol w:w="1135"/>
        <w:gridCol w:w="1135"/>
        <w:gridCol w:w="1135"/>
        <w:gridCol w:w="1133"/>
      </w:tblGrid>
      <w:tr w:rsidR="000B5C96" w:rsidRPr="0017205F"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17205F" w:rsidRDefault="000B5C96" w:rsidP="003F606A">
            <w:pPr>
              <w:pStyle w:val="TableText"/>
              <w:keepNext/>
              <w:keepLines/>
              <w:spacing w:line="240" w:lineRule="auto"/>
              <w:ind w:left="57" w:right="57"/>
              <w:rPr>
                <w:rFonts w:ascii="Calibri" w:hAnsi="Calibri"/>
                <w:color w:val="auto"/>
                <w:szCs w:val="20"/>
              </w:rPr>
            </w:pPr>
            <w:r w:rsidRPr="0017205F">
              <w:rPr>
                <w:rFonts w:ascii="Calibri" w:hAnsi="Calibri"/>
                <w:color w:val="auto"/>
                <w:szCs w:val="20"/>
              </w:rPr>
              <w:t>Impact on ($m)</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17205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17205F">
              <w:rPr>
                <w:rFonts w:ascii="Calibri" w:hAnsi="Calibri"/>
                <w:color w:val="auto"/>
                <w:szCs w:val="20"/>
              </w:rPr>
              <w:t>2016–17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17205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17205F">
              <w:rPr>
                <w:rFonts w:ascii="Calibri" w:hAnsi="Calibri"/>
                <w:color w:val="auto"/>
                <w:szCs w:val="20"/>
              </w:rPr>
              <w:t>2017–18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17205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17205F">
              <w:rPr>
                <w:rFonts w:ascii="Calibri" w:hAnsi="Calibri"/>
                <w:color w:val="auto"/>
                <w:szCs w:val="20"/>
              </w:rPr>
              <w:t>2018–19</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17205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17205F">
              <w:rPr>
                <w:rFonts w:ascii="Calibri" w:hAnsi="Calibri"/>
                <w:color w:val="auto"/>
                <w:szCs w:val="20"/>
              </w:rPr>
              <w:t>2019–20</w:t>
            </w:r>
          </w:p>
        </w:tc>
        <w:tc>
          <w:tcPr>
            <w:tcW w:w="68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17205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17205F">
              <w:rPr>
                <w:rFonts w:ascii="Calibri" w:hAnsi="Calibri"/>
                <w:b/>
                <w:color w:val="auto"/>
                <w:szCs w:val="20"/>
              </w:rPr>
              <w:t>Total</w:t>
            </w:r>
          </w:p>
        </w:tc>
      </w:tr>
      <w:tr w:rsidR="000B5C96" w:rsidRPr="003A345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left"/>
              <w:rPr>
                <w:szCs w:val="20"/>
              </w:rPr>
            </w:pPr>
            <w:r>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833ED"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szCs w:val="20"/>
              </w:rPr>
            </w:pPr>
            <w:r w:rsidRPr="003833ED">
              <w:rPr>
                <w:szCs w:val="20"/>
              </w:rPr>
              <w:t xml:space="preserve"> 81.7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833ED"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szCs w:val="20"/>
              </w:rPr>
            </w:pPr>
            <w:r w:rsidRPr="003833ED">
              <w:rPr>
                <w:szCs w:val="20"/>
              </w:rPr>
              <w:t xml:space="preserve"> 77.5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833ED"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szCs w:val="20"/>
              </w:rPr>
            </w:pPr>
            <w:r w:rsidRPr="003833ED">
              <w:rPr>
                <w:szCs w:val="20"/>
              </w:rPr>
              <w:t xml:space="preserve"> 78.2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833ED"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szCs w:val="20"/>
              </w:rPr>
            </w:pPr>
            <w:r w:rsidRPr="003833ED">
              <w:rPr>
                <w:szCs w:val="20"/>
              </w:rPr>
              <w:t xml:space="preserve"> 79.9 </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3833ED"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szCs w:val="20"/>
              </w:rPr>
            </w:pPr>
            <w:r w:rsidRPr="003833ED">
              <w:rPr>
                <w:b/>
                <w:szCs w:val="20"/>
              </w:rPr>
              <w:t xml:space="preserve"> 317.3 </w:t>
            </w:r>
          </w:p>
        </w:tc>
      </w:tr>
      <w:tr w:rsidR="000B5C96" w:rsidRPr="003A3459" w:rsidTr="003F606A">
        <w:trPr>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left"/>
              <w:rPr>
                <w:szCs w:val="20"/>
              </w:rPr>
            </w:pPr>
            <w:r>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833ED"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sidRPr="003833ED">
              <w:rPr>
                <w:szCs w:val="20"/>
              </w:rPr>
              <w:t xml:space="preserve"> 81.7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833ED"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sidRPr="003833ED">
              <w:rPr>
                <w:szCs w:val="20"/>
              </w:rPr>
              <w:t xml:space="preserve"> 77.5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833ED"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sidRPr="003833ED">
              <w:rPr>
                <w:szCs w:val="20"/>
              </w:rPr>
              <w:t xml:space="preserve"> 78.2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833ED"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sidRPr="003833ED">
              <w:rPr>
                <w:szCs w:val="20"/>
              </w:rPr>
              <w:t xml:space="preserve"> 79.9 </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3833ED"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3833ED">
              <w:rPr>
                <w:b/>
                <w:szCs w:val="20"/>
              </w:rPr>
              <w:t xml:space="preserve"> 317.3 </w:t>
            </w:r>
          </w:p>
        </w:tc>
      </w:tr>
    </w:tbl>
    <w:p w:rsidR="000B5C96" w:rsidRPr="0017205F" w:rsidRDefault="000B5C96" w:rsidP="000B6BA7">
      <w:pPr>
        <w:pStyle w:val="Footnotes"/>
        <w:numPr>
          <w:ilvl w:val="0"/>
          <w:numId w:val="337"/>
        </w:numPr>
        <w:ind w:left="284" w:hanging="284"/>
      </w:pPr>
      <w:r w:rsidRPr="0017205F">
        <w:t>A positive number represents an increase in the relevant budget balance, a negative number represents a decrease.</w:t>
      </w:r>
    </w:p>
    <w:p w:rsidR="000B5C96" w:rsidRPr="0017205F" w:rsidRDefault="000B5C96" w:rsidP="000B5C96">
      <w:pPr>
        <w:pStyle w:val="Footnotes"/>
        <w:numPr>
          <w:ilvl w:val="0"/>
          <w:numId w:val="128"/>
        </w:numPr>
        <w:ind w:left="284" w:hanging="284"/>
      </w:pPr>
      <w:r w:rsidRPr="0017205F">
        <w:t>Figures may not sum to totals due to rounding.</w:t>
      </w:r>
    </w:p>
    <w:p w:rsidR="000B5C96" w:rsidRPr="00FC6579" w:rsidRDefault="000B5C96" w:rsidP="003F606A">
      <w:pPr>
        <w:pStyle w:val="CostingsH7"/>
      </w:pPr>
      <w:r w:rsidRPr="00FC6579">
        <w:t>Key assumptions</w:t>
      </w:r>
    </w:p>
    <w:p w:rsidR="000B5C96" w:rsidRPr="00BC145A" w:rsidRDefault="000B5C96" w:rsidP="003F606A">
      <w:pPr>
        <w:pStyle w:val="CostingsH8"/>
        <w:rPr>
          <w:b w:val="0"/>
          <w:color w:val="auto"/>
          <w:sz w:val="22"/>
          <w:szCs w:val="22"/>
          <w:u w:val="single"/>
        </w:rPr>
      </w:pPr>
      <w:r w:rsidRPr="00BC145A">
        <w:rPr>
          <w:b w:val="0"/>
          <w:color w:val="auto"/>
          <w:sz w:val="22"/>
          <w:szCs w:val="22"/>
          <w:u w:val="single"/>
        </w:rPr>
        <w:t>Component 1</w:t>
      </w:r>
    </w:p>
    <w:p w:rsidR="000B5C96" w:rsidRDefault="000B5C96" w:rsidP="003F606A">
      <w:pPr>
        <w:pStyle w:val="BodyText"/>
      </w:pPr>
      <w:r>
        <w:t>Uncommitted funds not utilised by the end of the relevant financial year are assumed to not be available to be carried forward.  Uncommitted funds at the end of 2014</w:t>
      </w:r>
      <w:r>
        <w:noBreakHyphen/>
        <w:t>15 and 2015</w:t>
      </w:r>
      <w:r>
        <w:noBreakHyphen/>
        <w:t>16 are therefore assumed to be returned to the budget and not be available as a saving under the proposal.</w:t>
      </w:r>
    </w:p>
    <w:p w:rsidR="000B5C96" w:rsidRPr="00FC6579" w:rsidRDefault="000B5C96" w:rsidP="003F606A">
      <w:pPr>
        <w:pStyle w:val="CostingsH7"/>
      </w:pPr>
      <w:r w:rsidRPr="00FC6579">
        <w:t>Methodology</w:t>
      </w:r>
    </w:p>
    <w:p w:rsidR="000B5C96" w:rsidRPr="00BC145A" w:rsidRDefault="000B5C96" w:rsidP="003F606A">
      <w:pPr>
        <w:pStyle w:val="CostingsH8"/>
        <w:rPr>
          <w:b w:val="0"/>
          <w:color w:val="auto"/>
          <w:sz w:val="22"/>
          <w:szCs w:val="22"/>
          <w:u w:val="single"/>
        </w:rPr>
      </w:pPr>
      <w:r w:rsidRPr="00BC145A">
        <w:rPr>
          <w:b w:val="0"/>
          <w:color w:val="auto"/>
          <w:sz w:val="22"/>
          <w:szCs w:val="22"/>
          <w:u w:val="single"/>
        </w:rPr>
        <w:t>Component 1</w:t>
      </w:r>
    </w:p>
    <w:p w:rsidR="000B5C96" w:rsidRDefault="000B5C96" w:rsidP="003F606A">
      <w:r>
        <w:t>The ERF funding over 2014</w:t>
      </w:r>
      <w:r>
        <w:noBreakHyphen/>
        <w:t>15 to 2019</w:t>
      </w:r>
      <w:r>
        <w:noBreakHyphen/>
        <w:t>20 was provided by the Department of the Environment.</w:t>
      </w:r>
    </w:p>
    <w:p w:rsidR="000B5C96" w:rsidRDefault="000B5C96" w:rsidP="003F606A">
      <w:pPr>
        <w:pStyle w:val="BodyText"/>
        <w:keepNext/>
        <w:keepLines/>
      </w:pPr>
      <w:r>
        <w:t>The Clean Energy Regulator has announced $1.7 billion in commitments following ERF auctions:</w:t>
      </w:r>
    </w:p>
    <w:p w:rsidR="000B5C96" w:rsidRDefault="000B5C96" w:rsidP="000B5C96">
      <w:pPr>
        <w:pStyle w:val="ListBullet"/>
        <w:keepNext/>
        <w:numPr>
          <w:ilvl w:val="0"/>
          <w:numId w:val="123"/>
        </w:numPr>
        <w:ind w:left="454" w:hanging="454"/>
      </w:pPr>
      <w:r>
        <w:t>On 23 April 2015 the commitment of $660.5 million from the first ERF auction.</w:t>
      </w:r>
    </w:p>
    <w:p w:rsidR="000B5C96" w:rsidRDefault="000B5C96" w:rsidP="000B5C96">
      <w:pPr>
        <w:pStyle w:val="ListBullet"/>
        <w:numPr>
          <w:ilvl w:val="0"/>
          <w:numId w:val="123"/>
        </w:numPr>
        <w:ind w:left="454" w:hanging="454"/>
      </w:pPr>
      <w:r>
        <w:t>On 12 November 2015 the commitment of $557 million from the second ERF auction.</w:t>
      </w:r>
    </w:p>
    <w:p w:rsidR="000B5C96" w:rsidRDefault="000B5C96" w:rsidP="000B5C96">
      <w:pPr>
        <w:pStyle w:val="ListBullet"/>
        <w:numPr>
          <w:ilvl w:val="0"/>
          <w:numId w:val="123"/>
        </w:numPr>
        <w:ind w:left="454" w:hanging="454"/>
      </w:pPr>
      <w:r>
        <w:t>On 5 May 2016 the commitment of $516 million from the third ERF auction.</w:t>
      </w:r>
    </w:p>
    <w:p w:rsidR="000B5C96" w:rsidRDefault="000B5C96" w:rsidP="003F606A">
      <w:pPr>
        <w:pStyle w:val="BodyText"/>
      </w:pPr>
      <w:r>
        <w:t>As the profile of the committed $1.7 billion is not available due to commercial in confidence concerns, the PBO has apportioned the committed funds by using the ratio of the ERF funding estimate in each respective year to the total commitment of $2.55 billion.</w:t>
      </w:r>
    </w:p>
    <w:p w:rsidR="000B5C96" w:rsidRDefault="000B5C96" w:rsidP="003F606A">
      <w:pPr>
        <w:pStyle w:val="BodyText"/>
      </w:pPr>
      <w:r>
        <w:t>The financial impact of abolishing the ERF was then derived by taking the difference between the ERF funding and contractually committed funds.</w:t>
      </w:r>
    </w:p>
    <w:p w:rsidR="000B5C96" w:rsidRPr="00BC145A" w:rsidRDefault="000B5C96" w:rsidP="003F606A">
      <w:pPr>
        <w:pStyle w:val="CostingsH8"/>
        <w:rPr>
          <w:b w:val="0"/>
          <w:color w:val="auto"/>
          <w:sz w:val="22"/>
          <w:szCs w:val="22"/>
          <w:u w:val="single"/>
        </w:rPr>
      </w:pPr>
      <w:r w:rsidRPr="00BC145A">
        <w:rPr>
          <w:b w:val="0"/>
          <w:color w:val="auto"/>
          <w:sz w:val="22"/>
          <w:szCs w:val="22"/>
          <w:u w:val="single"/>
        </w:rPr>
        <w:t>Component 2</w:t>
      </w:r>
    </w:p>
    <w:p w:rsidR="000B5C96" w:rsidRPr="00E048FD" w:rsidRDefault="000B5C96" w:rsidP="003F606A">
      <w:pPr>
        <w:pStyle w:val="BodyText"/>
      </w:pPr>
      <w:r>
        <w:t>The expenditure estimates provided by the Department of the Environment for 2016</w:t>
      </w:r>
      <w:r>
        <w:noBreakHyphen/>
        <w:t>17 to 2018</w:t>
      </w:r>
      <w:r>
        <w:noBreakHyphen/>
        <w:t xml:space="preserve">19 (conclusion of the program) were adjusted to exclude the estimated amount of contractual commitments as at 1 September 2016, and the saving from abolishing this program was estimated as the remaining uncommitted amount. </w:t>
      </w:r>
    </w:p>
    <w:p w:rsidR="000B5C96" w:rsidRPr="00FC6579" w:rsidRDefault="000B5C96" w:rsidP="003F606A">
      <w:pPr>
        <w:pStyle w:val="CostingsH7"/>
      </w:pPr>
      <w:r w:rsidRPr="00FC6579">
        <w:t>Data sources</w:t>
      </w:r>
    </w:p>
    <w:p w:rsidR="000B5C96" w:rsidRDefault="000B5C96" w:rsidP="003F606A">
      <w:pPr>
        <w:pStyle w:val="BodyText"/>
      </w:pPr>
      <w:r>
        <w:t xml:space="preserve">The Coalition’s Direct Action Plan 2010: </w:t>
      </w:r>
      <w:hyperlink r:id="rId632" w:history="1">
        <w:r w:rsidRPr="002B1ACC">
          <w:rPr>
            <w:rStyle w:val="Hyperlink"/>
          </w:rPr>
          <w:t>http://www.greghunt.com.au/Portals/0/PDF/TheCoalitionsDirectActionPlanPolicy2010.pdf</w:t>
        </w:r>
      </w:hyperlink>
      <w:r>
        <w:t>.</w:t>
      </w:r>
    </w:p>
    <w:p w:rsidR="000B5C96" w:rsidRDefault="000B5C96" w:rsidP="003F606A">
      <w:pPr>
        <w:pStyle w:val="BodyText"/>
      </w:pPr>
      <w:r>
        <w:t xml:space="preserve">The 2014-15 Budget measure, </w:t>
      </w:r>
      <w:r>
        <w:rPr>
          <w:i/>
          <w:iCs/>
        </w:rPr>
        <w:t>Emissions Reduction Fund - establishment</w:t>
      </w:r>
      <w:r>
        <w:t>, page 102.</w:t>
      </w:r>
    </w:p>
    <w:p w:rsidR="000B5C96" w:rsidRDefault="000B5C96" w:rsidP="003F606A">
      <w:pPr>
        <w:pStyle w:val="BodyText"/>
      </w:pPr>
      <w:r>
        <w:t xml:space="preserve">Clean Energy Regulator announcement of results from the first ERF auction, 23 April 2015: </w:t>
      </w:r>
      <w:hyperlink r:id="rId633" w:history="1">
        <w:r w:rsidRPr="007E6B3B">
          <w:rPr>
            <w:rStyle w:val="Hyperlink"/>
          </w:rPr>
          <w:t>http://www.cleanenergyregulator.gov.au/ERF/Auctions-results/april-2015</w:t>
        </w:r>
      </w:hyperlink>
      <w:r>
        <w:t xml:space="preserve"> </w:t>
      </w:r>
    </w:p>
    <w:p w:rsidR="000B5C96" w:rsidRDefault="000B5C96" w:rsidP="003F606A">
      <w:pPr>
        <w:pStyle w:val="BodyText"/>
      </w:pPr>
      <w:r>
        <w:t xml:space="preserve">Clean Energy Regulator announcement of results from the second ERF auction, 12 November 2015: </w:t>
      </w:r>
      <w:hyperlink r:id="rId634" w:history="1">
        <w:r w:rsidRPr="002B1ACC">
          <w:rPr>
            <w:rStyle w:val="Hyperlink"/>
          </w:rPr>
          <w:t>http://www.cleanenergyregulator.gov.au/About/Pages/News%20and%20updates/NewsItem.aspx?ListId=19b4efbb-6f5d-4637-94c4-121c1f96fcfe&amp;ItemId=188</w:t>
        </w:r>
      </w:hyperlink>
      <w:r>
        <w:t>.</w:t>
      </w:r>
    </w:p>
    <w:p w:rsidR="000B5C96" w:rsidRDefault="000B5C96" w:rsidP="003F606A">
      <w:pPr>
        <w:pStyle w:val="BodyText"/>
      </w:pPr>
      <w:r>
        <w:t xml:space="preserve">Clean Energy Regulator announcement of results from the third ERF auction, 5 May 2016: </w:t>
      </w:r>
      <w:hyperlink r:id="rId635" w:history="1">
        <w:r w:rsidRPr="002B1ACC">
          <w:rPr>
            <w:rStyle w:val="Hyperlink"/>
          </w:rPr>
          <w:t>http://www.cleanenergyregulator.gov.au/About/Pages/News%20and%20updates/NewsItem.aspx?ListId=19b4efbb-6f5d-4637-94c4-121c1f96fcfe&amp;ItemId=253</w:t>
        </w:r>
      </w:hyperlink>
      <w:r>
        <w:t>.</w:t>
      </w:r>
    </w:p>
    <w:p w:rsidR="000B5C96" w:rsidRDefault="000B5C96" w:rsidP="003F606A">
      <w:pPr>
        <w:pStyle w:val="BodyText"/>
        <w:sectPr w:rsidR="000B5C96" w:rsidSect="003F606A">
          <w:footnotePr>
            <w:numRestart w:val="eachSect"/>
          </w:footnotePr>
          <w:pgSz w:w="11907" w:h="16839" w:code="9"/>
          <w:pgMar w:top="1361" w:right="1797" w:bottom="1474" w:left="1797" w:header="283" w:footer="454" w:gutter="0"/>
          <w:cols w:space="708"/>
          <w:docGrid w:linePitch="360"/>
        </w:sectPr>
      </w:pPr>
      <w:r w:rsidRPr="00141A5B">
        <w:t>The Department of the Environment provided expenditure estimates for the ERF over the period 2014</w:t>
      </w:r>
      <w:r w:rsidRPr="00141A5B">
        <w:noBreakHyphen/>
        <w:t>15 to 2019</w:t>
      </w:r>
      <w:r w:rsidRPr="00141A5B">
        <w:noBreakHyphen/>
        <w:t>20, and for the NWFC over the period 2016</w:t>
      </w:r>
      <w:r w:rsidRPr="00141A5B">
        <w:noBreakHyphen/>
        <w:t>17 to 2018</w:t>
      </w:r>
      <w:r w:rsidRPr="00141A5B">
        <w:noBreakHyphen/>
        <w:t>19.</w:t>
      </w:r>
    </w:p>
    <w:p w:rsidR="000B5C96" w:rsidRPr="006175AD" w:rsidRDefault="000B5C96" w:rsidP="000B5C96">
      <w:pPr>
        <w:pStyle w:val="Heading6"/>
        <w:numPr>
          <w:ilvl w:val="0"/>
          <w:numId w:val="5"/>
        </w:numPr>
        <w:tabs>
          <w:tab w:val="right" w:pos="1418"/>
          <w:tab w:val="right" w:pos="1701"/>
          <w:tab w:val="right" w:pos="1985"/>
        </w:tabs>
      </w:pPr>
      <w:r w:rsidRPr="006175AD">
        <w:t>Attachment A: End Emissions Reduction Fund &amp; Wind Farm Commissioner—financial implications</w:t>
      </w:r>
    </w:p>
    <w:p w:rsidR="000B5C96" w:rsidRPr="006175AD" w:rsidRDefault="000B5C96" w:rsidP="003F606A">
      <w:pPr>
        <w:pStyle w:val="Caption"/>
        <w:rPr>
          <w:vertAlign w:val="superscript"/>
        </w:rPr>
      </w:pPr>
      <w:r w:rsidRPr="006175AD">
        <w:t>Table A1: End Emissions Reduction Fund &amp; W</w:t>
      </w:r>
      <w:r>
        <w:t>ind Farm Commissioner—Financial </w:t>
      </w:r>
      <w:r w:rsidRPr="006175AD">
        <w:t>implications</w:t>
      </w:r>
      <w:r w:rsidRPr="006175AD">
        <w:rPr>
          <w:vertAlign w:val="superscript"/>
        </w:rPr>
        <w:t>(a)(b)</w:t>
      </w:r>
    </w:p>
    <w:tbl>
      <w:tblPr>
        <w:tblStyle w:val="TableGrid95"/>
        <w:tblW w:w="4993" w:type="pct"/>
        <w:tblLook w:val="0680" w:firstRow="0" w:lastRow="0" w:firstColumn="1" w:lastColumn="0" w:noHBand="1" w:noVBand="1"/>
      </w:tblPr>
      <w:tblGrid>
        <w:gridCol w:w="2644"/>
        <w:gridCol w:w="1133"/>
        <w:gridCol w:w="1134"/>
        <w:gridCol w:w="1134"/>
        <w:gridCol w:w="1134"/>
        <w:gridCol w:w="1132"/>
      </w:tblGrid>
      <w:tr w:rsidR="000B5C96" w:rsidRPr="006175AD" w:rsidTr="003F606A">
        <w:trPr>
          <w:cantSplit/>
        </w:trPr>
        <w:tc>
          <w:tcPr>
            <w:cnfStyle w:val="001000000000" w:firstRow="0" w:lastRow="0" w:firstColumn="1" w:lastColumn="0" w:oddVBand="0" w:evenVBand="0" w:oddHBand="0" w:evenHBand="0" w:firstRowFirstColumn="0" w:firstRowLastColumn="0" w:lastRowFirstColumn="0" w:lastRowLastColumn="0"/>
            <w:tcW w:w="1591" w:type="pct"/>
            <w:shd w:val="clear" w:color="auto" w:fill="D7DDE9"/>
          </w:tcPr>
          <w:p w:rsidR="000B5C96" w:rsidRPr="006175AD" w:rsidRDefault="000B5C96" w:rsidP="003F606A">
            <w:pPr>
              <w:keepNext/>
              <w:keepLines/>
              <w:ind w:left="57" w:right="57"/>
              <w:rPr>
                <w:szCs w:val="20"/>
              </w:rPr>
            </w:pPr>
            <w:r w:rsidRPr="006175AD">
              <w:rPr>
                <w:szCs w:val="20"/>
              </w:rPr>
              <w:t>($m)</w:t>
            </w:r>
          </w:p>
        </w:tc>
        <w:tc>
          <w:tcPr>
            <w:tcW w:w="682" w:type="pct"/>
            <w:shd w:val="clear" w:color="auto" w:fill="D7DDE9"/>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6175AD">
              <w:rPr>
                <w:rFonts w:ascii="Calibri" w:hAnsi="Calibri"/>
                <w:szCs w:val="20"/>
              </w:rPr>
              <w:t>2016–17</w:t>
            </w:r>
          </w:p>
        </w:tc>
        <w:tc>
          <w:tcPr>
            <w:tcW w:w="682" w:type="pct"/>
            <w:shd w:val="clear" w:color="auto" w:fill="D7DDE9"/>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6175AD">
              <w:rPr>
                <w:rFonts w:ascii="Calibri" w:hAnsi="Calibri"/>
                <w:szCs w:val="20"/>
              </w:rPr>
              <w:t>2017–18</w:t>
            </w:r>
          </w:p>
        </w:tc>
        <w:tc>
          <w:tcPr>
            <w:tcW w:w="682" w:type="pct"/>
            <w:shd w:val="clear" w:color="auto" w:fill="D7DDE9"/>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6175AD">
              <w:rPr>
                <w:rFonts w:ascii="Calibri" w:hAnsi="Calibri"/>
                <w:szCs w:val="20"/>
              </w:rPr>
              <w:t>2018–19</w:t>
            </w:r>
          </w:p>
        </w:tc>
        <w:tc>
          <w:tcPr>
            <w:tcW w:w="682" w:type="pct"/>
            <w:shd w:val="clear" w:color="auto" w:fill="D7DDE9"/>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6175AD">
              <w:rPr>
                <w:rFonts w:ascii="Calibri" w:hAnsi="Calibri"/>
                <w:szCs w:val="20"/>
              </w:rPr>
              <w:t>2019–20</w:t>
            </w:r>
          </w:p>
        </w:tc>
        <w:tc>
          <w:tcPr>
            <w:tcW w:w="682" w:type="pct"/>
            <w:shd w:val="clear" w:color="auto" w:fill="D7DDE9"/>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6175AD">
              <w:rPr>
                <w:rFonts w:ascii="Calibri" w:hAnsi="Calibri"/>
                <w:b/>
                <w:szCs w:val="20"/>
              </w:rPr>
              <w:t>Total to 2019–20</w:t>
            </w:r>
          </w:p>
        </w:tc>
      </w:tr>
      <w:tr w:rsidR="000B5C96" w:rsidRPr="006175AD"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9"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6175AD" w:rsidRDefault="000B5C96" w:rsidP="003F606A">
            <w:pPr>
              <w:keepNext/>
              <w:keepLines/>
              <w:ind w:left="57" w:right="57"/>
              <w:rPr>
                <w:b/>
                <w:szCs w:val="20"/>
              </w:rPr>
            </w:pPr>
            <w:r w:rsidRPr="006175AD">
              <w:rPr>
                <w:b/>
                <w:szCs w:val="20"/>
              </w:rPr>
              <w:t>Impact on fiscal and underlying cash balances</w:t>
            </w:r>
          </w:p>
        </w:tc>
      </w:tr>
      <w:tr w:rsidR="000B5C96" w:rsidRPr="006175AD" w:rsidTr="003F606A">
        <w:trPr>
          <w:cantSplit/>
        </w:trPr>
        <w:tc>
          <w:tcPr>
            <w:cnfStyle w:val="001000000000" w:firstRow="0" w:lastRow="0" w:firstColumn="1" w:lastColumn="0" w:oddVBand="0" w:evenVBand="0" w:oddHBand="0" w:evenHBand="0" w:firstRowFirstColumn="0" w:firstRowLastColumn="0" w:lastRowFirstColumn="0" w:lastRowLastColumn="0"/>
            <w:tcW w:w="4999" w:type="pct"/>
            <w:gridSpan w:val="6"/>
          </w:tcPr>
          <w:p w:rsidR="000B5C96" w:rsidRPr="006175AD" w:rsidRDefault="000B5C96" w:rsidP="003F606A">
            <w:pPr>
              <w:ind w:left="57" w:right="57"/>
              <w:rPr>
                <w:color w:val="000000"/>
                <w:szCs w:val="20"/>
              </w:rPr>
            </w:pPr>
            <w:r w:rsidRPr="006175AD">
              <w:rPr>
                <w:color w:val="000000"/>
                <w:szCs w:val="20"/>
              </w:rPr>
              <w:t>Component 1 – Abolish the Emissions Reduction Fund</w:t>
            </w:r>
          </w:p>
        </w:tc>
      </w:tr>
      <w:tr w:rsidR="000B5C96" w:rsidRPr="006175AD" w:rsidTr="003F606A">
        <w:trPr>
          <w:cantSplit/>
        </w:trPr>
        <w:tc>
          <w:tcPr>
            <w:cnfStyle w:val="001000000000" w:firstRow="0" w:lastRow="0" w:firstColumn="1" w:lastColumn="0" w:oddVBand="0" w:evenVBand="0" w:oddHBand="0" w:evenHBand="0" w:firstRowFirstColumn="0" w:firstRowLastColumn="0" w:lastRowFirstColumn="0" w:lastRowLastColumn="0"/>
            <w:tcW w:w="1591" w:type="pct"/>
          </w:tcPr>
          <w:p w:rsidR="000B5C96" w:rsidRPr="006175AD" w:rsidRDefault="000B5C96" w:rsidP="003F606A">
            <w:pPr>
              <w:ind w:left="57" w:right="57"/>
              <w:rPr>
                <w:color w:val="000000"/>
                <w:szCs w:val="20"/>
              </w:rPr>
            </w:pPr>
            <w:r w:rsidRPr="006175AD">
              <w:rPr>
                <w:color w:val="000000"/>
                <w:szCs w:val="20"/>
              </w:rPr>
              <w:t>Administered expenses</w:t>
            </w:r>
          </w:p>
        </w:tc>
        <w:tc>
          <w:tcPr>
            <w:tcW w:w="682" w:type="pct"/>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6175AD">
              <w:rPr>
                <w:rFonts w:ascii="Calibri" w:hAnsi="Calibri"/>
                <w:i/>
                <w:szCs w:val="20"/>
              </w:rPr>
              <w:t xml:space="preserve"> 81.4 </w:t>
            </w:r>
          </w:p>
        </w:tc>
        <w:tc>
          <w:tcPr>
            <w:tcW w:w="682" w:type="pct"/>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6175AD">
              <w:rPr>
                <w:rFonts w:ascii="Calibri" w:hAnsi="Calibri"/>
                <w:i/>
                <w:szCs w:val="20"/>
              </w:rPr>
              <w:t xml:space="preserve"> 76.8 </w:t>
            </w:r>
          </w:p>
        </w:tc>
        <w:tc>
          <w:tcPr>
            <w:tcW w:w="682" w:type="pct"/>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6175AD">
              <w:rPr>
                <w:rFonts w:ascii="Calibri" w:hAnsi="Calibri"/>
                <w:i/>
                <w:szCs w:val="20"/>
              </w:rPr>
              <w:t xml:space="preserve"> 78.0 </w:t>
            </w:r>
          </w:p>
        </w:tc>
        <w:tc>
          <w:tcPr>
            <w:tcW w:w="682" w:type="pct"/>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6175AD">
              <w:rPr>
                <w:rFonts w:ascii="Calibri" w:hAnsi="Calibri"/>
                <w:i/>
                <w:szCs w:val="20"/>
              </w:rPr>
              <w:t xml:space="preserve"> 79.9 </w:t>
            </w:r>
          </w:p>
        </w:tc>
        <w:tc>
          <w:tcPr>
            <w:tcW w:w="682" w:type="pct"/>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6175AD">
              <w:rPr>
                <w:rFonts w:ascii="Calibri" w:hAnsi="Calibri"/>
                <w:b/>
                <w:i/>
                <w:szCs w:val="20"/>
              </w:rPr>
              <w:t xml:space="preserve"> 316.1 </w:t>
            </w:r>
          </w:p>
        </w:tc>
      </w:tr>
      <w:tr w:rsidR="000B5C96" w:rsidRPr="006175AD"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Pr>
          <w:p w:rsidR="000B5C96" w:rsidRPr="006175AD" w:rsidRDefault="000B5C96" w:rsidP="003F606A">
            <w:pPr>
              <w:ind w:left="57" w:right="57"/>
              <w:rPr>
                <w:color w:val="000000"/>
                <w:szCs w:val="20"/>
              </w:rPr>
            </w:pPr>
            <w:r w:rsidRPr="006175AD">
              <w:rPr>
                <w:color w:val="000000"/>
                <w:szCs w:val="20"/>
              </w:rPr>
              <w:t>Component 2 – Abolish the National Wind Farm Commissioner</w:t>
            </w:r>
          </w:p>
        </w:tc>
      </w:tr>
      <w:tr w:rsidR="000B5C96" w:rsidRPr="006175AD" w:rsidTr="003F606A">
        <w:trPr>
          <w:cantSplit/>
        </w:trPr>
        <w:tc>
          <w:tcPr>
            <w:cnfStyle w:val="001000000000" w:firstRow="0" w:lastRow="0" w:firstColumn="1" w:lastColumn="0" w:oddVBand="0" w:evenVBand="0" w:oddHBand="0" w:evenHBand="0" w:firstRowFirstColumn="0" w:firstRowLastColumn="0" w:lastRowFirstColumn="0" w:lastRowLastColumn="0"/>
            <w:tcW w:w="1591" w:type="pct"/>
          </w:tcPr>
          <w:p w:rsidR="000B5C96" w:rsidRPr="006175AD" w:rsidRDefault="000B5C96" w:rsidP="003F606A">
            <w:pPr>
              <w:ind w:left="57" w:right="57"/>
              <w:rPr>
                <w:color w:val="000000"/>
                <w:szCs w:val="20"/>
              </w:rPr>
            </w:pPr>
            <w:r w:rsidRPr="006175AD">
              <w:rPr>
                <w:color w:val="000000"/>
                <w:szCs w:val="20"/>
              </w:rPr>
              <w:t>Departmental expenses</w:t>
            </w:r>
          </w:p>
        </w:tc>
        <w:tc>
          <w:tcPr>
            <w:tcW w:w="682" w:type="pct"/>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6175AD">
              <w:rPr>
                <w:rFonts w:ascii="Calibri" w:hAnsi="Calibri"/>
                <w:i/>
                <w:szCs w:val="20"/>
              </w:rPr>
              <w:t xml:space="preserve">  0.3 </w:t>
            </w:r>
          </w:p>
        </w:tc>
        <w:tc>
          <w:tcPr>
            <w:tcW w:w="682" w:type="pct"/>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6175AD">
              <w:rPr>
                <w:rFonts w:ascii="Calibri" w:hAnsi="Calibri"/>
                <w:i/>
                <w:szCs w:val="20"/>
              </w:rPr>
              <w:t xml:space="preserve">  0.7 </w:t>
            </w:r>
          </w:p>
        </w:tc>
        <w:tc>
          <w:tcPr>
            <w:tcW w:w="682" w:type="pct"/>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6175AD">
              <w:rPr>
                <w:rFonts w:ascii="Calibri" w:hAnsi="Calibri"/>
                <w:i/>
                <w:szCs w:val="20"/>
              </w:rPr>
              <w:t xml:space="preserve">  0.2 </w:t>
            </w:r>
          </w:p>
        </w:tc>
        <w:tc>
          <w:tcPr>
            <w:tcW w:w="682" w:type="pct"/>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szCs w:val="20"/>
              </w:rPr>
            </w:pPr>
            <w:r w:rsidRPr="006175AD">
              <w:rPr>
                <w:rFonts w:ascii="Calibri" w:hAnsi="Calibri"/>
                <w:i/>
                <w:szCs w:val="20"/>
              </w:rPr>
              <w:t xml:space="preserve">  - </w:t>
            </w:r>
          </w:p>
        </w:tc>
        <w:tc>
          <w:tcPr>
            <w:tcW w:w="682" w:type="pct"/>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szCs w:val="20"/>
              </w:rPr>
            </w:pPr>
            <w:r w:rsidRPr="006175AD">
              <w:rPr>
                <w:rFonts w:ascii="Calibri" w:hAnsi="Calibri"/>
                <w:b/>
                <w:i/>
                <w:szCs w:val="20"/>
              </w:rPr>
              <w:t xml:space="preserve">1.2 </w:t>
            </w:r>
          </w:p>
        </w:tc>
      </w:tr>
      <w:tr w:rsidR="000B5C96" w:rsidRPr="006175AD" w:rsidTr="003F606A">
        <w:trPr>
          <w:cantSplit/>
        </w:trPr>
        <w:tc>
          <w:tcPr>
            <w:cnfStyle w:val="001000000000" w:firstRow="0" w:lastRow="0" w:firstColumn="1" w:lastColumn="0" w:oddVBand="0" w:evenVBand="0" w:oddHBand="0" w:evenHBand="0" w:firstRowFirstColumn="0" w:firstRowLastColumn="0" w:lastRowFirstColumn="0" w:lastRowLastColumn="0"/>
            <w:tcW w:w="1591" w:type="pct"/>
            <w:shd w:val="clear" w:color="auto" w:fill="E9ECF3"/>
          </w:tcPr>
          <w:p w:rsidR="000B5C96" w:rsidRPr="006175AD" w:rsidRDefault="000B5C96" w:rsidP="003F606A">
            <w:pPr>
              <w:ind w:left="57" w:right="57"/>
              <w:rPr>
                <w:b/>
                <w:bCs/>
                <w:color w:val="000000"/>
                <w:szCs w:val="20"/>
              </w:rPr>
            </w:pPr>
            <w:r w:rsidRPr="006175AD">
              <w:rPr>
                <w:b/>
                <w:bCs/>
                <w:color w:val="000000"/>
                <w:szCs w:val="20"/>
              </w:rPr>
              <w:t>Total</w:t>
            </w:r>
          </w:p>
        </w:tc>
        <w:tc>
          <w:tcPr>
            <w:tcW w:w="682" w:type="pct"/>
            <w:shd w:val="clear" w:color="auto" w:fill="E9ECF3"/>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6175AD">
              <w:rPr>
                <w:rFonts w:ascii="Calibri" w:hAnsi="Calibri"/>
                <w:b/>
                <w:szCs w:val="20"/>
              </w:rPr>
              <w:t xml:space="preserve"> 81.7 </w:t>
            </w:r>
          </w:p>
        </w:tc>
        <w:tc>
          <w:tcPr>
            <w:tcW w:w="682" w:type="pct"/>
            <w:shd w:val="clear" w:color="auto" w:fill="E9ECF3"/>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6175AD">
              <w:rPr>
                <w:rFonts w:ascii="Calibri" w:hAnsi="Calibri"/>
                <w:b/>
                <w:szCs w:val="20"/>
              </w:rPr>
              <w:t xml:space="preserve"> 77.5 </w:t>
            </w:r>
          </w:p>
        </w:tc>
        <w:tc>
          <w:tcPr>
            <w:tcW w:w="682" w:type="pct"/>
            <w:shd w:val="clear" w:color="auto" w:fill="E9ECF3"/>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6175AD">
              <w:rPr>
                <w:rFonts w:ascii="Calibri" w:hAnsi="Calibri"/>
                <w:b/>
                <w:szCs w:val="20"/>
              </w:rPr>
              <w:t xml:space="preserve"> 78.2 </w:t>
            </w:r>
          </w:p>
        </w:tc>
        <w:tc>
          <w:tcPr>
            <w:tcW w:w="682" w:type="pct"/>
            <w:shd w:val="clear" w:color="auto" w:fill="E9ECF3"/>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6175AD">
              <w:rPr>
                <w:rFonts w:ascii="Calibri" w:hAnsi="Calibri"/>
                <w:b/>
                <w:szCs w:val="20"/>
              </w:rPr>
              <w:t xml:space="preserve"> 79.9 </w:t>
            </w:r>
          </w:p>
        </w:tc>
        <w:tc>
          <w:tcPr>
            <w:tcW w:w="682" w:type="pct"/>
            <w:shd w:val="clear" w:color="auto" w:fill="E9ECF3"/>
          </w:tcPr>
          <w:p w:rsidR="000B5C96" w:rsidRPr="006175AD"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6175AD">
              <w:rPr>
                <w:rFonts w:ascii="Calibri" w:hAnsi="Calibri"/>
                <w:b/>
                <w:szCs w:val="20"/>
              </w:rPr>
              <w:t xml:space="preserve"> 317.3 </w:t>
            </w:r>
          </w:p>
        </w:tc>
      </w:tr>
    </w:tbl>
    <w:p w:rsidR="000B5C96" w:rsidRPr="00E9099B" w:rsidRDefault="000B5C96" w:rsidP="000B6BA7">
      <w:pPr>
        <w:pStyle w:val="Footnotes"/>
        <w:numPr>
          <w:ilvl w:val="0"/>
          <w:numId w:val="338"/>
        </w:numPr>
        <w:ind w:left="284" w:hanging="284"/>
      </w:pPr>
      <w:r w:rsidRPr="00E9099B">
        <w:t xml:space="preserve">A positive number for the fiscal balance indicates a decrease in expenses in accrual terms.  A positive number for the underlying cash balance indicates a decrease in expenses in cash terms.   </w:t>
      </w:r>
    </w:p>
    <w:p w:rsidR="000B5C96" w:rsidRPr="006175AD" w:rsidRDefault="000B5C96" w:rsidP="000B5C96">
      <w:pPr>
        <w:pStyle w:val="Footnotes"/>
        <w:numPr>
          <w:ilvl w:val="0"/>
          <w:numId w:val="7"/>
        </w:numPr>
        <w:ind w:left="284" w:hanging="284"/>
      </w:pPr>
      <w:r w:rsidRPr="006175AD">
        <w:t>Figures may not sum to total due to rounding.</w:t>
      </w:r>
    </w:p>
    <w:p w:rsidR="000B5C96" w:rsidRPr="006175AD" w:rsidRDefault="000B5C96" w:rsidP="000B5C96">
      <w:pPr>
        <w:pStyle w:val="Footnotes"/>
        <w:numPr>
          <w:ilvl w:val="0"/>
          <w:numId w:val="121"/>
        </w:numPr>
        <w:ind w:left="284" w:hanging="284"/>
      </w:pPr>
      <w:r w:rsidRPr="006175AD">
        <w:t>Indicates nil.</w:t>
      </w:r>
    </w:p>
    <w:p w:rsidR="000B5C96" w:rsidRPr="006175AD" w:rsidRDefault="000B5C96" w:rsidP="000B5C96">
      <w:pPr>
        <w:pStyle w:val="Footnotes"/>
        <w:numPr>
          <w:ilvl w:val="0"/>
          <w:numId w:val="7"/>
        </w:numPr>
        <w:ind w:left="284" w:hanging="284"/>
        <w:sectPr w:rsidR="000B5C96" w:rsidRPr="006175AD"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33" w:name="_Toc458001996"/>
      <w:bookmarkStart w:id="234" w:name="_Toc458069481"/>
      <w:r>
        <w:t>GRN092: Coal Export Levy</w:t>
      </w:r>
      <w:bookmarkEnd w:id="233"/>
      <w:bookmarkEnd w:id="234"/>
    </w:p>
    <w:p w:rsidR="000B5C96" w:rsidRPr="008C5B57" w:rsidRDefault="000B5C96" w:rsidP="003F606A">
      <w:pPr>
        <w:pStyle w:val="BodyText"/>
      </w:pPr>
      <w:r>
        <w:rPr>
          <w:noProof/>
          <w:lang w:eastAsia="en-AU"/>
        </w:rPr>
        <w:drawing>
          <wp:inline distT="0" distB="0" distL="0" distR="0" wp14:anchorId="54E79FC6" wp14:editId="54E95595">
            <wp:extent cx="2696845" cy="572135"/>
            <wp:effectExtent l="0" t="0" r="8255" b="0"/>
            <wp:docPr id="58" name="Picture 5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C21ED" w:rsidRDefault="000B5C96" w:rsidP="000B5C96">
      <w:pPr>
        <w:pStyle w:val="Heading6"/>
        <w:numPr>
          <w:ilvl w:val="0"/>
          <w:numId w:val="5"/>
        </w:numPr>
        <w:tabs>
          <w:tab w:val="right" w:pos="1418"/>
          <w:tab w:val="right" w:pos="1701"/>
          <w:tab w:val="right" w:pos="1985"/>
        </w:tabs>
      </w:pPr>
      <w:r w:rsidRPr="00002D5D">
        <w:t>Policy costing—</w:t>
      </w:r>
      <w:r>
        <w:t>2016 post-election report</w:t>
      </w:r>
    </w:p>
    <w:tbl>
      <w:tblPr>
        <w:tblStyle w:val="Style1"/>
        <w:tblW w:w="5000" w:type="pct"/>
        <w:tblLook w:val="04A0" w:firstRow="1" w:lastRow="0" w:firstColumn="1" w:lastColumn="0" w:noHBand="0" w:noVBand="1"/>
      </w:tblPr>
      <w:tblGrid>
        <w:gridCol w:w="3081"/>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sz w:val="22"/>
              </w:rPr>
            </w:pPr>
            <w:r w:rsidRPr="00EA7F7A">
              <w:rPr>
                <w:b/>
                <w:sz w:val="22"/>
              </w:rPr>
              <w:t>Name of proposal:</w:t>
            </w:r>
          </w:p>
        </w:tc>
        <w:tc>
          <w:tcPr>
            <w:tcW w:w="3194" w:type="pct"/>
          </w:tcPr>
          <w:p w:rsidR="000B5C96" w:rsidRPr="00EA7F7A" w:rsidRDefault="000B5C96" w:rsidP="003F606A">
            <w:pPr>
              <w:pStyle w:val="PullOutBoxHeading"/>
              <w:rPr>
                <w:b/>
                <w:sz w:val="22"/>
              </w:rPr>
            </w:pPr>
            <w:r w:rsidRPr="00EA7F7A">
              <w:rPr>
                <w:b/>
                <w:sz w:val="22"/>
              </w:rPr>
              <w:t>Coal Export Levy</w:t>
            </w:r>
          </w:p>
        </w:tc>
      </w:tr>
      <w:tr w:rsidR="000B5C96" w:rsidRPr="00E9099B" w:rsidTr="003F606A">
        <w:tc>
          <w:tcPr>
            <w:tcW w:w="1806" w:type="pct"/>
          </w:tcPr>
          <w:p w:rsidR="000B5C96" w:rsidRPr="00E9099B" w:rsidRDefault="000B5C96" w:rsidP="003F606A">
            <w:pPr>
              <w:pStyle w:val="PullOutBoxBodyText"/>
            </w:pPr>
            <w:r w:rsidRPr="00E9099B">
              <w:t>Summary of proposal:</w:t>
            </w:r>
          </w:p>
        </w:tc>
        <w:tc>
          <w:tcPr>
            <w:tcW w:w="3194" w:type="pct"/>
          </w:tcPr>
          <w:p w:rsidR="000B5C96" w:rsidRPr="00E9099B" w:rsidRDefault="000B5C96" w:rsidP="003F606A">
            <w:pPr>
              <w:pStyle w:val="PullOutBoxBodyText"/>
            </w:pPr>
            <w:r w:rsidRPr="00E9099B">
              <w:t>The proposal would apply a levy of $3 per tonne on exports of thermal coal, from 1 September 2016.</w:t>
            </w:r>
          </w:p>
          <w:p w:rsidR="000B5C96" w:rsidRPr="00E9099B" w:rsidRDefault="000B5C96" w:rsidP="003F606A">
            <w:pPr>
              <w:pStyle w:val="PullOutBoxBodyText"/>
            </w:pPr>
            <w:r w:rsidRPr="00E9099B">
              <w:t>The levy would not be a deductible expense for company tax purposes.</w:t>
            </w:r>
          </w:p>
        </w:tc>
      </w:tr>
      <w:tr w:rsidR="000B5C96" w:rsidRPr="00E9099B" w:rsidTr="003F606A">
        <w:tc>
          <w:tcPr>
            <w:tcW w:w="1806" w:type="pct"/>
          </w:tcPr>
          <w:p w:rsidR="000B5C96" w:rsidRPr="00E9099B" w:rsidRDefault="000B5C96" w:rsidP="003F606A">
            <w:pPr>
              <w:pStyle w:val="PullOutBoxBodyText"/>
            </w:pPr>
            <w:r w:rsidRPr="00E9099B">
              <w:t>Party:</w:t>
            </w:r>
          </w:p>
        </w:tc>
        <w:tc>
          <w:tcPr>
            <w:tcW w:w="3194" w:type="pct"/>
          </w:tcPr>
          <w:p w:rsidR="000B5C96" w:rsidRPr="00E9099B" w:rsidRDefault="000B5C96" w:rsidP="003F606A">
            <w:pPr>
              <w:pStyle w:val="PullOutBoxBodyText"/>
            </w:pPr>
            <w:r w:rsidRPr="00E9099B">
              <w:t>Australian Greens</w:t>
            </w:r>
          </w:p>
        </w:tc>
      </w:tr>
      <w:tr w:rsidR="000B5C96" w:rsidRPr="00E9099B" w:rsidTr="003F606A">
        <w:tc>
          <w:tcPr>
            <w:tcW w:w="1806" w:type="pct"/>
          </w:tcPr>
          <w:p w:rsidR="000B5C96" w:rsidRPr="00E9099B" w:rsidRDefault="000B5C96" w:rsidP="003F606A">
            <w:pPr>
              <w:pStyle w:val="PullOutBoxBodyText"/>
            </w:pPr>
            <w:r w:rsidRPr="00E9099B">
              <w:t>Expiry date for the costing:</w:t>
            </w:r>
          </w:p>
        </w:tc>
        <w:tc>
          <w:tcPr>
            <w:tcW w:w="3194" w:type="pct"/>
          </w:tcPr>
          <w:p w:rsidR="000B5C96" w:rsidRPr="00E9099B" w:rsidRDefault="000B5C96" w:rsidP="003F606A">
            <w:pPr>
              <w:pStyle w:val="PullOutBoxBodyText"/>
            </w:pPr>
            <w:r w:rsidRPr="00E9099B">
              <w:t>Release of the next economic and fiscal update</w:t>
            </w:r>
          </w:p>
        </w:tc>
      </w:tr>
    </w:tbl>
    <w:p w:rsidR="000B5C96" w:rsidRPr="00002D5D" w:rsidRDefault="000B5C96" w:rsidP="003F606A">
      <w:pPr>
        <w:pStyle w:val="CostingsH7"/>
      </w:pPr>
      <w:r w:rsidRPr="00002D5D">
        <w:t>Costing overview</w:t>
      </w:r>
    </w:p>
    <w:p w:rsidR="000B5C96" w:rsidRDefault="000B5C96" w:rsidP="003F606A">
      <w:pPr>
        <w:pStyle w:val="BodyText"/>
      </w:pPr>
      <w:r w:rsidRPr="001F08EB">
        <w:t xml:space="preserve">This proposal would be expected to increase the fiscal balance by $2,438 million </w:t>
      </w:r>
      <w:r>
        <w:t xml:space="preserve">and increase the </w:t>
      </w:r>
      <w:r w:rsidRPr="001F08EB">
        <w:t>underlying cash balance by $2,288 million over the 2016</w:t>
      </w:r>
      <w:r>
        <w:t>-</w:t>
      </w:r>
      <w:r w:rsidRPr="001F08EB">
        <w:t xml:space="preserve">17 Budget forward estimates period.  On a fiscal balance basis, the impact would reflect an increase in taxation revenue of $2,450 million and an increase in departmental expenses of $12 million. </w:t>
      </w:r>
    </w:p>
    <w:p w:rsidR="000B5C96" w:rsidRDefault="000B5C96" w:rsidP="003F606A">
      <w:pPr>
        <w:pStyle w:val="BodyText"/>
      </w:pPr>
      <w:r w:rsidRPr="00882EA7">
        <w:t xml:space="preserve">This proposal </w:t>
      </w:r>
      <w:r>
        <w:t xml:space="preserve">would be expected to have an ongoing impact that </w:t>
      </w:r>
      <w:r w:rsidRPr="00882EA7">
        <w:t xml:space="preserve">extends beyond the </w:t>
      </w:r>
      <w:r>
        <w:t>2016</w:t>
      </w:r>
      <w:r>
        <w:noBreakHyphen/>
        <w:t xml:space="preserve">17 Budget </w:t>
      </w:r>
      <w:r w:rsidRPr="00882EA7">
        <w:t>forward estimates period.</w:t>
      </w:r>
    </w:p>
    <w:p w:rsidR="000B5C96" w:rsidRDefault="000B5C96" w:rsidP="003F606A">
      <w:pPr>
        <w:pStyle w:val="BodyText"/>
      </w:pPr>
      <w:r>
        <w:t xml:space="preserve">Detailed financial implications are provided at </w:t>
      </w:r>
      <w:r>
        <w:rPr>
          <w:u w:val="single"/>
        </w:rPr>
        <w:t>Attachment A</w:t>
      </w:r>
      <w:r>
        <w:t>.</w:t>
      </w:r>
    </w:p>
    <w:p w:rsidR="000B5C96" w:rsidRDefault="000B5C96" w:rsidP="003F606A">
      <w:pPr>
        <w:pStyle w:val="BodyText"/>
      </w:pPr>
      <w:r w:rsidRPr="000A7C92">
        <w:t xml:space="preserve">The underlying cash balance impact of this proposal differs from the fiscal balance impact because the levy </w:t>
      </w:r>
      <w:r>
        <w:t xml:space="preserve">would </w:t>
      </w:r>
      <w:r w:rsidRPr="000A7C92">
        <w:t xml:space="preserve">be calculated when coal is exported but payment of the levy </w:t>
      </w:r>
      <w:r>
        <w:t xml:space="preserve">would </w:t>
      </w:r>
      <w:r w:rsidRPr="000A7C92">
        <w:t xml:space="preserve">occur in the following quarter.  </w:t>
      </w:r>
    </w:p>
    <w:p w:rsidR="000B5C96" w:rsidRDefault="000B5C96" w:rsidP="003F606A">
      <w:pPr>
        <w:pStyle w:val="BodyText"/>
      </w:pPr>
      <w:r w:rsidRPr="000A7C92">
        <w:t>While the collection of the levy is expected to involve little change to Australian Taxation Office (ATO) tax administration arrangements, ATO enforcement and compliance costs would be expected to increase by $3 million per annum in response to the implementation of the proposed levy.</w:t>
      </w:r>
    </w:p>
    <w:p w:rsidR="000B5C96" w:rsidRDefault="000B5C96" w:rsidP="003F606A">
      <w:pPr>
        <w:pStyle w:val="BodyText"/>
      </w:pPr>
      <w:r w:rsidRPr="000A7C92">
        <w:t xml:space="preserve">This costing is considered to be of medium reliability. </w:t>
      </w:r>
      <w:r>
        <w:t xml:space="preserve"> </w:t>
      </w:r>
      <w:r w:rsidRPr="000A7C92">
        <w:t>It is based on forecasts of thermal coal export volumes from the Department of Industry, Innovation and Science</w:t>
      </w:r>
      <w:r>
        <w:t xml:space="preserve"> (DIIS)</w:t>
      </w:r>
      <w:r w:rsidRPr="000A7C92">
        <w:t>.  While there could be a behavioural response to the proposed levy, reducing the volume of thermal coal exports, the timing and magnitude of this response is highly uncertain.</w:t>
      </w:r>
    </w:p>
    <w:p w:rsidR="000B5C96" w:rsidRPr="00E9099B" w:rsidRDefault="000B5C96" w:rsidP="003F606A">
      <w:pPr>
        <w:pStyle w:val="Caption"/>
      </w:pPr>
      <w:r w:rsidRPr="00E9099B">
        <w:t>Table 1: Financial implications (outturn prices)</w:t>
      </w:r>
      <w:r w:rsidRPr="00E9099B">
        <w:rPr>
          <w:vertAlign w:val="superscript"/>
        </w:rPr>
        <w:t>(a)(b)</w:t>
      </w:r>
    </w:p>
    <w:tbl>
      <w:tblPr>
        <w:tblStyle w:val="TableGrid96"/>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6"/>
        <w:gridCol w:w="1134"/>
        <w:gridCol w:w="1135"/>
        <w:gridCol w:w="1135"/>
        <w:gridCol w:w="1135"/>
        <w:gridCol w:w="1133"/>
      </w:tblGrid>
      <w:tr w:rsidR="000B5C96" w:rsidRPr="00E9099B"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rPr>
                <w:szCs w:val="20"/>
              </w:rPr>
            </w:pPr>
            <w:r w:rsidRPr="00E9099B">
              <w:rPr>
                <w:szCs w:val="20"/>
              </w:rPr>
              <w:t>Impact on ($m)</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9099B">
              <w:rPr>
                <w:szCs w:val="20"/>
              </w:rPr>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9099B">
              <w:rPr>
                <w:szCs w:val="20"/>
              </w:rPr>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E9099B">
              <w:rPr>
                <w:szCs w:val="20"/>
              </w:rPr>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9099B">
              <w:rPr>
                <w:szCs w:val="20"/>
              </w:rPr>
              <w:t>2019–20</w:t>
            </w:r>
          </w:p>
        </w:tc>
        <w:tc>
          <w:tcPr>
            <w:tcW w:w="681"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9099B">
              <w:rPr>
                <w:b/>
                <w:szCs w:val="20"/>
              </w:rPr>
              <w:t>Total</w:t>
            </w:r>
          </w:p>
        </w:tc>
      </w:tr>
      <w:tr w:rsidR="000B5C96" w:rsidRPr="00E909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ind w:left="57" w:right="57"/>
              <w:rPr>
                <w:szCs w:val="20"/>
              </w:rPr>
            </w:pPr>
            <w:r w:rsidRPr="00E9099B">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9099B">
              <w:rPr>
                <w:rFonts w:ascii="Calibri" w:hAnsi="Calibri"/>
                <w:szCs w:val="20"/>
              </w:rPr>
              <w:t>497.0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9099B">
              <w:rPr>
                <w:rFonts w:ascii="Calibri" w:hAnsi="Calibri"/>
                <w:szCs w:val="20"/>
              </w:rPr>
              <w:t>647.0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9099B">
              <w:rPr>
                <w:rFonts w:ascii="Calibri" w:hAnsi="Calibri"/>
                <w:szCs w:val="20"/>
              </w:rPr>
              <w:t>647.0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E9099B">
              <w:rPr>
                <w:rFonts w:ascii="Calibri" w:hAnsi="Calibri"/>
                <w:szCs w:val="20"/>
              </w:rPr>
              <w:t>647.0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E9099B">
              <w:rPr>
                <w:rFonts w:ascii="Calibri" w:hAnsi="Calibri"/>
                <w:b/>
                <w:szCs w:val="20"/>
              </w:rPr>
              <w:t>2,438.0</w:t>
            </w:r>
          </w:p>
        </w:tc>
      </w:tr>
      <w:tr w:rsidR="000B5C96" w:rsidRPr="00E9099B"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ind w:left="57" w:right="57"/>
              <w:rPr>
                <w:szCs w:val="20"/>
              </w:rPr>
            </w:pPr>
            <w:r w:rsidRPr="00E9099B">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cnfStyle w:val="000000010000" w:firstRow="0" w:lastRow="0" w:firstColumn="0" w:lastColumn="0" w:oddVBand="0" w:evenVBand="0" w:oddHBand="0" w:evenHBand="1" w:firstRowFirstColumn="0" w:firstRowLastColumn="0" w:lastRowFirstColumn="0" w:lastRowLastColumn="0"/>
              <w:rPr>
                <w:szCs w:val="20"/>
              </w:rPr>
            </w:pPr>
            <w:r w:rsidRPr="00E9099B">
              <w:rPr>
                <w:szCs w:val="20"/>
              </w:rPr>
              <w:t>347.0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cnfStyle w:val="000000010000" w:firstRow="0" w:lastRow="0" w:firstColumn="0" w:lastColumn="0" w:oddVBand="0" w:evenVBand="0" w:oddHBand="0" w:evenHBand="1" w:firstRowFirstColumn="0" w:firstRowLastColumn="0" w:lastRowFirstColumn="0" w:lastRowLastColumn="0"/>
              <w:rPr>
                <w:szCs w:val="20"/>
              </w:rPr>
            </w:pPr>
            <w:r w:rsidRPr="00E9099B">
              <w:rPr>
                <w:szCs w:val="20"/>
              </w:rPr>
              <w:t>647.0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cnfStyle w:val="000000010000" w:firstRow="0" w:lastRow="0" w:firstColumn="0" w:lastColumn="0" w:oddVBand="0" w:evenVBand="0" w:oddHBand="0" w:evenHBand="1" w:firstRowFirstColumn="0" w:firstRowLastColumn="0" w:lastRowFirstColumn="0" w:lastRowLastColumn="0"/>
              <w:rPr>
                <w:szCs w:val="20"/>
              </w:rPr>
            </w:pPr>
            <w:r w:rsidRPr="00E9099B">
              <w:rPr>
                <w:szCs w:val="20"/>
              </w:rPr>
              <w:t>647.0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cnfStyle w:val="000000010000" w:firstRow="0" w:lastRow="0" w:firstColumn="0" w:lastColumn="0" w:oddVBand="0" w:evenVBand="0" w:oddHBand="0" w:evenHBand="1" w:firstRowFirstColumn="0" w:firstRowLastColumn="0" w:lastRowFirstColumn="0" w:lastRowLastColumn="0"/>
              <w:rPr>
                <w:szCs w:val="20"/>
              </w:rPr>
            </w:pPr>
            <w:r w:rsidRPr="00E9099B">
              <w:rPr>
                <w:szCs w:val="20"/>
              </w:rPr>
              <w:t>647.0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cnfStyle w:val="000000010000" w:firstRow="0" w:lastRow="0" w:firstColumn="0" w:lastColumn="0" w:oddVBand="0" w:evenVBand="0" w:oddHBand="0" w:evenHBand="1" w:firstRowFirstColumn="0" w:firstRowLastColumn="0" w:lastRowFirstColumn="0" w:lastRowLastColumn="0"/>
              <w:rPr>
                <w:b/>
                <w:szCs w:val="20"/>
              </w:rPr>
            </w:pPr>
            <w:r w:rsidRPr="00E9099B">
              <w:rPr>
                <w:b/>
                <w:szCs w:val="20"/>
              </w:rPr>
              <w:t>2,288.0</w:t>
            </w:r>
          </w:p>
        </w:tc>
      </w:tr>
    </w:tbl>
    <w:p w:rsidR="000B5C96" w:rsidRPr="00E9099B" w:rsidRDefault="000B5C96" w:rsidP="000B6BA7">
      <w:pPr>
        <w:pStyle w:val="Footnotes"/>
        <w:numPr>
          <w:ilvl w:val="0"/>
          <w:numId w:val="339"/>
        </w:numPr>
        <w:ind w:left="284" w:hanging="284"/>
      </w:pPr>
      <w:r w:rsidRPr="00E9099B">
        <w:t>A positive number indicates an increase in the relevant budget balance, a negative number a decrease.</w:t>
      </w:r>
    </w:p>
    <w:p w:rsidR="000B5C96" w:rsidRPr="00E9099B" w:rsidRDefault="000B5C96" w:rsidP="000B5C96">
      <w:pPr>
        <w:pStyle w:val="Footnotes"/>
        <w:numPr>
          <w:ilvl w:val="0"/>
          <w:numId w:val="7"/>
        </w:numPr>
        <w:ind w:left="284" w:hanging="284"/>
      </w:pPr>
      <w:r w:rsidRPr="00E9099B">
        <w:t>Figures may not sum to totals due to rounding.</w:t>
      </w:r>
    </w:p>
    <w:p w:rsidR="000B5C96" w:rsidRPr="00E9099B" w:rsidRDefault="000B5C96" w:rsidP="003F606A">
      <w:pPr>
        <w:pStyle w:val="CostingsH7"/>
      </w:pPr>
      <w:r w:rsidRPr="00E9099B">
        <w:t>Key assumptions</w:t>
      </w:r>
    </w:p>
    <w:p w:rsidR="000B5C96" w:rsidRPr="00E9099B" w:rsidRDefault="000B5C96" w:rsidP="003F606A">
      <w:pPr>
        <w:pStyle w:val="BodyText"/>
      </w:pPr>
      <w:r w:rsidRPr="00E9099B">
        <w:t>The Parliamentary Budget Office (PBO) has made the following assumptions:</w:t>
      </w:r>
    </w:p>
    <w:p w:rsidR="000B5C96" w:rsidRPr="00E9099B" w:rsidRDefault="000B5C96" w:rsidP="000B5C96">
      <w:pPr>
        <w:pStyle w:val="ListBullet"/>
        <w:numPr>
          <w:ilvl w:val="0"/>
          <w:numId w:val="123"/>
        </w:numPr>
        <w:ind w:left="454" w:hanging="454"/>
        <w:rPr>
          <w:lang w:eastAsia="en-AU"/>
        </w:rPr>
      </w:pPr>
      <w:r w:rsidRPr="00E9099B">
        <w:rPr>
          <w:lang w:eastAsia="en-AU"/>
        </w:rPr>
        <w:t>The levy is paid via quarterly instalments following the completion of a quarter such that in the first financial year of the proposal, four quarterly instalments would be accrued but only three quarterly instalment payments would be received.</w:t>
      </w:r>
    </w:p>
    <w:p w:rsidR="000B5C96" w:rsidRPr="00E9099B" w:rsidRDefault="000B5C96" w:rsidP="000B5C96">
      <w:pPr>
        <w:pStyle w:val="ListBullet"/>
        <w:numPr>
          <w:ilvl w:val="0"/>
          <w:numId w:val="123"/>
        </w:numPr>
        <w:ind w:left="454" w:hanging="454"/>
        <w:rPr>
          <w:lang w:eastAsia="en-AU"/>
        </w:rPr>
      </w:pPr>
      <w:r w:rsidRPr="00E9099B">
        <w:rPr>
          <w:lang w:eastAsia="en-AU"/>
        </w:rPr>
        <w:t>The levy would not impact the level of coal exports over the 2016-17 Budget forward estimates period, with any behavioural response assumed to be beyond the 2016</w:t>
      </w:r>
      <w:r w:rsidRPr="00E9099B">
        <w:rPr>
          <w:lang w:eastAsia="en-AU"/>
        </w:rPr>
        <w:noBreakHyphen/>
        <w:t>17 Budget forward estimates period.</w:t>
      </w:r>
    </w:p>
    <w:p w:rsidR="000B5C96" w:rsidRPr="00E9099B" w:rsidRDefault="000B5C96" w:rsidP="000B5C96">
      <w:pPr>
        <w:pStyle w:val="ListBullet"/>
        <w:numPr>
          <w:ilvl w:val="0"/>
          <w:numId w:val="123"/>
        </w:numPr>
        <w:ind w:left="454" w:hanging="454"/>
        <w:rPr>
          <w:lang w:eastAsia="en-AU"/>
        </w:rPr>
      </w:pPr>
      <w:r w:rsidRPr="00E9099B">
        <w:rPr>
          <w:lang w:eastAsia="en-AU"/>
        </w:rPr>
        <w:t>The imposition of the non-deductible levy does not have flow-on impacts to the level of dividends paid or franking credits distributed by companies to their shareholders.</w:t>
      </w:r>
    </w:p>
    <w:p w:rsidR="000B5C96" w:rsidRPr="00E9099B" w:rsidRDefault="000B5C96" w:rsidP="000B5C96">
      <w:pPr>
        <w:pStyle w:val="ListBullet"/>
        <w:numPr>
          <w:ilvl w:val="0"/>
          <w:numId w:val="123"/>
        </w:numPr>
        <w:ind w:left="454" w:hanging="454"/>
        <w:rPr>
          <w:lang w:eastAsia="en-AU"/>
        </w:rPr>
      </w:pPr>
      <w:r w:rsidRPr="00E9099B">
        <w:rPr>
          <w:lang w:eastAsia="en-AU"/>
        </w:rPr>
        <w:t xml:space="preserve">Annual thermal coal exports are assumed to be evenly distributed throughout the year. </w:t>
      </w:r>
    </w:p>
    <w:p w:rsidR="000B5C96" w:rsidRPr="00E9099B" w:rsidRDefault="000B5C96" w:rsidP="000B5C96">
      <w:pPr>
        <w:pStyle w:val="ListBullet"/>
        <w:numPr>
          <w:ilvl w:val="0"/>
          <w:numId w:val="123"/>
        </w:numPr>
        <w:ind w:left="454" w:hanging="454"/>
        <w:rPr>
          <w:lang w:eastAsia="en-AU"/>
        </w:rPr>
      </w:pPr>
      <w:r w:rsidRPr="00E9099B">
        <w:rPr>
          <w:lang w:eastAsia="en-AU"/>
        </w:rPr>
        <w:t xml:space="preserve">The proposal is able to be implemented in a way that is consistent with Australia’s obligations under international tax and trade agreements. </w:t>
      </w:r>
    </w:p>
    <w:p w:rsidR="000B5C96" w:rsidRPr="00E9099B" w:rsidRDefault="000B5C96" w:rsidP="003F606A">
      <w:pPr>
        <w:pStyle w:val="CostingsH7"/>
      </w:pPr>
      <w:r w:rsidRPr="00E9099B">
        <w:t>Methodology</w:t>
      </w:r>
    </w:p>
    <w:p w:rsidR="000B5C96" w:rsidRPr="00E9099B" w:rsidRDefault="000B5C96" w:rsidP="003F606A">
      <w:pPr>
        <w:pStyle w:val="BodyText"/>
      </w:pPr>
      <w:r w:rsidRPr="00E9099B">
        <w:t>The PBO estimated the fiscal balance impact of the levy revenue by applying a $3 per tonne levy on thermal coal export volume forecasts over the forward estimates period.  The underlying cash balance impact is estimated by adjusting the amount of levy received to reflect the timing of levy payments.</w:t>
      </w:r>
    </w:p>
    <w:p w:rsidR="000B5C96" w:rsidRPr="00E9099B" w:rsidRDefault="000B5C96" w:rsidP="003F606A">
      <w:pPr>
        <w:pStyle w:val="BodyText"/>
      </w:pPr>
      <w:r w:rsidRPr="00E9099B">
        <w:t xml:space="preserve">Coal levy revenue impacts have been rounded to the nearest $50 million.  Departmental impacts have been rounded to the nearest $1 million. </w:t>
      </w:r>
    </w:p>
    <w:p w:rsidR="000B5C96" w:rsidRPr="00E9099B" w:rsidRDefault="000B5C96" w:rsidP="003F606A">
      <w:pPr>
        <w:pStyle w:val="CostingsH7"/>
      </w:pPr>
      <w:r w:rsidRPr="00E9099B">
        <w:t>Data sources</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r w:rsidRPr="00E9099B">
        <w:t>DIIS, Office of the Chief Economist, Resources and Energy Quarterly, March 2016</w:t>
      </w:r>
    </w:p>
    <w:p w:rsidR="000B5C96" w:rsidRPr="00E9099B" w:rsidRDefault="000B5C96" w:rsidP="000B5C96">
      <w:pPr>
        <w:pStyle w:val="Heading6"/>
        <w:numPr>
          <w:ilvl w:val="0"/>
          <w:numId w:val="5"/>
        </w:numPr>
        <w:tabs>
          <w:tab w:val="right" w:pos="1418"/>
          <w:tab w:val="right" w:pos="1701"/>
          <w:tab w:val="right" w:pos="1985"/>
        </w:tabs>
      </w:pPr>
      <w:r w:rsidRPr="00E9099B">
        <w:t>Attachment A: Coal Export Levy—financial implications</w:t>
      </w:r>
    </w:p>
    <w:p w:rsidR="000B5C96" w:rsidRPr="00E9099B" w:rsidRDefault="000B5C96" w:rsidP="003F606A">
      <w:pPr>
        <w:pStyle w:val="Caption"/>
      </w:pPr>
      <w:r w:rsidRPr="00E9099B">
        <w:t>Table A1: Coal Export Levy—Fiscal balance</w:t>
      </w:r>
      <w:r w:rsidRPr="00E9099B">
        <w:rPr>
          <w:vertAlign w:val="superscript"/>
        </w:rPr>
        <w:t>(a)(b)</w:t>
      </w:r>
    </w:p>
    <w:tbl>
      <w:tblPr>
        <w:tblStyle w:val="TableGrid9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E9099B"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rPr>
                <w:b/>
                <w:szCs w:val="20"/>
              </w:rPr>
            </w:pPr>
            <w:r w:rsidRPr="00E9099B">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9099B">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9099B">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9099B">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9099B">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E9099B">
              <w:rPr>
                <w:b/>
              </w:rPr>
              <w:t>Total to 2019–20</w:t>
            </w:r>
          </w:p>
        </w:tc>
      </w:tr>
      <w:tr w:rsidR="000B5C96" w:rsidRPr="00E909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ind w:left="57" w:right="57"/>
              <w:rPr>
                <w:szCs w:val="20"/>
              </w:rPr>
            </w:pPr>
            <w:r w:rsidRPr="00E9099B">
              <w:rPr>
                <w:szCs w:val="20"/>
              </w:rPr>
              <w:t>Coal export levy revenue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E9099B">
              <w:rPr>
                <w:rFonts w:ascii="Calibri" w:hAnsi="Calibri"/>
                <w:i/>
              </w:rPr>
              <w:t>500.0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E9099B">
              <w:rPr>
                <w:rFonts w:ascii="Calibri" w:hAnsi="Calibri"/>
                <w:i/>
              </w:rPr>
              <w:t>650.0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E9099B">
              <w:rPr>
                <w:rFonts w:ascii="Calibri" w:hAnsi="Calibri"/>
                <w:i/>
              </w:rPr>
              <w:t>650.0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E9099B">
              <w:rPr>
                <w:rFonts w:ascii="Calibri" w:hAnsi="Calibri"/>
                <w:i/>
              </w:rPr>
              <w:t>650.0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E9099B">
              <w:rPr>
                <w:rFonts w:ascii="Calibri" w:hAnsi="Calibri"/>
                <w:b/>
                <w:i/>
              </w:rPr>
              <w:t>2,450.0</w:t>
            </w:r>
          </w:p>
        </w:tc>
      </w:tr>
      <w:tr w:rsidR="000B5C96" w:rsidRPr="00E9099B"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ind w:left="57" w:right="57"/>
              <w:rPr>
                <w:szCs w:val="20"/>
              </w:rPr>
            </w:pPr>
            <w:r w:rsidRPr="00E9099B">
              <w:rPr>
                <w:szCs w:val="20"/>
              </w:rPr>
              <w:t xml:space="preserve">Departmental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cnfStyle w:val="000000010000" w:firstRow="0" w:lastRow="0" w:firstColumn="0" w:lastColumn="0" w:oddVBand="0" w:evenVBand="0" w:oddHBand="0" w:evenHBand="1" w:firstRowFirstColumn="0" w:firstRowLastColumn="0" w:lastRowFirstColumn="0" w:lastRowLastColumn="0"/>
              <w:rPr>
                <w:i/>
              </w:rPr>
            </w:pPr>
            <w:r w:rsidRPr="00E9099B">
              <w:rPr>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cnfStyle w:val="000000010000" w:firstRow="0" w:lastRow="0" w:firstColumn="0" w:lastColumn="0" w:oddVBand="0" w:evenVBand="0" w:oddHBand="0" w:evenHBand="1" w:firstRowFirstColumn="0" w:firstRowLastColumn="0" w:lastRowFirstColumn="0" w:lastRowLastColumn="0"/>
              <w:rPr>
                <w:i/>
              </w:rPr>
            </w:pPr>
            <w:r w:rsidRPr="00E9099B">
              <w:rPr>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cnfStyle w:val="000000010000" w:firstRow="0" w:lastRow="0" w:firstColumn="0" w:lastColumn="0" w:oddVBand="0" w:evenVBand="0" w:oddHBand="0" w:evenHBand="1" w:firstRowFirstColumn="0" w:firstRowLastColumn="0" w:lastRowFirstColumn="0" w:lastRowLastColumn="0"/>
              <w:rPr>
                <w:i/>
              </w:rPr>
            </w:pPr>
            <w:r w:rsidRPr="00E9099B">
              <w:rPr>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cnfStyle w:val="000000010000" w:firstRow="0" w:lastRow="0" w:firstColumn="0" w:lastColumn="0" w:oddVBand="0" w:evenVBand="0" w:oddHBand="0" w:evenHBand="1" w:firstRowFirstColumn="0" w:firstRowLastColumn="0" w:lastRowFirstColumn="0" w:lastRowLastColumn="0"/>
              <w:rPr>
                <w:i/>
              </w:rPr>
            </w:pPr>
            <w:r w:rsidRPr="00E9099B">
              <w:rPr>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cnfStyle w:val="000000010000" w:firstRow="0" w:lastRow="0" w:firstColumn="0" w:lastColumn="0" w:oddVBand="0" w:evenVBand="0" w:oddHBand="0" w:evenHBand="1" w:firstRowFirstColumn="0" w:firstRowLastColumn="0" w:lastRowFirstColumn="0" w:lastRowLastColumn="0"/>
              <w:rPr>
                <w:b/>
                <w:i/>
              </w:rPr>
            </w:pPr>
            <w:r w:rsidRPr="00E9099B">
              <w:rPr>
                <w:b/>
                <w:i/>
              </w:rPr>
              <w:t>-12.0</w:t>
            </w:r>
          </w:p>
        </w:tc>
      </w:tr>
      <w:tr w:rsidR="000B5C96" w:rsidRPr="00E909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ind w:left="57" w:right="57"/>
              <w:rPr>
                <w:b/>
                <w:szCs w:val="20"/>
              </w:rPr>
            </w:pPr>
            <w:r w:rsidRPr="00E9099B">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9099B">
              <w:rPr>
                <w:rFonts w:ascii="Calibri" w:hAnsi="Calibri"/>
                <w:b/>
              </w:rPr>
              <w:t>497.0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9099B">
              <w:rPr>
                <w:rFonts w:ascii="Calibri" w:hAnsi="Calibri"/>
                <w:b/>
              </w:rPr>
              <w:t>647.0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9099B">
              <w:rPr>
                <w:rFonts w:ascii="Calibri" w:hAnsi="Calibri"/>
                <w:b/>
              </w:rPr>
              <w:t>647.0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9099B">
              <w:rPr>
                <w:rFonts w:ascii="Calibri" w:hAnsi="Calibri"/>
                <w:b/>
              </w:rPr>
              <w:t>647.0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9099B">
              <w:rPr>
                <w:rFonts w:ascii="Calibri" w:hAnsi="Calibri"/>
                <w:b/>
              </w:rPr>
              <w:t>2,438.0</w:t>
            </w:r>
          </w:p>
        </w:tc>
      </w:tr>
    </w:tbl>
    <w:p w:rsidR="000B5C96" w:rsidRDefault="000B5C96" w:rsidP="000B6BA7">
      <w:pPr>
        <w:pStyle w:val="Footnotes"/>
        <w:numPr>
          <w:ilvl w:val="0"/>
          <w:numId w:val="340"/>
        </w:numPr>
        <w:ind w:left="284" w:hanging="284"/>
      </w:pPr>
      <w:r w:rsidRPr="00E9099B">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E9099B" w:rsidRDefault="000B5C96" w:rsidP="000B5C96">
      <w:pPr>
        <w:pStyle w:val="Footnotes"/>
        <w:numPr>
          <w:ilvl w:val="0"/>
          <w:numId w:val="7"/>
        </w:numPr>
        <w:ind w:left="284" w:hanging="284"/>
      </w:pPr>
      <w:r w:rsidRPr="00E9099B">
        <w:t>Figures may not sum to totals due to rounding.</w:t>
      </w:r>
    </w:p>
    <w:p w:rsidR="000B5C96" w:rsidRPr="00E9099B" w:rsidRDefault="000B5C96" w:rsidP="003F606A">
      <w:pPr>
        <w:pStyle w:val="Caption"/>
        <w:rPr>
          <w:vertAlign w:val="superscript"/>
        </w:rPr>
      </w:pPr>
      <w:r w:rsidRPr="00E9099B">
        <w:t>Table A2: Coal Export Levy—Underlying cash balance</w:t>
      </w:r>
      <w:r w:rsidRPr="00E9099B">
        <w:rPr>
          <w:vertAlign w:val="superscript"/>
        </w:rPr>
        <w:t>(a)(b)</w:t>
      </w:r>
    </w:p>
    <w:tbl>
      <w:tblPr>
        <w:tblStyle w:val="TableGrid9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E9099B"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rPr>
                <w:b/>
                <w:szCs w:val="20"/>
              </w:rPr>
            </w:pPr>
            <w:r w:rsidRPr="00E9099B">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9099B">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9099B">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9099B">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9099B">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E9099B"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E9099B">
              <w:rPr>
                <w:b/>
              </w:rPr>
              <w:t>Total</w:t>
            </w:r>
            <w:r w:rsidRPr="00E9099B">
              <w:rPr>
                <w:b/>
                <w:szCs w:val="20"/>
              </w:rPr>
              <w:t xml:space="preserve"> to 2019–20</w:t>
            </w:r>
          </w:p>
        </w:tc>
      </w:tr>
      <w:tr w:rsidR="000B5C96" w:rsidRPr="00E909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ind w:left="57" w:right="57"/>
              <w:rPr>
                <w:szCs w:val="20"/>
              </w:rPr>
            </w:pPr>
            <w:r w:rsidRPr="00E9099B">
              <w:rPr>
                <w:szCs w:val="20"/>
              </w:rPr>
              <w:t>Coal export levy receipts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E9099B">
              <w:rPr>
                <w:rFonts w:ascii="Calibri" w:hAnsi="Calibri"/>
                <w:i/>
              </w:rPr>
              <w:t>350.0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E9099B">
              <w:rPr>
                <w:rFonts w:ascii="Calibri" w:hAnsi="Calibri"/>
                <w:i/>
              </w:rPr>
              <w:t>650.0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E9099B">
              <w:rPr>
                <w:rFonts w:ascii="Calibri" w:hAnsi="Calibri"/>
                <w:i/>
              </w:rPr>
              <w:t>650.0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E9099B">
              <w:rPr>
                <w:rFonts w:ascii="Calibri" w:hAnsi="Calibri"/>
                <w:i/>
              </w:rPr>
              <w:t>650.0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E9099B">
              <w:rPr>
                <w:rFonts w:ascii="Calibri" w:hAnsi="Calibri"/>
                <w:b/>
                <w:i/>
              </w:rPr>
              <w:t>2,300.0</w:t>
            </w:r>
          </w:p>
        </w:tc>
      </w:tr>
      <w:tr w:rsidR="000B5C96" w:rsidRPr="00E9099B"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ind w:left="57" w:right="57"/>
              <w:rPr>
                <w:szCs w:val="20"/>
              </w:rPr>
            </w:pPr>
            <w:r w:rsidRPr="00E9099B">
              <w:rPr>
                <w:szCs w:val="20"/>
              </w:rPr>
              <w:t xml:space="preserve">Departmental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cnfStyle w:val="000000010000" w:firstRow="0" w:lastRow="0" w:firstColumn="0" w:lastColumn="0" w:oddVBand="0" w:evenVBand="0" w:oddHBand="0" w:evenHBand="1" w:firstRowFirstColumn="0" w:firstRowLastColumn="0" w:lastRowFirstColumn="0" w:lastRowLastColumn="0"/>
              <w:rPr>
                <w:i/>
              </w:rPr>
            </w:pPr>
            <w:r w:rsidRPr="00E9099B">
              <w:rPr>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cnfStyle w:val="000000010000" w:firstRow="0" w:lastRow="0" w:firstColumn="0" w:lastColumn="0" w:oddVBand="0" w:evenVBand="0" w:oddHBand="0" w:evenHBand="1" w:firstRowFirstColumn="0" w:firstRowLastColumn="0" w:lastRowFirstColumn="0" w:lastRowLastColumn="0"/>
              <w:rPr>
                <w:i/>
              </w:rPr>
            </w:pPr>
            <w:r w:rsidRPr="00E9099B">
              <w:rPr>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cnfStyle w:val="000000010000" w:firstRow="0" w:lastRow="0" w:firstColumn="0" w:lastColumn="0" w:oddVBand="0" w:evenVBand="0" w:oddHBand="0" w:evenHBand="1" w:firstRowFirstColumn="0" w:firstRowLastColumn="0" w:lastRowFirstColumn="0" w:lastRowLastColumn="0"/>
              <w:rPr>
                <w:i/>
              </w:rPr>
            </w:pPr>
            <w:r w:rsidRPr="00E9099B">
              <w:rPr>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cnfStyle w:val="000000010000" w:firstRow="0" w:lastRow="0" w:firstColumn="0" w:lastColumn="0" w:oddVBand="0" w:evenVBand="0" w:oddHBand="0" w:evenHBand="1" w:firstRowFirstColumn="0" w:firstRowLastColumn="0" w:lastRowFirstColumn="0" w:lastRowLastColumn="0"/>
              <w:rPr>
                <w:i/>
              </w:rPr>
            </w:pPr>
            <w:r w:rsidRPr="00E9099B">
              <w:rPr>
                <w:i/>
              </w:rPr>
              <w:t>-3.0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cnfStyle w:val="000000010000" w:firstRow="0" w:lastRow="0" w:firstColumn="0" w:lastColumn="0" w:oddVBand="0" w:evenVBand="0" w:oddHBand="0" w:evenHBand="1" w:firstRowFirstColumn="0" w:firstRowLastColumn="0" w:lastRowFirstColumn="0" w:lastRowLastColumn="0"/>
              <w:rPr>
                <w:b/>
                <w:i/>
              </w:rPr>
            </w:pPr>
            <w:r w:rsidRPr="00E9099B">
              <w:rPr>
                <w:b/>
                <w:i/>
              </w:rPr>
              <w:t>-12.0</w:t>
            </w:r>
          </w:p>
        </w:tc>
      </w:tr>
      <w:tr w:rsidR="000B5C96" w:rsidRPr="00E9099B"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keepNext/>
              <w:keepLines/>
              <w:ind w:left="57" w:right="57"/>
              <w:rPr>
                <w:b/>
                <w:szCs w:val="20"/>
              </w:rPr>
            </w:pPr>
            <w:r w:rsidRPr="00E9099B">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9099B">
              <w:rPr>
                <w:rFonts w:ascii="Calibri" w:hAnsi="Calibri"/>
                <w:b/>
              </w:rPr>
              <w:t>347.0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9099B">
              <w:rPr>
                <w:rFonts w:ascii="Calibri" w:hAnsi="Calibri"/>
                <w:b/>
              </w:rPr>
              <w:t>647.0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9099B">
              <w:rPr>
                <w:rFonts w:ascii="Calibri" w:hAnsi="Calibri"/>
                <w:b/>
              </w:rPr>
              <w:t>647.0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9099B">
              <w:rPr>
                <w:rFonts w:ascii="Calibri" w:hAnsi="Calibri"/>
                <w:b/>
              </w:rPr>
              <w:t>647.0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9099B"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E9099B">
              <w:rPr>
                <w:rFonts w:ascii="Calibri" w:hAnsi="Calibri"/>
                <w:b/>
              </w:rPr>
              <w:t>2,288.0</w:t>
            </w:r>
          </w:p>
        </w:tc>
      </w:tr>
    </w:tbl>
    <w:p w:rsidR="000B5C96" w:rsidRPr="00E9099B" w:rsidRDefault="000B5C96" w:rsidP="000B6BA7">
      <w:pPr>
        <w:pStyle w:val="Footnotes"/>
        <w:numPr>
          <w:ilvl w:val="0"/>
          <w:numId w:val="341"/>
        </w:numPr>
        <w:ind w:left="284" w:hanging="284"/>
      </w:pPr>
      <w:r w:rsidRPr="00E9099B">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E9099B" w:rsidRDefault="000B5C96" w:rsidP="000B5C96">
      <w:pPr>
        <w:pStyle w:val="Footnotes"/>
        <w:numPr>
          <w:ilvl w:val="0"/>
          <w:numId w:val="7"/>
        </w:numPr>
        <w:ind w:left="284" w:hanging="284"/>
      </w:pPr>
      <w:r w:rsidRPr="00E9099B">
        <w:t>Figures may not sum to totals due to rounding.</w:t>
      </w:r>
    </w:p>
    <w:p w:rsidR="000B5C96" w:rsidRPr="00E9099B" w:rsidRDefault="000B5C96" w:rsidP="000B5C96">
      <w:pPr>
        <w:pStyle w:val="Footnotes"/>
        <w:numPr>
          <w:ilvl w:val="0"/>
          <w:numId w:val="7"/>
        </w:numPr>
        <w:ind w:left="284" w:hanging="284"/>
        <w:sectPr w:rsidR="000B5C96" w:rsidRPr="00E9099B"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35" w:name="_Toc458001997"/>
      <w:bookmarkStart w:id="236" w:name="_Toc458069482"/>
      <w:r>
        <w:t>GRN093: Climate Finance for Developing Nations</w:t>
      </w:r>
      <w:bookmarkEnd w:id="235"/>
      <w:bookmarkEnd w:id="236"/>
    </w:p>
    <w:p w:rsidR="000B5C96" w:rsidRPr="008A0AE1" w:rsidRDefault="000B5C96" w:rsidP="003F606A">
      <w:pPr>
        <w:pStyle w:val="BodyText"/>
      </w:pPr>
      <w:r>
        <w:rPr>
          <w:noProof/>
          <w:lang w:eastAsia="en-AU"/>
        </w:rPr>
        <w:drawing>
          <wp:inline distT="0" distB="0" distL="0" distR="0" wp14:anchorId="16850920" wp14:editId="08BBDBDB">
            <wp:extent cx="2696845" cy="572135"/>
            <wp:effectExtent l="0" t="0" r="8255" b="0"/>
            <wp:docPr id="60" name="Picture 6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B23767" w:rsidRDefault="000B5C96" w:rsidP="000B5C96">
      <w:pPr>
        <w:pStyle w:val="Heading6"/>
        <w:numPr>
          <w:ilvl w:val="0"/>
          <w:numId w:val="5"/>
        </w:numPr>
        <w:tabs>
          <w:tab w:val="right" w:pos="1418"/>
          <w:tab w:val="right" w:pos="1701"/>
          <w:tab w:val="right" w:pos="1985"/>
        </w:tabs>
      </w:pPr>
      <w:r w:rsidRPr="00B23767">
        <w:t>Policy costing—2016 post-election report</w:t>
      </w:r>
    </w:p>
    <w:tbl>
      <w:tblPr>
        <w:tblStyle w:val="Style115"/>
        <w:tblW w:w="5000" w:type="pct"/>
        <w:tblLook w:val="04A0" w:firstRow="1" w:lastRow="0" w:firstColumn="1" w:lastColumn="0" w:noHBand="0" w:noVBand="1"/>
      </w:tblPr>
      <w:tblGrid>
        <w:gridCol w:w="3081"/>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rPr>
            </w:pPr>
            <w:r w:rsidRPr="00EA7F7A">
              <w:rPr>
                <w:b/>
              </w:rPr>
              <w:t>Name of proposal:</w:t>
            </w:r>
          </w:p>
        </w:tc>
        <w:tc>
          <w:tcPr>
            <w:tcW w:w="3194" w:type="pct"/>
          </w:tcPr>
          <w:p w:rsidR="000B5C96" w:rsidRPr="00EA7F7A" w:rsidRDefault="000B5C96" w:rsidP="003F606A">
            <w:pPr>
              <w:pStyle w:val="PullOutBoxHeading"/>
              <w:rPr>
                <w:b/>
              </w:rPr>
            </w:pPr>
            <w:r w:rsidRPr="00EA7F7A">
              <w:rPr>
                <w:b/>
              </w:rPr>
              <w:t>Climate Finance for Developing Nations</w:t>
            </w:r>
          </w:p>
        </w:tc>
      </w:tr>
      <w:tr w:rsidR="000B5C96" w:rsidRPr="00B23767" w:rsidTr="003F606A">
        <w:tc>
          <w:tcPr>
            <w:tcW w:w="1806" w:type="pct"/>
          </w:tcPr>
          <w:p w:rsidR="000B5C96" w:rsidRPr="00B23767" w:rsidRDefault="000B5C96" w:rsidP="003F606A">
            <w:pPr>
              <w:pStyle w:val="PullOutBoxBodyText"/>
            </w:pPr>
            <w:r w:rsidRPr="00B23767">
              <w:t>Summary of proposal:</w:t>
            </w:r>
          </w:p>
        </w:tc>
        <w:tc>
          <w:tcPr>
            <w:tcW w:w="3194" w:type="pct"/>
          </w:tcPr>
          <w:p w:rsidR="000B5C96" w:rsidRPr="00B23767" w:rsidRDefault="000B5C96" w:rsidP="003F606A">
            <w:pPr>
              <w:pStyle w:val="PullOutBoxBodyText"/>
            </w:pPr>
            <w:r w:rsidRPr="00B23767">
              <w:t>The proposal would provide additional funding for Australia’s Overseas Development Assistance (ODA) budget and contribution to the Green Climate Fund (GCF), consisting of grants for climate adaptation in developing nations in the amount of:</w:t>
            </w:r>
          </w:p>
          <w:p w:rsidR="000B5C96" w:rsidRPr="00B23767" w:rsidRDefault="000B5C96" w:rsidP="000B5C96">
            <w:pPr>
              <w:pStyle w:val="PullOutBoxBullet"/>
              <w:numPr>
                <w:ilvl w:val="0"/>
                <w:numId w:val="2"/>
              </w:numPr>
              <w:ind w:left="397"/>
              <w:rPr>
                <w:lang w:eastAsia="en-AU"/>
              </w:rPr>
            </w:pPr>
            <w:r w:rsidRPr="00B23767">
              <w:rPr>
                <w:lang w:eastAsia="en-AU"/>
              </w:rPr>
              <w:t>$480 million ($240 million to ODA, $240 million to GCF) in 2016-17</w:t>
            </w:r>
          </w:p>
          <w:p w:rsidR="000B5C96" w:rsidRPr="00B23767" w:rsidRDefault="000B5C96" w:rsidP="000B5C96">
            <w:pPr>
              <w:pStyle w:val="PullOutBoxBullet"/>
              <w:numPr>
                <w:ilvl w:val="0"/>
                <w:numId w:val="2"/>
              </w:numPr>
              <w:ind w:left="397"/>
              <w:rPr>
                <w:lang w:eastAsia="en-AU"/>
              </w:rPr>
            </w:pPr>
            <w:r w:rsidRPr="00B23767">
              <w:rPr>
                <w:lang w:eastAsia="en-AU"/>
              </w:rPr>
              <w:t>$760 million ($380 million to ODA, $380 million to GCF) in 2017-18</w:t>
            </w:r>
          </w:p>
          <w:p w:rsidR="000B5C96" w:rsidRPr="00B23767" w:rsidRDefault="000B5C96" w:rsidP="000B5C96">
            <w:pPr>
              <w:pStyle w:val="PullOutBoxBullet"/>
              <w:numPr>
                <w:ilvl w:val="0"/>
                <w:numId w:val="2"/>
              </w:numPr>
              <w:ind w:left="397"/>
              <w:rPr>
                <w:lang w:eastAsia="en-AU"/>
              </w:rPr>
            </w:pPr>
            <w:r w:rsidRPr="00B23767">
              <w:rPr>
                <w:lang w:eastAsia="en-AU"/>
              </w:rPr>
              <w:t>$1,040 million ($520 million to ODA, $520 million to GCF) in 2018-19</w:t>
            </w:r>
          </w:p>
          <w:p w:rsidR="000B5C96" w:rsidRPr="00B23767" w:rsidRDefault="000B5C96" w:rsidP="000B5C96">
            <w:pPr>
              <w:pStyle w:val="PullOutBoxBullet"/>
              <w:numPr>
                <w:ilvl w:val="0"/>
                <w:numId w:val="2"/>
              </w:numPr>
              <w:ind w:left="397"/>
              <w:rPr>
                <w:lang w:eastAsia="en-AU"/>
              </w:rPr>
            </w:pPr>
            <w:r w:rsidRPr="00B23767">
              <w:rPr>
                <w:lang w:eastAsia="en-AU"/>
              </w:rPr>
              <w:t>$1,320 million ($660 million to ODA, $660 million to GCF) in 2019-20</w:t>
            </w:r>
          </w:p>
          <w:p w:rsidR="000B5C96" w:rsidRPr="00B23767" w:rsidRDefault="000B5C96" w:rsidP="000B5C96">
            <w:pPr>
              <w:pStyle w:val="PullOutBoxBullet"/>
              <w:numPr>
                <w:ilvl w:val="0"/>
                <w:numId w:val="2"/>
              </w:numPr>
              <w:ind w:left="397"/>
              <w:rPr>
                <w:lang w:eastAsia="en-AU"/>
              </w:rPr>
            </w:pPr>
            <w:r w:rsidRPr="00B23767">
              <w:rPr>
                <w:lang w:eastAsia="en-AU"/>
              </w:rPr>
              <w:t>$1,600 million annually ($800 million to ODA, $800 million to GCF) in years 2020-21 to 2024-25.</w:t>
            </w:r>
          </w:p>
          <w:p w:rsidR="000B5C96" w:rsidRPr="00B23767" w:rsidRDefault="000B5C96" w:rsidP="003F606A">
            <w:pPr>
              <w:pStyle w:val="PullOutBoxBodyText"/>
              <w:rPr>
                <w:rFonts w:eastAsia="Times New Roman"/>
                <w:lang w:eastAsia="en-AU"/>
              </w:rPr>
            </w:pPr>
            <w:r w:rsidRPr="00B23767">
              <w:rPr>
                <w:rFonts w:eastAsia="Times New Roman"/>
                <w:lang w:eastAsia="en-AU"/>
              </w:rPr>
              <w:t xml:space="preserve">Administrative costs would be in addition to the above capped amounts.  </w:t>
            </w:r>
          </w:p>
          <w:p w:rsidR="000B5C96" w:rsidRPr="00B23767" w:rsidRDefault="000B5C96" w:rsidP="003F606A">
            <w:pPr>
              <w:pStyle w:val="PullOutBoxBodyText"/>
              <w:rPr>
                <w:highlight w:val="yellow"/>
              </w:rPr>
            </w:pPr>
            <w:r w:rsidRPr="00B23767">
              <w:t>The proposal would have effect from 1 July 2016 and terminate on 30 June 2025.</w:t>
            </w:r>
          </w:p>
        </w:tc>
      </w:tr>
      <w:tr w:rsidR="000B5C96" w:rsidRPr="00B23767" w:rsidTr="003F606A">
        <w:tc>
          <w:tcPr>
            <w:tcW w:w="1806" w:type="pct"/>
          </w:tcPr>
          <w:p w:rsidR="000B5C96" w:rsidRPr="00B23767" w:rsidRDefault="000B5C96" w:rsidP="003F606A">
            <w:pPr>
              <w:pStyle w:val="PullOutBoxBodyText"/>
            </w:pPr>
            <w:r w:rsidRPr="00B23767">
              <w:t>Party:</w:t>
            </w:r>
          </w:p>
        </w:tc>
        <w:tc>
          <w:tcPr>
            <w:tcW w:w="3194" w:type="pct"/>
          </w:tcPr>
          <w:p w:rsidR="000B5C96" w:rsidRPr="00B23767" w:rsidRDefault="000B5C96" w:rsidP="003F606A">
            <w:pPr>
              <w:pStyle w:val="PullOutBoxBodyText"/>
            </w:pPr>
            <w:r w:rsidRPr="00B23767">
              <w:t>Australian Greens</w:t>
            </w:r>
          </w:p>
        </w:tc>
      </w:tr>
      <w:tr w:rsidR="000B5C96" w:rsidRPr="00B23767" w:rsidTr="003F606A">
        <w:tc>
          <w:tcPr>
            <w:tcW w:w="1806" w:type="pct"/>
          </w:tcPr>
          <w:p w:rsidR="000B5C96" w:rsidRPr="00B23767" w:rsidRDefault="000B5C96" w:rsidP="003F606A">
            <w:pPr>
              <w:pStyle w:val="PullOutBoxBodyText"/>
            </w:pPr>
            <w:r w:rsidRPr="00B23767">
              <w:t>Expiry date for the costing:</w:t>
            </w:r>
          </w:p>
        </w:tc>
        <w:tc>
          <w:tcPr>
            <w:tcW w:w="3194" w:type="pct"/>
          </w:tcPr>
          <w:p w:rsidR="000B5C96" w:rsidRPr="00B23767" w:rsidRDefault="000B5C96" w:rsidP="003F606A">
            <w:pPr>
              <w:pStyle w:val="PullOutBoxBodyText"/>
            </w:pPr>
            <w:r w:rsidRPr="00B23767">
              <w:t>Release of the next economic and fiscal update</w:t>
            </w:r>
          </w:p>
        </w:tc>
      </w:tr>
    </w:tbl>
    <w:p w:rsidR="000B5C96" w:rsidRPr="00B23767" w:rsidRDefault="000B5C96" w:rsidP="003F606A">
      <w:pPr>
        <w:pStyle w:val="CostingsH7"/>
      </w:pPr>
      <w:r w:rsidRPr="00B23767">
        <w:t>Costing overview</w:t>
      </w:r>
    </w:p>
    <w:p w:rsidR="000B5C96" w:rsidRDefault="000B5C96" w:rsidP="003F606A">
      <w:pPr>
        <w:pStyle w:val="BodyText"/>
      </w:pPr>
      <w:r w:rsidRPr="00B23767">
        <w:t>This proposal would be expected to decrease the fiscal and underlying cash balances by $3,606.1 million over the 2016-17 Budget forward estimates period.  These financial implications are entirely due to an increase in expenses, including $6.1 million in departmental costs related to administering the ODA component of the proposal.  The contribution to the GCF would increase an existing contribution and is not expected to have a material impact on departmental expenses.</w:t>
      </w:r>
    </w:p>
    <w:p w:rsidR="000B5C96" w:rsidRPr="00B23767" w:rsidRDefault="000B5C96" w:rsidP="003F606A">
      <w:pPr>
        <w:pStyle w:val="BodyText"/>
        <w:keepNext/>
        <w:keepLines/>
      </w:pPr>
      <w:r w:rsidRPr="00B23767">
        <w:t>The proposal would have ongoing financial implications that extend beyond the 2016-17 Budget forward estimates period until the proposal’s termination date of 30 June 2025.</w:t>
      </w:r>
      <w:r w:rsidRPr="00B23767">
        <w:rPr>
          <w:lang w:eastAsia="en-AU"/>
        </w:rPr>
        <w:t xml:space="preserve">  A breakdown of the </w:t>
      </w:r>
      <w:r w:rsidRPr="00B23767">
        <w:t xml:space="preserve">financial implications from 2016-17 to 2024-25 is </w:t>
      </w:r>
      <w:r w:rsidRPr="00B23767">
        <w:rPr>
          <w:lang w:eastAsia="en-AU"/>
        </w:rPr>
        <w:t xml:space="preserve">included at </w:t>
      </w:r>
      <w:r w:rsidRPr="00B23767">
        <w:rPr>
          <w:u w:val="single"/>
          <w:lang w:eastAsia="en-AU"/>
        </w:rPr>
        <w:t>Attachment A</w:t>
      </w:r>
      <w:r w:rsidRPr="00B23767">
        <w:rPr>
          <w:lang w:eastAsia="en-AU"/>
        </w:rPr>
        <w:t>.</w:t>
      </w:r>
    </w:p>
    <w:p w:rsidR="000B5C96" w:rsidRPr="00B23767" w:rsidRDefault="000B5C96" w:rsidP="003F606A">
      <w:pPr>
        <w:pStyle w:val="BodyText"/>
      </w:pPr>
      <w:r w:rsidRPr="00B23767">
        <w:t xml:space="preserve">The costing is considered to be of high reliability as it is based on specified capped administered amounts, and although the administrative costs are uncertain, they are not a significant component of the overall costing. </w:t>
      </w:r>
    </w:p>
    <w:p w:rsidR="000B5C96" w:rsidRPr="00B23767" w:rsidRDefault="000B5C96" w:rsidP="003F606A">
      <w:pPr>
        <w:pStyle w:val="Caption"/>
      </w:pPr>
      <w:r w:rsidRPr="00B23767">
        <w:t>Table 1: Financial implications (outturn prices)</w:t>
      </w:r>
      <w:r w:rsidRPr="00B23767">
        <w:rPr>
          <w:vertAlign w:val="superscript"/>
        </w:rPr>
        <w:t>(a)(b)</w:t>
      </w:r>
    </w:p>
    <w:tbl>
      <w:tblPr>
        <w:tblStyle w:val="TableGrid98"/>
        <w:tblW w:w="4993" w:type="pct"/>
        <w:tblLook w:val="04A0" w:firstRow="1" w:lastRow="0" w:firstColumn="1" w:lastColumn="0" w:noHBand="0" w:noVBand="1"/>
      </w:tblPr>
      <w:tblGrid>
        <w:gridCol w:w="2644"/>
        <w:gridCol w:w="1133"/>
        <w:gridCol w:w="1134"/>
        <w:gridCol w:w="1134"/>
        <w:gridCol w:w="1134"/>
        <w:gridCol w:w="1132"/>
      </w:tblGrid>
      <w:tr w:rsidR="000B5C96" w:rsidRPr="00B23767"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B23767" w:rsidRDefault="000B5C96" w:rsidP="003F606A">
            <w:pPr>
              <w:keepNext/>
              <w:keepLines/>
              <w:spacing w:line="240" w:lineRule="auto"/>
              <w:ind w:left="57" w:right="57"/>
              <w:rPr>
                <w:b/>
                <w:szCs w:val="20"/>
              </w:rPr>
            </w:pPr>
            <w:r w:rsidRPr="00B23767">
              <w:rPr>
                <w:szCs w:val="20"/>
              </w:rPr>
              <w:t>Impact on ($m)</w:t>
            </w:r>
          </w:p>
        </w:tc>
        <w:tc>
          <w:tcPr>
            <w:tcW w:w="682" w:type="pct"/>
          </w:tcPr>
          <w:p w:rsidR="000B5C96" w:rsidRPr="00B23767"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23767">
              <w:rPr>
                <w:szCs w:val="20"/>
              </w:rPr>
              <w:t>2016–17</w:t>
            </w:r>
          </w:p>
        </w:tc>
        <w:tc>
          <w:tcPr>
            <w:tcW w:w="682" w:type="pct"/>
          </w:tcPr>
          <w:p w:rsidR="000B5C96" w:rsidRPr="00B23767"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23767">
              <w:rPr>
                <w:szCs w:val="20"/>
              </w:rPr>
              <w:t>2017–18</w:t>
            </w:r>
          </w:p>
        </w:tc>
        <w:tc>
          <w:tcPr>
            <w:tcW w:w="682" w:type="pct"/>
          </w:tcPr>
          <w:p w:rsidR="000B5C96" w:rsidRPr="00B23767"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23767">
              <w:rPr>
                <w:szCs w:val="20"/>
              </w:rPr>
              <w:t>2018–19</w:t>
            </w:r>
          </w:p>
        </w:tc>
        <w:tc>
          <w:tcPr>
            <w:tcW w:w="682" w:type="pct"/>
          </w:tcPr>
          <w:p w:rsidR="000B5C96" w:rsidRPr="00B23767"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23767">
              <w:rPr>
                <w:szCs w:val="20"/>
              </w:rPr>
              <w:t>2019–20</w:t>
            </w:r>
          </w:p>
        </w:tc>
        <w:tc>
          <w:tcPr>
            <w:tcW w:w="681" w:type="pct"/>
          </w:tcPr>
          <w:p w:rsidR="000B5C96" w:rsidRPr="00946BC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46BC2">
              <w:rPr>
                <w:b/>
                <w:szCs w:val="20"/>
              </w:rPr>
              <w:t>Total</w:t>
            </w:r>
          </w:p>
        </w:tc>
      </w:tr>
      <w:tr w:rsidR="000B5C96" w:rsidRPr="00B23767"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B23767" w:rsidRDefault="000B5C96" w:rsidP="003F606A">
            <w:pPr>
              <w:keepNext/>
              <w:keepLines/>
              <w:ind w:left="57" w:right="57"/>
              <w:rPr>
                <w:szCs w:val="20"/>
              </w:rPr>
            </w:pPr>
            <w:r w:rsidRPr="00B23767">
              <w:rPr>
                <w:szCs w:val="20"/>
              </w:rPr>
              <w:t>Fiscal balance</w:t>
            </w:r>
          </w:p>
        </w:tc>
        <w:tc>
          <w:tcPr>
            <w:tcW w:w="682" w:type="pct"/>
          </w:tcPr>
          <w:p w:rsidR="000B5C96" w:rsidRPr="00B23767"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23767">
              <w:rPr>
                <w:rFonts w:ascii="Calibri" w:hAnsi="Calibri"/>
                <w:szCs w:val="20"/>
              </w:rPr>
              <w:t xml:space="preserve">-480.8 </w:t>
            </w:r>
          </w:p>
        </w:tc>
        <w:tc>
          <w:tcPr>
            <w:tcW w:w="682" w:type="pct"/>
          </w:tcPr>
          <w:p w:rsidR="000B5C96" w:rsidRPr="00B23767"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23767">
              <w:rPr>
                <w:rFonts w:ascii="Calibri" w:hAnsi="Calibri"/>
                <w:szCs w:val="20"/>
              </w:rPr>
              <w:t xml:space="preserve">-761.3 </w:t>
            </w:r>
          </w:p>
        </w:tc>
        <w:tc>
          <w:tcPr>
            <w:tcW w:w="682" w:type="pct"/>
          </w:tcPr>
          <w:p w:rsidR="000B5C96" w:rsidRPr="00B23767"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23767">
              <w:rPr>
                <w:rFonts w:ascii="Calibri" w:hAnsi="Calibri"/>
                <w:szCs w:val="20"/>
              </w:rPr>
              <w:t xml:space="preserve">-1,041.8 </w:t>
            </w:r>
          </w:p>
        </w:tc>
        <w:tc>
          <w:tcPr>
            <w:tcW w:w="682" w:type="pct"/>
          </w:tcPr>
          <w:p w:rsidR="000B5C96" w:rsidRPr="00B23767"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23767">
              <w:rPr>
                <w:rFonts w:ascii="Calibri" w:hAnsi="Calibri"/>
                <w:szCs w:val="20"/>
              </w:rPr>
              <w:t xml:space="preserve">-1,322.2 </w:t>
            </w:r>
          </w:p>
        </w:tc>
        <w:tc>
          <w:tcPr>
            <w:tcW w:w="681" w:type="pct"/>
          </w:tcPr>
          <w:p w:rsidR="000B5C96" w:rsidRPr="00B23767"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B23767">
              <w:rPr>
                <w:rFonts w:ascii="Calibri" w:hAnsi="Calibri"/>
                <w:b/>
                <w:szCs w:val="20"/>
              </w:rPr>
              <w:t xml:space="preserve">-3,606.1 </w:t>
            </w:r>
          </w:p>
        </w:tc>
      </w:tr>
      <w:tr w:rsidR="000B5C96" w:rsidRPr="00B23767" w:rsidTr="003F6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B23767" w:rsidRDefault="000B5C96" w:rsidP="003F606A">
            <w:pPr>
              <w:keepNext/>
              <w:keepLines/>
              <w:ind w:left="57" w:right="57"/>
              <w:rPr>
                <w:szCs w:val="20"/>
              </w:rPr>
            </w:pPr>
            <w:r w:rsidRPr="00B23767">
              <w:rPr>
                <w:szCs w:val="20"/>
              </w:rPr>
              <w:t>Underlying cash balance</w:t>
            </w:r>
          </w:p>
        </w:tc>
        <w:tc>
          <w:tcPr>
            <w:tcW w:w="682" w:type="pct"/>
          </w:tcPr>
          <w:p w:rsidR="000B5C96" w:rsidRPr="00B23767" w:rsidRDefault="000B5C96" w:rsidP="003F606A">
            <w:pPr>
              <w:cnfStyle w:val="000000010000" w:firstRow="0" w:lastRow="0" w:firstColumn="0" w:lastColumn="0" w:oddVBand="0" w:evenVBand="0" w:oddHBand="0" w:evenHBand="1" w:firstRowFirstColumn="0" w:firstRowLastColumn="0" w:lastRowFirstColumn="0" w:lastRowLastColumn="0"/>
              <w:rPr>
                <w:szCs w:val="20"/>
              </w:rPr>
            </w:pPr>
            <w:r w:rsidRPr="00B23767">
              <w:rPr>
                <w:szCs w:val="20"/>
              </w:rPr>
              <w:t xml:space="preserve">-480.8 </w:t>
            </w:r>
          </w:p>
        </w:tc>
        <w:tc>
          <w:tcPr>
            <w:tcW w:w="682" w:type="pct"/>
          </w:tcPr>
          <w:p w:rsidR="000B5C96" w:rsidRPr="00B23767" w:rsidRDefault="000B5C96" w:rsidP="003F606A">
            <w:pPr>
              <w:cnfStyle w:val="000000010000" w:firstRow="0" w:lastRow="0" w:firstColumn="0" w:lastColumn="0" w:oddVBand="0" w:evenVBand="0" w:oddHBand="0" w:evenHBand="1" w:firstRowFirstColumn="0" w:firstRowLastColumn="0" w:lastRowFirstColumn="0" w:lastRowLastColumn="0"/>
              <w:rPr>
                <w:szCs w:val="20"/>
              </w:rPr>
            </w:pPr>
            <w:r w:rsidRPr="00B23767">
              <w:rPr>
                <w:szCs w:val="20"/>
              </w:rPr>
              <w:t xml:space="preserve">-761.3 </w:t>
            </w:r>
          </w:p>
        </w:tc>
        <w:tc>
          <w:tcPr>
            <w:tcW w:w="682" w:type="pct"/>
          </w:tcPr>
          <w:p w:rsidR="000B5C96" w:rsidRPr="00B23767" w:rsidRDefault="000B5C96" w:rsidP="003F606A">
            <w:pPr>
              <w:cnfStyle w:val="000000010000" w:firstRow="0" w:lastRow="0" w:firstColumn="0" w:lastColumn="0" w:oddVBand="0" w:evenVBand="0" w:oddHBand="0" w:evenHBand="1" w:firstRowFirstColumn="0" w:firstRowLastColumn="0" w:lastRowFirstColumn="0" w:lastRowLastColumn="0"/>
              <w:rPr>
                <w:szCs w:val="20"/>
              </w:rPr>
            </w:pPr>
            <w:r w:rsidRPr="00B23767">
              <w:rPr>
                <w:szCs w:val="20"/>
              </w:rPr>
              <w:t xml:space="preserve">-1,041.8 </w:t>
            </w:r>
          </w:p>
        </w:tc>
        <w:tc>
          <w:tcPr>
            <w:tcW w:w="682" w:type="pct"/>
          </w:tcPr>
          <w:p w:rsidR="000B5C96" w:rsidRPr="00B23767" w:rsidRDefault="000B5C96" w:rsidP="003F606A">
            <w:pPr>
              <w:cnfStyle w:val="000000010000" w:firstRow="0" w:lastRow="0" w:firstColumn="0" w:lastColumn="0" w:oddVBand="0" w:evenVBand="0" w:oddHBand="0" w:evenHBand="1" w:firstRowFirstColumn="0" w:firstRowLastColumn="0" w:lastRowFirstColumn="0" w:lastRowLastColumn="0"/>
              <w:rPr>
                <w:szCs w:val="20"/>
              </w:rPr>
            </w:pPr>
            <w:r w:rsidRPr="00B23767">
              <w:rPr>
                <w:szCs w:val="20"/>
              </w:rPr>
              <w:t xml:space="preserve">-1,322.2 </w:t>
            </w:r>
          </w:p>
        </w:tc>
        <w:tc>
          <w:tcPr>
            <w:tcW w:w="681" w:type="pct"/>
          </w:tcPr>
          <w:p w:rsidR="000B5C96" w:rsidRPr="00B23767"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B23767">
              <w:rPr>
                <w:b/>
                <w:szCs w:val="20"/>
              </w:rPr>
              <w:t xml:space="preserve">-3,606.1 </w:t>
            </w:r>
          </w:p>
        </w:tc>
      </w:tr>
    </w:tbl>
    <w:p w:rsidR="000B5C96" w:rsidRPr="00B23767" w:rsidRDefault="000B5C96" w:rsidP="000B6BA7">
      <w:pPr>
        <w:pStyle w:val="Footnotes"/>
        <w:numPr>
          <w:ilvl w:val="0"/>
          <w:numId w:val="342"/>
        </w:numPr>
        <w:ind w:left="284" w:hanging="284"/>
      </w:pPr>
      <w:r w:rsidRPr="00B23767">
        <w:t>A positive number indicates an increase in the relevant budget balance, a negative number a decrease.</w:t>
      </w:r>
    </w:p>
    <w:p w:rsidR="000B5C96" w:rsidRPr="00B23767" w:rsidRDefault="000B5C96" w:rsidP="000B5C96">
      <w:pPr>
        <w:pStyle w:val="Footnotes"/>
        <w:numPr>
          <w:ilvl w:val="0"/>
          <w:numId w:val="7"/>
        </w:numPr>
        <w:ind w:left="284" w:hanging="284"/>
      </w:pPr>
      <w:r w:rsidRPr="00B23767">
        <w:t>Figures may not sum to totals due to rounding.</w:t>
      </w:r>
    </w:p>
    <w:p w:rsidR="000B5C96" w:rsidRPr="00B23767" w:rsidRDefault="000B5C96" w:rsidP="003F606A">
      <w:pPr>
        <w:pStyle w:val="CostingsH7"/>
      </w:pPr>
      <w:r w:rsidRPr="00B23767">
        <w:t>Key assumptions</w:t>
      </w:r>
    </w:p>
    <w:p w:rsidR="000B5C96" w:rsidRPr="00B23767" w:rsidRDefault="000B5C96" w:rsidP="003F606A">
      <w:pPr>
        <w:pStyle w:val="BodyText"/>
        <w:rPr>
          <w:i/>
        </w:rPr>
      </w:pPr>
      <w:r w:rsidRPr="00B23767">
        <w:t xml:space="preserve">It has been assumed that the related additional departmental expenses would be at an equivalent scale to the decrease in departmental expenses applied in the 2014-15 Budget measure, </w:t>
      </w:r>
      <w:r w:rsidRPr="00B23767">
        <w:rPr>
          <w:i/>
        </w:rPr>
        <w:t>Official Development Assistance – reprioritised funding</w:t>
      </w:r>
      <w:r w:rsidRPr="00B23767">
        <w:t>.</w:t>
      </w:r>
    </w:p>
    <w:p w:rsidR="000B5C96" w:rsidRPr="00B23767" w:rsidRDefault="000B5C96" w:rsidP="003F606A">
      <w:pPr>
        <w:pStyle w:val="CostingsH7"/>
      </w:pPr>
      <w:r w:rsidRPr="00B23767">
        <w:t>Methodology</w:t>
      </w:r>
    </w:p>
    <w:p w:rsidR="000B5C96" w:rsidRPr="00B23767" w:rsidRDefault="000B5C96" w:rsidP="003F606A">
      <w:pPr>
        <w:pStyle w:val="BodyText"/>
      </w:pPr>
      <w:r w:rsidRPr="00B23767">
        <w:t xml:space="preserve">Administered expenditure estimates for the additional contribution to the GCF and ODA funding are as specified.  </w:t>
      </w:r>
    </w:p>
    <w:p w:rsidR="000B5C96" w:rsidRPr="00B23767" w:rsidRDefault="000B5C96" w:rsidP="003F606A">
      <w:pPr>
        <w:pStyle w:val="BodyText"/>
      </w:pPr>
      <w:r w:rsidRPr="00B23767">
        <w:t>Departmental expenditure estimates for the additional</w:t>
      </w:r>
      <w:r>
        <w:t xml:space="preserve"> ODA funding are based on the</w:t>
      </w:r>
      <w:r w:rsidRPr="00B23767">
        <w:t xml:space="preserve"> 2014</w:t>
      </w:r>
      <w:r>
        <w:noBreakHyphen/>
      </w:r>
      <w:r w:rsidRPr="00B23767">
        <w:t xml:space="preserve">15 Budget measure, </w:t>
      </w:r>
      <w:r w:rsidRPr="00B23767">
        <w:rPr>
          <w:i/>
        </w:rPr>
        <w:t>Official Development Assistance – reprioritised funding</w:t>
      </w:r>
      <w:r w:rsidRPr="00B23767">
        <w:t>, accounting for the net effect of indexation parameters and the efficiency dividend in accordance with the Department of Finance’s costing practices.</w:t>
      </w:r>
    </w:p>
    <w:p w:rsidR="000B5C96" w:rsidRPr="00B23767" w:rsidRDefault="000B5C96" w:rsidP="003F606A">
      <w:pPr>
        <w:pStyle w:val="CostingsH7"/>
      </w:pPr>
      <w:r w:rsidRPr="00B23767">
        <w:t>Data sources</w:t>
      </w:r>
    </w:p>
    <w:p w:rsidR="000B5C96" w:rsidRPr="00B23767" w:rsidRDefault="000B5C96" w:rsidP="003F606A">
      <w:pPr>
        <w:pStyle w:val="BodyText"/>
        <w:rPr>
          <w:lang w:eastAsia="en-AU"/>
        </w:rPr>
      </w:pPr>
      <w:r w:rsidRPr="00B23767">
        <w:rPr>
          <w:lang w:eastAsia="en-AU"/>
        </w:rPr>
        <w:t>The Department of Finance provided indexation and the efficiency dividend parameters.</w:t>
      </w:r>
    </w:p>
    <w:p w:rsidR="000B5C96" w:rsidRDefault="000B5C96" w:rsidP="003F606A">
      <w:pPr>
        <w:pStyle w:val="BodyText"/>
        <w:rPr>
          <w:lang w:eastAsia="en-AU"/>
        </w:rPr>
        <w:sectPr w:rsidR="000B5C96" w:rsidSect="008430E8">
          <w:pgSz w:w="11907" w:h="16839" w:code="9"/>
          <w:pgMar w:top="1361" w:right="1797" w:bottom="1474" w:left="1797" w:header="283" w:footer="454" w:gutter="0"/>
          <w:cols w:space="708"/>
          <w:docGrid w:linePitch="360"/>
        </w:sectPr>
      </w:pPr>
      <w:r w:rsidRPr="00B23767">
        <w:rPr>
          <w:lang w:eastAsia="en-AU"/>
        </w:rPr>
        <w:t>2014-15 Budget Paper 2.</w:t>
      </w:r>
    </w:p>
    <w:p w:rsidR="000B5C96" w:rsidRPr="0035440F" w:rsidRDefault="000B5C96" w:rsidP="000B5C96">
      <w:pPr>
        <w:pStyle w:val="Heading6"/>
        <w:numPr>
          <w:ilvl w:val="0"/>
          <w:numId w:val="5"/>
        </w:numPr>
        <w:tabs>
          <w:tab w:val="right" w:pos="1418"/>
          <w:tab w:val="right" w:pos="1701"/>
          <w:tab w:val="right" w:pos="1985"/>
        </w:tabs>
      </w:pPr>
      <w:r w:rsidRPr="0035440F">
        <w:t>Attachment A: Climate Finance for Developing Nations—financial implications</w:t>
      </w:r>
    </w:p>
    <w:p w:rsidR="000B5C96" w:rsidRPr="0035440F" w:rsidRDefault="000B5C96" w:rsidP="003F606A">
      <w:pPr>
        <w:pStyle w:val="Caption"/>
        <w:rPr>
          <w:vertAlign w:val="superscript"/>
        </w:rPr>
      </w:pPr>
      <w:r w:rsidRPr="0035440F">
        <w:t>Table A1: Climate Finance for Developing Nations—Financial implications</w:t>
      </w:r>
      <w:r w:rsidRPr="0035440F">
        <w:rPr>
          <w:vertAlign w:val="superscript"/>
        </w:rPr>
        <w:t>(a)(b)</w:t>
      </w:r>
    </w:p>
    <w:tbl>
      <w:tblPr>
        <w:tblStyle w:val="TableGrid99"/>
        <w:tblW w:w="5000"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955"/>
        <w:gridCol w:w="935"/>
        <w:gridCol w:w="936"/>
        <w:gridCol w:w="936"/>
        <w:gridCol w:w="936"/>
        <w:gridCol w:w="936"/>
        <w:gridCol w:w="936"/>
        <w:gridCol w:w="936"/>
        <w:gridCol w:w="936"/>
        <w:gridCol w:w="936"/>
        <w:gridCol w:w="936"/>
        <w:gridCol w:w="941"/>
      </w:tblGrid>
      <w:tr w:rsidR="000B5C96" w:rsidRPr="0035440F"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115"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rPr>
                <w:b/>
                <w:szCs w:val="20"/>
              </w:rPr>
            </w:pPr>
            <w:r w:rsidRPr="0035440F">
              <w:rPr>
                <w:szCs w:val="20"/>
              </w:rPr>
              <w:t>($m)</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5440F">
              <w:rPr>
                <w:szCs w:val="20"/>
              </w:rPr>
              <w:t>2016–17</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5440F">
              <w:rPr>
                <w:szCs w:val="20"/>
              </w:rPr>
              <w:t>2017–18</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5440F">
              <w:rPr>
                <w:szCs w:val="20"/>
              </w:rPr>
              <w:t>2018–19</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5440F">
              <w:rPr>
                <w:szCs w:val="20"/>
              </w:rPr>
              <w:t>2019–20</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35440F">
              <w:rPr>
                <w:b/>
                <w:szCs w:val="20"/>
              </w:rPr>
              <w:t>Total to 2019–20</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5440F">
              <w:rPr>
                <w:szCs w:val="20"/>
              </w:rPr>
              <w:t>2020–21</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5440F">
              <w:rPr>
                <w:szCs w:val="20"/>
              </w:rPr>
              <w:t>2021–22</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5440F">
              <w:rPr>
                <w:szCs w:val="20"/>
              </w:rPr>
              <w:t>2022–23</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5440F">
              <w:rPr>
                <w:szCs w:val="20"/>
              </w:rPr>
              <w:t>2023–24</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35440F">
              <w:rPr>
                <w:szCs w:val="20"/>
              </w:rPr>
              <w:t>2024–25</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35440F">
              <w:rPr>
                <w:b/>
                <w:szCs w:val="20"/>
              </w:rPr>
              <w:t>Total to 2024–25</w:t>
            </w:r>
          </w:p>
        </w:tc>
      </w:tr>
      <w:tr w:rsidR="000B5C96" w:rsidRPr="0035440F" w:rsidTr="003F606A">
        <w:trPr>
          <w:cnfStyle w:val="000000100000" w:firstRow="0" w:lastRow="0" w:firstColumn="0" w:lastColumn="0" w:oddVBand="0" w:evenVBand="0" w:oddHBand="1" w:evenHBand="0" w:firstRowFirstColumn="0" w:firstRowLastColumn="0" w:lastRowFirstColumn="0" w:lastRowLastColumn="0"/>
          <w:cantSplit/>
          <w:trHeight w:val="425"/>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788184"/>
              <w:left w:val="single" w:sz="4" w:space="0" w:color="788184"/>
              <w:right w:val="single" w:sz="4" w:space="0" w:color="788184"/>
            </w:tcBorders>
            <w:shd w:val="clear" w:color="auto" w:fill="E9ECF3"/>
          </w:tcPr>
          <w:p w:rsidR="000B5C96" w:rsidRPr="0035440F" w:rsidRDefault="000B5C96" w:rsidP="003F606A">
            <w:pPr>
              <w:keepNext/>
              <w:keepLines/>
              <w:ind w:left="57" w:right="57"/>
              <w:rPr>
                <w:b/>
                <w:color w:val="000000"/>
                <w:szCs w:val="20"/>
              </w:rPr>
            </w:pPr>
            <w:r w:rsidRPr="0035440F">
              <w:rPr>
                <w:b/>
                <w:color w:val="000000"/>
                <w:szCs w:val="20"/>
              </w:rPr>
              <w:t>Impact on fiscal and underlying cash balances</w:t>
            </w:r>
          </w:p>
        </w:tc>
      </w:tr>
      <w:tr w:rsidR="000B5C96" w:rsidRPr="0035440F" w:rsidTr="003F606A">
        <w:trPr>
          <w:cnfStyle w:val="000000010000" w:firstRow="0" w:lastRow="0" w:firstColumn="0" w:lastColumn="0" w:oddVBand="0" w:evenVBand="0" w:oddHBand="0" w:evenHBand="1" w:firstRowFirstColumn="0" w:firstRowLastColumn="0" w:lastRowFirstColumn="0" w:lastRowLastColumn="0"/>
          <w:cantSplit/>
          <w:trHeight w:val="403"/>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788184"/>
              <w:left w:val="single" w:sz="4" w:space="0" w:color="788184"/>
              <w:right w:val="single" w:sz="4" w:space="0" w:color="788184"/>
            </w:tcBorders>
            <w:shd w:val="clear" w:color="auto" w:fill="E9ECF3"/>
          </w:tcPr>
          <w:p w:rsidR="000B5C96" w:rsidRPr="0035440F" w:rsidRDefault="000B5C96" w:rsidP="003F606A">
            <w:pPr>
              <w:keepNext/>
              <w:keepLines/>
              <w:ind w:left="57" w:right="57"/>
              <w:rPr>
                <w:b/>
                <w:color w:val="000000"/>
                <w:szCs w:val="20"/>
              </w:rPr>
            </w:pPr>
            <w:r w:rsidRPr="0035440F">
              <w:rPr>
                <w:b/>
                <w:color w:val="000000"/>
                <w:szCs w:val="20"/>
              </w:rPr>
              <w:t>Overseas Development Assistance</w:t>
            </w:r>
          </w:p>
        </w:tc>
      </w:tr>
      <w:tr w:rsidR="000B5C96" w:rsidRPr="0035440F"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15"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ind w:left="57" w:right="57"/>
              <w:rPr>
                <w:szCs w:val="20"/>
              </w:rPr>
            </w:pPr>
            <w:r w:rsidRPr="0035440F">
              <w:rPr>
                <w:szCs w:val="20"/>
              </w:rPr>
              <w:t>Administered</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-240.0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-380.0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-520.0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-660.0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35440F">
              <w:rPr>
                <w:rFonts w:ascii="Calibri" w:hAnsi="Calibri"/>
                <w:b/>
                <w:i/>
                <w:szCs w:val="20"/>
              </w:rPr>
              <w:t xml:space="preserve">-1,800.0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35440F">
              <w:rPr>
                <w:rFonts w:ascii="Calibri" w:hAnsi="Calibri"/>
                <w:b/>
                <w:i/>
                <w:szCs w:val="20"/>
              </w:rPr>
              <w:t xml:space="preserve">-5,800.0 </w:t>
            </w:r>
          </w:p>
        </w:tc>
      </w:tr>
      <w:tr w:rsidR="000B5C96" w:rsidRPr="0035440F"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15"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ind w:left="57" w:right="57"/>
              <w:rPr>
                <w:szCs w:val="20"/>
              </w:rPr>
            </w:pPr>
            <w:r w:rsidRPr="0035440F">
              <w:rPr>
                <w:szCs w:val="20"/>
              </w:rPr>
              <w:t>Departmental</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 xml:space="preserve">-0.8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 xml:space="preserve">-1.3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 xml:space="preserve">-1.8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 xml:space="preserve">-2.2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i/>
                <w:szCs w:val="20"/>
              </w:rPr>
            </w:pPr>
            <w:r w:rsidRPr="0035440F">
              <w:rPr>
                <w:b/>
                <w:i/>
                <w:szCs w:val="20"/>
              </w:rPr>
              <w:t xml:space="preserve">-6.1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 xml:space="preserve">-2.3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 xml:space="preserve">-2.3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 xml:space="preserve">-2.3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 xml:space="preserve">-2.3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 xml:space="preserve">-2.3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i/>
                <w:szCs w:val="20"/>
              </w:rPr>
            </w:pPr>
            <w:r w:rsidRPr="0035440F">
              <w:rPr>
                <w:b/>
                <w:i/>
                <w:szCs w:val="20"/>
              </w:rPr>
              <w:t xml:space="preserve">-17.6 </w:t>
            </w:r>
          </w:p>
        </w:tc>
      </w:tr>
      <w:tr w:rsidR="000B5C96" w:rsidRPr="0035440F"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15"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ind w:left="57" w:right="57"/>
              <w:rPr>
                <w:b/>
                <w:szCs w:val="20"/>
              </w:rPr>
            </w:pPr>
            <w:r w:rsidRPr="0035440F">
              <w:rPr>
                <w:b/>
                <w:color w:val="000000"/>
                <w:szCs w:val="20"/>
              </w:rPr>
              <w:t>Total - Overseas Development Assistance</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Cs/>
                <w:color w:val="000000"/>
                <w:szCs w:val="20"/>
              </w:rPr>
            </w:pPr>
            <w:r w:rsidRPr="0035440F">
              <w:rPr>
                <w:rFonts w:ascii="Calibri" w:hAnsi="Calibri"/>
                <w:b/>
                <w:iCs/>
                <w:color w:val="000000"/>
                <w:szCs w:val="20"/>
              </w:rPr>
              <w:t>-240.8</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Cs/>
                <w:color w:val="000000"/>
                <w:szCs w:val="20"/>
              </w:rPr>
            </w:pPr>
            <w:r w:rsidRPr="0035440F">
              <w:rPr>
                <w:rFonts w:ascii="Calibri" w:hAnsi="Calibri"/>
                <w:b/>
                <w:iCs/>
                <w:color w:val="000000"/>
                <w:szCs w:val="20"/>
              </w:rPr>
              <w:t>-381.3</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Cs/>
                <w:color w:val="000000"/>
                <w:szCs w:val="20"/>
              </w:rPr>
            </w:pPr>
            <w:r w:rsidRPr="0035440F">
              <w:rPr>
                <w:rFonts w:ascii="Calibri" w:hAnsi="Calibri"/>
                <w:b/>
                <w:iCs/>
                <w:color w:val="000000"/>
                <w:szCs w:val="20"/>
              </w:rPr>
              <w:t>-521.8</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Cs/>
                <w:color w:val="000000"/>
                <w:szCs w:val="20"/>
              </w:rPr>
            </w:pPr>
            <w:r w:rsidRPr="0035440F">
              <w:rPr>
                <w:rFonts w:ascii="Calibri" w:hAnsi="Calibri"/>
                <w:b/>
                <w:iCs/>
                <w:color w:val="000000"/>
                <w:szCs w:val="20"/>
              </w:rPr>
              <w:t>-662.2</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Cs/>
                <w:szCs w:val="20"/>
              </w:rPr>
            </w:pPr>
            <w:r w:rsidRPr="0035440F">
              <w:rPr>
                <w:rFonts w:ascii="Calibri" w:hAnsi="Calibri"/>
                <w:b/>
                <w:iCs/>
                <w:szCs w:val="20"/>
              </w:rPr>
              <w:t>-1</w:t>
            </w:r>
            <w:r>
              <w:rPr>
                <w:rFonts w:ascii="Calibri" w:hAnsi="Calibri"/>
                <w:b/>
                <w:iCs/>
                <w:szCs w:val="20"/>
              </w:rPr>
              <w:t>,</w:t>
            </w:r>
            <w:r w:rsidRPr="0035440F">
              <w:rPr>
                <w:rFonts w:ascii="Calibri" w:hAnsi="Calibri"/>
                <w:b/>
                <w:iCs/>
                <w:szCs w:val="20"/>
              </w:rPr>
              <w:t>806.1</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Cs/>
                <w:szCs w:val="20"/>
              </w:rPr>
            </w:pPr>
            <w:r>
              <w:rPr>
                <w:rFonts w:ascii="Calibri" w:hAnsi="Calibri"/>
                <w:b/>
                <w:iCs/>
                <w:szCs w:val="20"/>
              </w:rPr>
              <w:t>-</w:t>
            </w:r>
            <w:r w:rsidRPr="0035440F">
              <w:rPr>
                <w:rFonts w:ascii="Calibri" w:hAnsi="Calibri"/>
                <w:b/>
                <w:iCs/>
                <w:szCs w:val="20"/>
              </w:rPr>
              <w:t>802.3</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Pr>
                <w:rFonts w:ascii="Calibri" w:hAnsi="Calibri"/>
                <w:b/>
                <w:iCs/>
                <w:szCs w:val="20"/>
              </w:rPr>
              <w:t>-</w:t>
            </w:r>
            <w:r w:rsidRPr="0035440F">
              <w:rPr>
                <w:rFonts w:ascii="Calibri" w:hAnsi="Calibri"/>
                <w:b/>
                <w:iCs/>
                <w:szCs w:val="20"/>
              </w:rPr>
              <w:t>802.3</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Pr>
                <w:rFonts w:ascii="Calibri" w:hAnsi="Calibri"/>
                <w:b/>
                <w:iCs/>
                <w:szCs w:val="20"/>
              </w:rPr>
              <w:t>-</w:t>
            </w:r>
            <w:r w:rsidRPr="0035440F">
              <w:rPr>
                <w:rFonts w:ascii="Calibri" w:hAnsi="Calibri"/>
                <w:b/>
                <w:iCs/>
                <w:szCs w:val="20"/>
              </w:rPr>
              <w:t>802.3</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Pr>
                <w:rFonts w:ascii="Calibri" w:hAnsi="Calibri"/>
                <w:b/>
                <w:iCs/>
                <w:szCs w:val="20"/>
              </w:rPr>
              <w:t>-</w:t>
            </w:r>
            <w:r w:rsidRPr="0035440F">
              <w:rPr>
                <w:rFonts w:ascii="Calibri" w:hAnsi="Calibri"/>
                <w:b/>
                <w:iCs/>
                <w:szCs w:val="20"/>
              </w:rPr>
              <w:t>802.3</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Pr>
                <w:rFonts w:ascii="Calibri" w:hAnsi="Calibri"/>
                <w:b/>
                <w:iCs/>
                <w:szCs w:val="20"/>
              </w:rPr>
              <w:t>-</w:t>
            </w:r>
            <w:r w:rsidRPr="0035440F">
              <w:rPr>
                <w:rFonts w:ascii="Calibri" w:hAnsi="Calibri"/>
                <w:b/>
                <w:iCs/>
                <w:szCs w:val="20"/>
              </w:rPr>
              <w:t>802.3</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Cs/>
                <w:szCs w:val="20"/>
              </w:rPr>
            </w:pPr>
            <w:r>
              <w:rPr>
                <w:rFonts w:ascii="Calibri" w:hAnsi="Calibri"/>
                <w:b/>
                <w:iCs/>
                <w:szCs w:val="20"/>
              </w:rPr>
              <w:t>-</w:t>
            </w:r>
            <w:r w:rsidRPr="0035440F">
              <w:rPr>
                <w:rFonts w:ascii="Calibri" w:hAnsi="Calibri"/>
                <w:b/>
                <w:iCs/>
                <w:szCs w:val="20"/>
              </w:rPr>
              <w:t>5,817.6</w:t>
            </w:r>
          </w:p>
        </w:tc>
      </w:tr>
      <w:tr w:rsidR="000B5C96" w:rsidRPr="0035440F"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788184"/>
              <w:left w:val="single" w:sz="4" w:space="0" w:color="788184"/>
              <w:bottom w:val="single" w:sz="4" w:space="0" w:color="788184"/>
              <w:right w:val="single" w:sz="4" w:space="0" w:color="788184"/>
            </w:tcBorders>
            <w:shd w:val="clear" w:color="auto" w:fill="E9ECF3"/>
          </w:tcPr>
          <w:p w:rsidR="000B5C96" w:rsidRPr="0035440F" w:rsidRDefault="000B5C96" w:rsidP="003F606A">
            <w:pPr>
              <w:keepNext/>
              <w:keepLines/>
              <w:ind w:left="57" w:right="57"/>
              <w:rPr>
                <w:b/>
                <w:color w:val="000000"/>
                <w:szCs w:val="20"/>
              </w:rPr>
            </w:pPr>
            <w:r w:rsidRPr="0035440F">
              <w:rPr>
                <w:b/>
                <w:color w:val="000000"/>
                <w:szCs w:val="20"/>
              </w:rPr>
              <w:t>Green Climate Fund</w:t>
            </w:r>
          </w:p>
        </w:tc>
      </w:tr>
      <w:tr w:rsidR="000B5C96" w:rsidRPr="0035440F"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15"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ind w:left="57" w:right="57"/>
              <w:rPr>
                <w:szCs w:val="20"/>
              </w:rPr>
            </w:pPr>
            <w:r w:rsidRPr="0035440F">
              <w:rPr>
                <w:szCs w:val="20"/>
              </w:rPr>
              <w:t>Administered</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-240.0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-380.0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-520.0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-660.0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35440F">
              <w:rPr>
                <w:rFonts w:ascii="Calibri" w:hAnsi="Calibri"/>
                <w:b/>
                <w:i/>
                <w:szCs w:val="20"/>
              </w:rPr>
              <w:t xml:space="preserve">-1,800.0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szCs w:val="20"/>
              </w:rPr>
            </w:pPr>
            <w:r w:rsidRPr="0035440F">
              <w:rPr>
                <w:rFonts w:ascii="Calibri" w:hAnsi="Calibri"/>
                <w:i/>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szCs w:val="20"/>
              </w:rPr>
            </w:pPr>
            <w:r w:rsidRPr="0035440F">
              <w:rPr>
                <w:rFonts w:ascii="Calibri" w:hAnsi="Calibri"/>
                <w:b/>
                <w:i/>
                <w:szCs w:val="20"/>
              </w:rPr>
              <w:t xml:space="preserve">-5,800.0 </w:t>
            </w:r>
          </w:p>
        </w:tc>
      </w:tr>
      <w:tr w:rsidR="000B5C96" w:rsidRPr="0035440F"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15"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ind w:left="57" w:right="57"/>
              <w:rPr>
                <w:szCs w:val="20"/>
              </w:rPr>
            </w:pPr>
            <w:r w:rsidRPr="0035440F">
              <w:rPr>
                <w:szCs w:val="20"/>
              </w:rPr>
              <w:t>Departmental</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i/>
                <w:szCs w:val="20"/>
              </w:rPr>
            </w:pPr>
            <w:r w:rsidRPr="0035440F">
              <w:rPr>
                <w:i/>
                <w:szCs w:val="20"/>
              </w:rPr>
              <w:t>-</w:t>
            </w:r>
          </w:p>
        </w:tc>
      </w:tr>
      <w:tr w:rsidR="000B5C96" w:rsidRPr="0035440F"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15"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keepNext/>
              <w:keepLines/>
              <w:ind w:left="57" w:right="57"/>
              <w:rPr>
                <w:b/>
                <w:szCs w:val="20"/>
              </w:rPr>
            </w:pPr>
            <w:r w:rsidRPr="0035440F">
              <w:rPr>
                <w:b/>
                <w:szCs w:val="20"/>
              </w:rPr>
              <w:t xml:space="preserve">Total - </w:t>
            </w:r>
            <w:r w:rsidRPr="0035440F">
              <w:rPr>
                <w:b/>
                <w:color w:val="000000"/>
                <w:szCs w:val="20"/>
              </w:rPr>
              <w:t>Green Climate Fund</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5440F">
              <w:rPr>
                <w:rFonts w:ascii="Calibri" w:hAnsi="Calibri"/>
                <w:b/>
                <w:szCs w:val="20"/>
              </w:rPr>
              <w:t xml:space="preserve">-240.0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5440F">
              <w:rPr>
                <w:rFonts w:ascii="Calibri" w:hAnsi="Calibri"/>
                <w:b/>
                <w:szCs w:val="20"/>
              </w:rPr>
              <w:t xml:space="preserve">-380.0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5440F">
              <w:rPr>
                <w:rFonts w:ascii="Calibri" w:hAnsi="Calibri"/>
                <w:b/>
                <w:szCs w:val="20"/>
              </w:rPr>
              <w:t xml:space="preserve">-520.0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5440F">
              <w:rPr>
                <w:rFonts w:ascii="Calibri" w:hAnsi="Calibri"/>
                <w:b/>
                <w:szCs w:val="20"/>
              </w:rPr>
              <w:t xml:space="preserve">-660.0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5440F">
              <w:rPr>
                <w:rFonts w:ascii="Calibri" w:hAnsi="Calibri"/>
                <w:b/>
                <w:szCs w:val="20"/>
              </w:rPr>
              <w:t xml:space="preserve">-1,800.0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5440F">
              <w:rPr>
                <w:rFonts w:ascii="Calibri" w:hAnsi="Calibri"/>
                <w:b/>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5440F">
              <w:rPr>
                <w:rFonts w:ascii="Calibri" w:hAnsi="Calibri"/>
                <w:b/>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5440F">
              <w:rPr>
                <w:rFonts w:ascii="Calibri" w:hAnsi="Calibri"/>
                <w:b/>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5440F">
              <w:rPr>
                <w:rFonts w:ascii="Calibri" w:hAnsi="Calibri"/>
                <w:b/>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5440F">
              <w:rPr>
                <w:rFonts w:ascii="Calibri" w:hAnsi="Calibri"/>
                <w:b/>
                <w:szCs w:val="20"/>
              </w:rPr>
              <w:t xml:space="preserve">-800.0 </w:t>
            </w:r>
          </w:p>
        </w:tc>
        <w:tc>
          <w:tcPr>
            <w:tcW w:w="353" w:type="pct"/>
            <w:tcBorders>
              <w:top w:val="single" w:sz="4" w:space="0" w:color="788184"/>
              <w:left w:val="single" w:sz="4" w:space="0" w:color="788184"/>
              <w:bottom w:val="single" w:sz="4" w:space="0" w:color="788184"/>
              <w:right w:val="single" w:sz="4" w:space="0" w:color="788184"/>
            </w:tcBorders>
          </w:tcPr>
          <w:p w:rsidR="000B5C96" w:rsidRPr="0035440F"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35440F">
              <w:rPr>
                <w:rFonts w:ascii="Calibri" w:hAnsi="Calibri"/>
                <w:b/>
                <w:szCs w:val="20"/>
              </w:rPr>
              <w:t xml:space="preserve">-5,800.0 </w:t>
            </w:r>
          </w:p>
        </w:tc>
      </w:tr>
      <w:tr w:rsidR="000B5C96" w:rsidRPr="0035440F"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15"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keepNext/>
              <w:keepLines/>
              <w:ind w:left="57" w:right="57"/>
              <w:rPr>
                <w:b/>
                <w:szCs w:val="20"/>
              </w:rPr>
            </w:pPr>
            <w:r w:rsidRPr="0035440F">
              <w:rPr>
                <w:b/>
                <w:szCs w:val="20"/>
              </w:rPr>
              <w:t>Total</w:t>
            </w:r>
          </w:p>
        </w:tc>
        <w:tc>
          <w:tcPr>
            <w:tcW w:w="353"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35440F">
              <w:rPr>
                <w:b/>
                <w:szCs w:val="20"/>
              </w:rPr>
              <w:t xml:space="preserve">-480.8 </w:t>
            </w:r>
          </w:p>
        </w:tc>
        <w:tc>
          <w:tcPr>
            <w:tcW w:w="353"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35440F">
              <w:rPr>
                <w:b/>
                <w:szCs w:val="20"/>
              </w:rPr>
              <w:t xml:space="preserve">-761.3 </w:t>
            </w:r>
          </w:p>
        </w:tc>
        <w:tc>
          <w:tcPr>
            <w:tcW w:w="353"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35440F">
              <w:rPr>
                <w:b/>
                <w:szCs w:val="20"/>
              </w:rPr>
              <w:t xml:space="preserve">-1,041.8 </w:t>
            </w:r>
          </w:p>
        </w:tc>
        <w:tc>
          <w:tcPr>
            <w:tcW w:w="353"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35440F">
              <w:rPr>
                <w:b/>
                <w:szCs w:val="20"/>
              </w:rPr>
              <w:t xml:space="preserve">-1,322.2 </w:t>
            </w:r>
          </w:p>
        </w:tc>
        <w:tc>
          <w:tcPr>
            <w:tcW w:w="353"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35440F">
              <w:rPr>
                <w:b/>
                <w:szCs w:val="20"/>
              </w:rPr>
              <w:t xml:space="preserve">-3,606.1 </w:t>
            </w:r>
          </w:p>
        </w:tc>
        <w:tc>
          <w:tcPr>
            <w:tcW w:w="353"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35440F">
              <w:rPr>
                <w:b/>
                <w:szCs w:val="20"/>
              </w:rPr>
              <w:t xml:space="preserve">-1,602.3 </w:t>
            </w:r>
          </w:p>
        </w:tc>
        <w:tc>
          <w:tcPr>
            <w:tcW w:w="353"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35440F">
              <w:rPr>
                <w:b/>
                <w:szCs w:val="20"/>
              </w:rPr>
              <w:t xml:space="preserve">-1,602.3 </w:t>
            </w:r>
          </w:p>
        </w:tc>
        <w:tc>
          <w:tcPr>
            <w:tcW w:w="353"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35440F">
              <w:rPr>
                <w:b/>
                <w:szCs w:val="20"/>
              </w:rPr>
              <w:t xml:space="preserve">-1,602.3 </w:t>
            </w:r>
          </w:p>
        </w:tc>
        <w:tc>
          <w:tcPr>
            <w:tcW w:w="353"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35440F">
              <w:rPr>
                <w:b/>
                <w:szCs w:val="20"/>
              </w:rPr>
              <w:t xml:space="preserve">-1,602.3 </w:t>
            </w:r>
          </w:p>
        </w:tc>
        <w:tc>
          <w:tcPr>
            <w:tcW w:w="353"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35440F">
              <w:rPr>
                <w:b/>
                <w:szCs w:val="20"/>
              </w:rPr>
              <w:t xml:space="preserve">-1,602.3 </w:t>
            </w:r>
          </w:p>
        </w:tc>
        <w:tc>
          <w:tcPr>
            <w:tcW w:w="353" w:type="pct"/>
            <w:tcBorders>
              <w:top w:val="single" w:sz="4" w:space="0" w:color="788184"/>
              <w:left w:val="single" w:sz="4" w:space="0" w:color="788184"/>
              <w:bottom w:val="single" w:sz="4" w:space="0" w:color="788184"/>
              <w:right w:val="single" w:sz="4" w:space="0" w:color="788184"/>
            </w:tcBorders>
            <w:shd w:val="clear" w:color="auto" w:fill="D7DDE9"/>
          </w:tcPr>
          <w:p w:rsidR="000B5C96" w:rsidRPr="0035440F" w:rsidRDefault="000B5C96" w:rsidP="003F606A">
            <w:pPr>
              <w:cnfStyle w:val="000000010000" w:firstRow="0" w:lastRow="0" w:firstColumn="0" w:lastColumn="0" w:oddVBand="0" w:evenVBand="0" w:oddHBand="0" w:evenHBand="1" w:firstRowFirstColumn="0" w:firstRowLastColumn="0" w:lastRowFirstColumn="0" w:lastRowLastColumn="0"/>
              <w:rPr>
                <w:b/>
                <w:szCs w:val="20"/>
              </w:rPr>
            </w:pPr>
            <w:r w:rsidRPr="0035440F">
              <w:rPr>
                <w:b/>
                <w:szCs w:val="20"/>
              </w:rPr>
              <w:t xml:space="preserve">-11,617.6 </w:t>
            </w:r>
          </w:p>
        </w:tc>
      </w:tr>
    </w:tbl>
    <w:p w:rsidR="000B5C96" w:rsidRPr="0035440F" w:rsidRDefault="000B5C96" w:rsidP="000B6BA7">
      <w:pPr>
        <w:pStyle w:val="Footnotes"/>
        <w:numPr>
          <w:ilvl w:val="0"/>
          <w:numId w:val="343"/>
        </w:numPr>
        <w:ind w:left="284" w:hanging="284"/>
      </w:pPr>
      <w:r w:rsidRPr="0035440F">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35440F" w:rsidRDefault="000B5C96" w:rsidP="000B5C96">
      <w:pPr>
        <w:pStyle w:val="Footnotes"/>
        <w:numPr>
          <w:ilvl w:val="0"/>
          <w:numId w:val="7"/>
        </w:numPr>
        <w:ind w:left="284" w:hanging="284"/>
      </w:pPr>
      <w:r w:rsidRPr="0035440F">
        <w:t>Figures may not sum to totals due to rounding.</w:t>
      </w:r>
    </w:p>
    <w:p w:rsidR="000B5C96" w:rsidRPr="0035440F" w:rsidRDefault="000B5C96" w:rsidP="000B5C96">
      <w:pPr>
        <w:pStyle w:val="Footnotes"/>
        <w:numPr>
          <w:ilvl w:val="0"/>
          <w:numId w:val="121"/>
        </w:numPr>
        <w:ind w:left="284" w:hanging="284"/>
      </w:pPr>
      <w:r w:rsidRPr="0035440F">
        <w:t>Indicates nil.</w:t>
      </w:r>
    </w:p>
    <w:p w:rsidR="000B5C96" w:rsidRDefault="000B5C96" w:rsidP="000B5C96">
      <w:pPr>
        <w:pStyle w:val="Footnotes"/>
        <w:numPr>
          <w:ilvl w:val="0"/>
          <w:numId w:val="7"/>
        </w:numPr>
        <w:sectPr w:rsidR="000B5C96" w:rsidSect="003F606A">
          <w:headerReference w:type="even" r:id="rId636"/>
          <w:headerReference w:type="default" r:id="rId637"/>
          <w:footerReference w:type="even" r:id="rId638"/>
          <w:footerReference w:type="default" r:id="rId639"/>
          <w:pgSz w:w="16839" w:h="11907" w:orient="landscape" w:code="9"/>
          <w:pgMar w:top="1361" w:right="1797" w:bottom="1474" w:left="1797" w:header="283" w:footer="454" w:gutter="0"/>
          <w:cols w:space="708"/>
          <w:docGrid w:linePitch="360"/>
        </w:sectPr>
      </w:pPr>
    </w:p>
    <w:p w:rsidR="000B5C96" w:rsidRDefault="000B5C96" w:rsidP="003F606A">
      <w:pPr>
        <w:pStyle w:val="Heading5"/>
      </w:pPr>
      <w:bookmarkStart w:id="237" w:name="_Toc458001998"/>
      <w:bookmarkStart w:id="238" w:name="_Toc458069483"/>
      <w:r>
        <w:t>GRN094: Phase Out CGT discount and Negative Gearing</w:t>
      </w:r>
      <w:bookmarkEnd w:id="237"/>
      <w:bookmarkEnd w:id="238"/>
    </w:p>
    <w:p w:rsidR="000B5C96" w:rsidRPr="008A0AE1" w:rsidRDefault="000B5C96" w:rsidP="003F606A">
      <w:pPr>
        <w:pStyle w:val="BodyText"/>
      </w:pPr>
      <w:r>
        <w:rPr>
          <w:noProof/>
          <w:lang w:eastAsia="en-AU"/>
        </w:rPr>
        <w:drawing>
          <wp:inline distT="0" distB="0" distL="0" distR="0" wp14:anchorId="29EE221F" wp14:editId="2F9FD6A1">
            <wp:extent cx="2696845" cy="572135"/>
            <wp:effectExtent l="0" t="0" r="8255" b="0"/>
            <wp:docPr id="61" name="Picture 6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C21ED" w:rsidRDefault="000B5C96" w:rsidP="000B5C96">
      <w:pPr>
        <w:pStyle w:val="Heading6"/>
        <w:numPr>
          <w:ilvl w:val="0"/>
          <w:numId w:val="5"/>
        </w:numPr>
        <w:tabs>
          <w:tab w:val="right" w:pos="1418"/>
          <w:tab w:val="right" w:pos="1701"/>
          <w:tab w:val="right" w:pos="1985"/>
        </w:tabs>
      </w:pPr>
      <w:r w:rsidRPr="00002D5D">
        <w:t>Policy costing—</w:t>
      </w:r>
      <w:r>
        <w:t>2016 post-election report</w:t>
      </w:r>
    </w:p>
    <w:tbl>
      <w:tblPr>
        <w:tblStyle w:val="Style1"/>
        <w:tblW w:w="5000" w:type="pct"/>
        <w:tblLook w:val="04A0" w:firstRow="1" w:lastRow="0" w:firstColumn="1" w:lastColumn="0" w:noHBand="0" w:noVBand="1"/>
      </w:tblPr>
      <w:tblGrid>
        <w:gridCol w:w="3080"/>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sz w:val="22"/>
              </w:rPr>
            </w:pPr>
            <w:r w:rsidRPr="00EA7F7A">
              <w:rPr>
                <w:b/>
                <w:sz w:val="22"/>
              </w:rPr>
              <w:t>Name of proposal:</w:t>
            </w:r>
          </w:p>
        </w:tc>
        <w:tc>
          <w:tcPr>
            <w:tcW w:w="3194" w:type="pct"/>
          </w:tcPr>
          <w:p w:rsidR="000B5C96" w:rsidRPr="00EA7F7A" w:rsidRDefault="000B5C96" w:rsidP="003F606A">
            <w:pPr>
              <w:pStyle w:val="PullOutBoxHeading"/>
              <w:rPr>
                <w:b/>
                <w:sz w:val="22"/>
              </w:rPr>
            </w:pPr>
            <w:r w:rsidRPr="00EA7F7A">
              <w:rPr>
                <w:b/>
                <w:sz w:val="22"/>
              </w:rPr>
              <w:t>Phase Out CGT discount and Negative Gearing</w:t>
            </w:r>
          </w:p>
        </w:tc>
      </w:tr>
      <w:tr w:rsidR="000B5C96" w:rsidRPr="00281E20" w:rsidTr="003F606A">
        <w:tc>
          <w:tcPr>
            <w:tcW w:w="1806" w:type="pct"/>
          </w:tcPr>
          <w:p w:rsidR="000B5C96" w:rsidRPr="00281E20" w:rsidRDefault="000B5C96" w:rsidP="003F606A">
            <w:pPr>
              <w:ind w:left="57" w:right="57"/>
            </w:pPr>
            <w:r w:rsidRPr="00281E20">
              <w:t>Summary of proposal:</w:t>
            </w:r>
          </w:p>
        </w:tc>
        <w:tc>
          <w:tcPr>
            <w:tcW w:w="3194" w:type="pct"/>
          </w:tcPr>
          <w:p w:rsidR="000B5C96" w:rsidRDefault="000B5C96" w:rsidP="003F606A">
            <w:pPr>
              <w:pStyle w:val="PullOutBoxBodyText"/>
            </w:pPr>
            <w:r>
              <w:t>The proposal has two components:</w:t>
            </w:r>
          </w:p>
          <w:p w:rsidR="000B5C96" w:rsidRDefault="000B5C96" w:rsidP="003F606A">
            <w:pPr>
              <w:pStyle w:val="PullOutBoxBodyText"/>
              <w:rPr>
                <w:u w:val="single"/>
              </w:rPr>
            </w:pPr>
            <w:r>
              <w:rPr>
                <w:u w:val="single"/>
              </w:rPr>
              <w:t>Component 1 - Phase out the capital gains tax (CGT) discount</w:t>
            </w:r>
          </w:p>
          <w:p w:rsidR="000B5C96" w:rsidRPr="005921B6" w:rsidRDefault="000B5C96" w:rsidP="000B5C96">
            <w:pPr>
              <w:pStyle w:val="PullOutBoxBullet"/>
              <w:numPr>
                <w:ilvl w:val="0"/>
                <w:numId w:val="2"/>
              </w:numPr>
              <w:ind w:left="397"/>
            </w:pPr>
            <w:r w:rsidRPr="00043C02">
              <w:t>This</w:t>
            </w:r>
            <w:r>
              <w:t xml:space="preserve"> component would progressively phase out the </w:t>
            </w:r>
            <w:r w:rsidRPr="005F1D7A">
              <w:t>50 per cent CGT discount for trusts and individuals for capital gains realised on or after 1 July 2016.</w:t>
            </w:r>
          </w:p>
          <w:p w:rsidR="000B5C96" w:rsidRPr="008C4273" w:rsidRDefault="000B5C96" w:rsidP="000B5C96">
            <w:pPr>
              <w:pStyle w:val="PullOutBoxBullet"/>
              <w:numPr>
                <w:ilvl w:val="0"/>
                <w:numId w:val="2"/>
              </w:numPr>
              <w:ind w:left="397"/>
              <w:rPr>
                <w:u w:val="single"/>
              </w:rPr>
            </w:pPr>
            <w:r w:rsidRPr="005F1D7A">
              <w:t>The CGT discount would be phased out by 10 percentage points each year for five years to phase out entirely by 1</w:t>
            </w:r>
            <w:r>
              <w:t> July 2020.</w:t>
            </w:r>
          </w:p>
          <w:p w:rsidR="000B5C96" w:rsidRPr="00E830D1" w:rsidRDefault="000B5C96" w:rsidP="003F606A">
            <w:pPr>
              <w:pStyle w:val="PullOutBoxBodyText"/>
              <w:rPr>
                <w:u w:val="single"/>
              </w:rPr>
            </w:pPr>
            <w:r w:rsidRPr="00E830D1">
              <w:rPr>
                <w:u w:val="single"/>
              </w:rPr>
              <w:t>Component 2 - Remove negative gearing</w:t>
            </w:r>
          </w:p>
          <w:p w:rsidR="000B5C96" w:rsidRPr="005F1D7A" w:rsidRDefault="000B5C96" w:rsidP="000B5C96">
            <w:pPr>
              <w:pStyle w:val="PullOutBoxBullet"/>
              <w:numPr>
                <w:ilvl w:val="0"/>
                <w:numId w:val="2"/>
              </w:numPr>
              <w:ind w:left="397"/>
            </w:pPr>
            <w:r>
              <w:t xml:space="preserve">This component would remove negative gearing for all non-business assets purchased by individuals, funds, trusts, </w:t>
            </w:r>
            <w:r w:rsidRPr="005F1D7A">
              <w:t>partnerships and companies on or after 1 July 2016, with assets purchased prior to this date grandfathered.</w:t>
            </w:r>
          </w:p>
          <w:p w:rsidR="000B5C96" w:rsidRPr="005F1D7A" w:rsidRDefault="000B5C96" w:rsidP="000B5C96">
            <w:pPr>
              <w:pStyle w:val="PullOutBoxBullet"/>
              <w:numPr>
                <w:ilvl w:val="0"/>
                <w:numId w:val="2"/>
              </w:numPr>
              <w:ind w:left="397"/>
            </w:pPr>
            <w:r w:rsidRPr="005F1D7A">
              <w:t>Deductions would be restricted to the same class of asset in which the losses were incurred.</w:t>
            </w:r>
          </w:p>
          <w:p w:rsidR="000B5C96" w:rsidRPr="00752FC3" w:rsidRDefault="000B5C96" w:rsidP="000B5C96">
            <w:pPr>
              <w:pStyle w:val="PullOutBoxBullet"/>
              <w:numPr>
                <w:ilvl w:val="0"/>
                <w:numId w:val="2"/>
              </w:numPr>
              <w:ind w:left="397"/>
            </w:pPr>
            <w:r w:rsidRPr="005F1D7A">
              <w:t>Within-year losses could not be carried forward to offset future rental</w:t>
            </w:r>
            <w:r>
              <w:t xml:space="preserve"> gains, and could not be used to offset the ultimate capital gain when the asset is sold. </w:t>
            </w:r>
          </w:p>
        </w:tc>
      </w:tr>
      <w:tr w:rsidR="000B5C96" w:rsidRPr="00281E20" w:rsidTr="003F606A">
        <w:tc>
          <w:tcPr>
            <w:tcW w:w="1806" w:type="pct"/>
          </w:tcPr>
          <w:p w:rsidR="000B5C96" w:rsidRPr="00281E20" w:rsidRDefault="000B5C96" w:rsidP="003F606A">
            <w:pPr>
              <w:pStyle w:val="PullOutBoxBodyText"/>
            </w:pPr>
            <w:r w:rsidRPr="00281E20">
              <w:t>Party</w:t>
            </w:r>
            <w:r>
              <w:t>:</w:t>
            </w:r>
            <w:r w:rsidRPr="00281E20">
              <w:t xml:space="preserve"> </w:t>
            </w:r>
          </w:p>
        </w:tc>
        <w:tc>
          <w:tcPr>
            <w:tcW w:w="3194" w:type="pct"/>
          </w:tcPr>
          <w:p w:rsidR="000B5C96" w:rsidRPr="00752FC3" w:rsidRDefault="000B5C96" w:rsidP="003F606A">
            <w:pPr>
              <w:pStyle w:val="PullOutBoxBodyText"/>
            </w:pPr>
            <w:r>
              <w:t>Australian Greens</w:t>
            </w:r>
          </w:p>
        </w:tc>
      </w:tr>
      <w:tr w:rsidR="000B5C96" w:rsidRPr="00281E20" w:rsidTr="003F606A">
        <w:tc>
          <w:tcPr>
            <w:tcW w:w="1806" w:type="pct"/>
          </w:tcPr>
          <w:p w:rsidR="000B5C96" w:rsidRPr="00281E20" w:rsidRDefault="000B5C96" w:rsidP="003F606A">
            <w:pPr>
              <w:pStyle w:val="PullOutBoxBodyText"/>
            </w:pPr>
            <w:r w:rsidRPr="00281E20">
              <w:t>Expiry date for the costing:</w:t>
            </w:r>
          </w:p>
        </w:tc>
        <w:tc>
          <w:tcPr>
            <w:tcW w:w="3194" w:type="pct"/>
          </w:tcPr>
          <w:p w:rsidR="000B5C96" w:rsidRPr="00752FC3" w:rsidRDefault="000B5C96" w:rsidP="003F606A">
            <w:pPr>
              <w:pStyle w:val="PullOutBoxBodyText"/>
            </w:pPr>
            <w:r>
              <w:t>R</w:t>
            </w:r>
            <w:r w:rsidRPr="0064604B">
              <w:t xml:space="preserve">elease of the </w:t>
            </w:r>
            <w:r>
              <w:t>next economic and fiscal update</w:t>
            </w:r>
          </w:p>
        </w:tc>
      </w:tr>
    </w:tbl>
    <w:p w:rsidR="000B5C96" w:rsidRPr="00002D5D" w:rsidRDefault="000B5C96" w:rsidP="003F606A">
      <w:pPr>
        <w:pStyle w:val="CostingsH7"/>
      </w:pPr>
      <w:r w:rsidRPr="00002D5D">
        <w:t>Costing overview</w:t>
      </w:r>
    </w:p>
    <w:p w:rsidR="000B5C96" w:rsidRDefault="000B5C96" w:rsidP="003F606A">
      <w:pPr>
        <w:pStyle w:val="BodyText"/>
      </w:pPr>
      <w:r w:rsidRPr="00395698">
        <w:t xml:space="preserve">This proposal would be expected to increase </w:t>
      </w:r>
      <w:r>
        <w:t xml:space="preserve">the fiscal and </w:t>
      </w:r>
      <w:r w:rsidRPr="00395698">
        <w:t>underlying cash balances by $14,426 million over the 2016</w:t>
      </w:r>
      <w:r w:rsidRPr="00395698">
        <w:noBreakHyphen/>
        <w:t>17 Budget forward estimates period</w:t>
      </w:r>
      <w:r>
        <w:t xml:space="preserve">, </w:t>
      </w:r>
      <w:r w:rsidRPr="00395698">
        <w:t>reflect</w:t>
      </w:r>
      <w:r>
        <w:t>ing</w:t>
      </w:r>
      <w:r w:rsidRPr="00395698">
        <w:t xml:space="preserve"> an increase in revenue of $14,450 million and an increase in departmental expenses of $24</w:t>
      </w:r>
      <w:r>
        <w:t> million over this period.</w:t>
      </w:r>
    </w:p>
    <w:p w:rsidR="000B5C96" w:rsidRPr="00A51B86" w:rsidRDefault="000B5C96" w:rsidP="003F606A">
      <w:pPr>
        <w:pStyle w:val="BodyText"/>
        <w:rPr>
          <w:rFonts w:ascii="Calibri" w:eastAsia="Calibri" w:hAnsi="Calibri"/>
        </w:rPr>
      </w:pPr>
      <w:r w:rsidRPr="00A51B86">
        <w:rPr>
          <w:rFonts w:ascii="Calibri" w:eastAsia="Calibri" w:hAnsi="Calibri"/>
        </w:rPr>
        <w:t>This proposal would have an ongoing impact that extends beyond the 2016</w:t>
      </w:r>
      <w:r w:rsidRPr="00A51B86">
        <w:rPr>
          <w:rFonts w:ascii="Calibri" w:eastAsia="Calibri" w:hAnsi="Calibri"/>
        </w:rPr>
        <w:noBreakHyphen/>
        <w:t>17 Budget forward estimates period.  The proposal would not fully mature</w:t>
      </w:r>
      <w:r w:rsidRPr="00365126">
        <w:rPr>
          <w:rStyle w:val="FootnoteReference"/>
        </w:rPr>
        <w:footnoteReference w:id="15"/>
      </w:r>
      <w:r w:rsidRPr="00A51B86">
        <w:rPr>
          <w:rFonts w:ascii="Calibri" w:eastAsia="Calibri" w:hAnsi="Calibri"/>
        </w:rPr>
        <w:t xml:space="preserve"> until there were no remaining affected assets covered by the negative gearing grandfathering provisions (that is, purchased prior to 1 July 2016) and the phase-out period for the CGT discount ended.  Detailed financial implications of the proposal are provided at </w:t>
      </w:r>
      <w:r w:rsidRPr="00A51B86">
        <w:rPr>
          <w:rFonts w:ascii="Calibri" w:eastAsia="Calibri" w:hAnsi="Calibri"/>
          <w:u w:val="single"/>
        </w:rPr>
        <w:t>Attachment A</w:t>
      </w:r>
      <w:r w:rsidRPr="00A51B86">
        <w:rPr>
          <w:rFonts w:ascii="Calibri" w:eastAsia="Calibri" w:hAnsi="Calibri"/>
        </w:rPr>
        <w:t xml:space="preserve">.   </w:t>
      </w:r>
    </w:p>
    <w:p w:rsidR="000B5C96" w:rsidRPr="00A51B86" w:rsidRDefault="000B5C96" w:rsidP="003F606A">
      <w:pPr>
        <w:pStyle w:val="BodyText"/>
        <w:rPr>
          <w:rFonts w:ascii="Calibri" w:eastAsia="Calibri" w:hAnsi="Calibri"/>
        </w:rPr>
      </w:pPr>
      <w:r w:rsidRPr="00A51B86">
        <w:rPr>
          <w:rFonts w:ascii="Calibri" w:eastAsia="Calibri" w:hAnsi="Calibri"/>
        </w:rPr>
        <w:t>The increase in departmental expenses associated with the proposal would allow the Australian Taxation Office (ATO) to make systems changes, conduct information campaigns and undertake compliance activities.</w:t>
      </w:r>
    </w:p>
    <w:p w:rsidR="000B5C96" w:rsidRPr="00A51B86" w:rsidRDefault="000B5C96" w:rsidP="003F606A">
      <w:pPr>
        <w:pStyle w:val="BodyText"/>
        <w:rPr>
          <w:rFonts w:ascii="Calibri" w:eastAsia="Calibri" w:hAnsi="Calibri"/>
        </w:rPr>
      </w:pPr>
      <w:r w:rsidRPr="00A51B86">
        <w:rPr>
          <w:rFonts w:ascii="Calibri" w:eastAsia="Calibri" w:hAnsi="Calibri"/>
        </w:rPr>
        <w:t xml:space="preserve">The costing is considered to be of low reliability due to uncertainty surrounding behavioural responses, broader economic impacts and assumptions surrounding the growth in the components of net investment income and capital gains.  </w:t>
      </w:r>
      <w:r w:rsidRPr="00A51B86" w:rsidDel="006F25A6">
        <w:rPr>
          <w:rFonts w:ascii="Calibri" w:eastAsia="Calibri" w:hAnsi="Calibri"/>
        </w:rPr>
        <w:t xml:space="preserve">In addition, the reliability of the costing decreases the further into the future the estimates are projected.  </w:t>
      </w:r>
    </w:p>
    <w:p w:rsidR="000B5C96" w:rsidRPr="00A51B86" w:rsidRDefault="000B5C96" w:rsidP="003F606A">
      <w:pPr>
        <w:pStyle w:val="BodyText"/>
        <w:rPr>
          <w:rFonts w:ascii="Calibri" w:eastAsia="Calibri" w:hAnsi="Calibri"/>
        </w:rPr>
      </w:pPr>
      <w:r w:rsidRPr="00A51B86">
        <w:rPr>
          <w:rFonts w:ascii="Calibri" w:eastAsia="Calibri" w:hAnsi="Calibri"/>
        </w:rPr>
        <w:t xml:space="preserve">This response does not account for the potential broader macroeconomic </w:t>
      </w:r>
      <w:r>
        <w:rPr>
          <w:rFonts w:ascii="Calibri" w:eastAsia="Calibri" w:hAnsi="Calibri"/>
        </w:rPr>
        <w:t>implications of this proposal.</w:t>
      </w:r>
    </w:p>
    <w:p w:rsidR="000B5C96" w:rsidRPr="00A51B86" w:rsidRDefault="000B5C96" w:rsidP="003F606A">
      <w:pPr>
        <w:pStyle w:val="Caption"/>
      </w:pPr>
      <w:r w:rsidRPr="00A51B86">
        <w:t>Table 1: Financial implications (outturn prices)</w:t>
      </w:r>
      <w:r w:rsidRPr="00A51B86">
        <w:rPr>
          <w:vertAlign w:val="superscript"/>
        </w:rPr>
        <w:t>(a)(b)</w:t>
      </w:r>
    </w:p>
    <w:tbl>
      <w:tblPr>
        <w:tblStyle w:val="TableGrid100"/>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7"/>
        <w:gridCol w:w="1135"/>
        <w:gridCol w:w="1134"/>
        <w:gridCol w:w="1134"/>
        <w:gridCol w:w="1134"/>
        <w:gridCol w:w="1133"/>
      </w:tblGrid>
      <w:tr w:rsidR="000B5C96" w:rsidRPr="00A51B86"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tcPr>
          <w:p w:rsidR="000B5C96" w:rsidRPr="00A51B86" w:rsidRDefault="000B5C96" w:rsidP="003F606A">
            <w:pPr>
              <w:keepNext/>
              <w:keepLines/>
              <w:spacing w:line="240" w:lineRule="auto"/>
              <w:ind w:left="57" w:right="57"/>
              <w:rPr>
                <w:szCs w:val="20"/>
              </w:rPr>
            </w:pPr>
            <w:r w:rsidRPr="00A51B86">
              <w:rPr>
                <w:szCs w:val="20"/>
              </w:rPr>
              <w:t>Impact on ($m)</w:t>
            </w:r>
          </w:p>
        </w:tc>
        <w:tc>
          <w:tcPr>
            <w:tcW w:w="682" w:type="pct"/>
            <w:tcBorders>
              <w:top w:val="single" w:sz="4" w:space="0" w:color="788184"/>
              <w:left w:val="single" w:sz="4" w:space="0" w:color="788184"/>
              <w:bottom w:val="single" w:sz="4" w:space="0" w:color="788184"/>
              <w:right w:val="single" w:sz="4" w:space="0" w:color="788184"/>
            </w:tcBorders>
          </w:tcPr>
          <w:p w:rsidR="000B5C96" w:rsidRPr="00A51B8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51B86">
              <w:rPr>
                <w:szCs w:val="20"/>
              </w:rPr>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A51B8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51B86">
              <w:rPr>
                <w:szCs w:val="20"/>
              </w:rPr>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A51B8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51B86">
              <w:rPr>
                <w:szCs w:val="20"/>
              </w:rPr>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A51B8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A51B86">
              <w:rPr>
                <w:szCs w:val="20"/>
              </w:rPr>
              <w:t>2019–20</w:t>
            </w:r>
          </w:p>
        </w:tc>
        <w:tc>
          <w:tcPr>
            <w:tcW w:w="681" w:type="pct"/>
            <w:tcBorders>
              <w:top w:val="single" w:sz="4" w:space="0" w:color="788184"/>
              <w:left w:val="single" w:sz="4" w:space="0" w:color="788184"/>
              <w:bottom w:val="single" w:sz="4" w:space="0" w:color="788184"/>
              <w:right w:val="single" w:sz="4" w:space="0" w:color="788184"/>
            </w:tcBorders>
          </w:tcPr>
          <w:p w:rsidR="000B5C96" w:rsidRPr="00A51B8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A51B86">
              <w:rPr>
                <w:b/>
                <w:szCs w:val="20"/>
              </w:rPr>
              <w:t>Total</w:t>
            </w:r>
          </w:p>
        </w:tc>
      </w:tr>
      <w:tr w:rsidR="000B5C96" w:rsidRPr="00A51B8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rPr>
                <w:szCs w:val="20"/>
              </w:rPr>
            </w:pPr>
            <w:r w:rsidRPr="00A51B86">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51B86">
              <w:rPr>
                <w:rFonts w:ascii="Calibri" w:hAnsi="Calibri"/>
                <w:sz w:val="20"/>
                <w:szCs w:val="20"/>
              </w:rPr>
              <w:t>-12.0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51B86">
              <w:rPr>
                <w:rFonts w:ascii="Calibri" w:hAnsi="Calibri"/>
                <w:sz w:val="20"/>
                <w:szCs w:val="20"/>
              </w:rPr>
              <w:t>2,292.0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51B86">
              <w:rPr>
                <w:rFonts w:ascii="Calibri" w:hAnsi="Calibri"/>
                <w:sz w:val="20"/>
                <w:szCs w:val="20"/>
              </w:rPr>
              <w:t>4,798.0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51B86">
              <w:rPr>
                <w:rFonts w:ascii="Calibri" w:hAnsi="Calibri"/>
                <w:sz w:val="20"/>
                <w:szCs w:val="20"/>
              </w:rPr>
              <w:t>7,348.0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A51B86">
              <w:rPr>
                <w:rFonts w:ascii="Calibri" w:hAnsi="Calibri"/>
                <w:b/>
                <w:sz w:val="20"/>
                <w:szCs w:val="20"/>
              </w:rPr>
              <w:t>14,426.0</w:t>
            </w:r>
          </w:p>
        </w:tc>
      </w:tr>
      <w:tr w:rsidR="000B5C96" w:rsidRPr="00A51B86"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rPr>
                <w:szCs w:val="20"/>
              </w:rPr>
            </w:pPr>
            <w:r w:rsidRPr="00A51B86">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A51B86">
              <w:rPr>
                <w:szCs w:val="20"/>
              </w:rPr>
              <w:t>-12.0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A51B86">
              <w:rPr>
                <w:szCs w:val="20"/>
              </w:rPr>
              <w:t>2,292.0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A51B86">
              <w:rPr>
                <w:szCs w:val="20"/>
              </w:rPr>
              <w:t>4,798.0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A51B86">
              <w:rPr>
                <w:szCs w:val="20"/>
              </w:rPr>
              <w:t>7,348.0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A51B86" w:rsidRDefault="000B5C96" w:rsidP="003F606A">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A51B86">
              <w:rPr>
                <w:b/>
                <w:szCs w:val="20"/>
              </w:rPr>
              <w:t>14,426.0</w:t>
            </w:r>
          </w:p>
        </w:tc>
      </w:tr>
    </w:tbl>
    <w:p w:rsidR="000B5C96" w:rsidRPr="00A51B86" w:rsidRDefault="000B5C96" w:rsidP="000B6BA7">
      <w:pPr>
        <w:pStyle w:val="Footnotes"/>
        <w:numPr>
          <w:ilvl w:val="0"/>
          <w:numId w:val="344"/>
        </w:numPr>
        <w:ind w:left="284" w:hanging="284"/>
      </w:pPr>
      <w:r w:rsidRPr="00A51B86">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A51B86" w:rsidRDefault="000B5C96" w:rsidP="000B5C96">
      <w:pPr>
        <w:pStyle w:val="Footnotes"/>
        <w:numPr>
          <w:ilvl w:val="0"/>
          <w:numId w:val="7"/>
        </w:numPr>
        <w:ind w:left="284" w:hanging="284"/>
      </w:pPr>
      <w:r w:rsidRPr="00A51B86">
        <w:t xml:space="preserve">Figures may not sum to totals due to rounding. </w:t>
      </w:r>
    </w:p>
    <w:p w:rsidR="000B5C96" w:rsidRPr="00A51B86" w:rsidRDefault="000B5C96" w:rsidP="003F606A">
      <w:pPr>
        <w:pStyle w:val="CostingsH7"/>
        <w:rPr>
          <w:rFonts w:eastAsia="Calibri"/>
        </w:rPr>
      </w:pPr>
      <w:r>
        <w:t xml:space="preserve"> </w:t>
      </w:r>
      <w:r w:rsidRPr="00A51B86">
        <w:rPr>
          <w:rFonts w:eastAsia="Calibri"/>
        </w:rPr>
        <w:t>Key assumptions</w:t>
      </w:r>
    </w:p>
    <w:p w:rsidR="000B5C96" w:rsidRPr="00A51B86" w:rsidRDefault="000B5C96" w:rsidP="000B5C96">
      <w:pPr>
        <w:pStyle w:val="ListBullet"/>
        <w:numPr>
          <w:ilvl w:val="0"/>
          <w:numId w:val="123"/>
        </w:numPr>
        <w:ind w:left="454" w:hanging="454"/>
        <w:rPr>
          <w:lang w:eastAsia="en-AU"/>
        </w:rPr>
      </w:pPr>
      <w:r w:rsidRPr="00A51B86">
        <w:rPr>
          <w:lang w:eastAsia="en-AU"/>
        </w:rPr>
        <w:t>The proposal would have effect from 1 July 2016 and enabling legislation would be implemented before 1 July 2017 (the date from which tax returns for the 2016-17 financial year can be submitted to the ATO).</w:t>
      </w:r>
    </w:p>
    <w:p w:rsidR="000B5C96" w:rsidRPr="00A51B86" w:rsidRDefault="000B5C96" w:rsidP="000B5C96">
      <w:pPr>
        <w:pStyle w:val="ListBullet"/>
        <w:numPr>
          <w:ilvl w:val="0"/>
          <w:numId w:val="123"/>
        </w:numPr>
        <w:ind w:left="454" w:hanging="454"/>
        <w:rPr>
          <w:lang w:eastAsia="en-AU"/>
        </w:rPr>
      </w:pPr>
      <w:r w:rsidRPr="00A51B86">
        <w:rPr>
          <w:lang w:eastAsia="en-AU"/>
        </w:rPr>
        <w:t>There are a number of potential behavioural responses associated with changes to negative gearing and the CGT discount.  This costing includes an assumed behavioural response to account for the increased use of alternative mechanisms t</w:t>
      </w:r>
      <w:r>
        <w:rPr>
          <w:lang w:eastAsia="en-AU"/>
        </w:rPr>
        <w:t>o reduce tax liability.</w:t>
      </w:r>
    </w:p>
    <w:p w:rsidR="000B5C96" w:rsidRPr="00A51B86" w:rsidRDefault="000B5C96" w:rsidP="000B5C96">
      <w:pPr>
        <w:pStyle w:val="ListBullet"/>
        <w:numPr>
          <w:ilvl w:val="0"/>
          <w:numId w:val="123"/>
        </w:numPr>
        <w:ind w:left="454" w:hanging="454"/>
        <w:rPr>
          <w:lang w:eastAsia="en-AU"/>
        </w:rPr>
      </w:pPr>
      <w:r w:rsidRPr="00A51B86">
        <w:rPr>
          <w:lang w:eastAsia="en-AU"/>
        </w:rPr>
        <w:t>It is assumed that some taxpayers would choose to bring forward the realisation of capital gains for each year during the phase-out period to take advantage of the more concessional CGT discount.</w:t>
      </w:r>
    </w:p>
    <w:p w:rsidR="000B5C96" w:rsidRDefault="000B5C96" w:rsidP="000B5C96">
      <w:pPr>
        <w:pStyle w:val="ListBullet"/>
        <w:keepNext/>
        <w:numPr>
          <w:ilvl w:val="0"/>
          <w:numId w:val="123"/>
        </w:numPr>
        <w:ind w:left="454" w:hanging="454"/>
      </w:pPr>
      <w:r>
        <w:t>Assumptions regarding negative gearing arrangements and investment income and deductions arising from assets purchased on or after the date of effect are based on an examination of:</w:t>
      </w:r>
    </w:p>
    <w:p w:rsidR="000B5C96" w:rsidRDefault="000B5C96" w:rsidP="000B5C96">
      <w:pPr>
        <w:pStyle w:val="ListBullet2"/>
        <w:numPr>
          <w:ilvl w:val="0"/>
          <w:numId w:val="124"/>
        </w:numPr>
        <w:ind w:left="908" w:hanging="454"/>
      </w:pPr>
      <w:r>
        <w:t>ATO rental income schedule</w:t>
      </w:r>
    </w:p>
    <w:p w:rsidR="000B5C96" w:rsidRDefault="000B5C96" w:rsidP="000B5C96">
      <w:pPr>
        <w:pStyle w:val="ListBullet2"/>
        <w:numPr>
          <w:ilvl w:val="0"/>
          <w:numId w:val="124"/>
        </w:numPr>
        <w:ind w:left="908" w:hanging="454"/>
      </w:pPr>
      <w:r>
        <w:t>unit record data from the Australian Bureau of Statistics (ABS) Survey of Income and Housing</w:t>
      </w:r>
    </w:p>
    <w:p w:rsidR="000B5C96" w:rsidRDefault="000B5C96" w:rsidP="000B5C96">
      <w:pPr>
        <w:pStyle w:val="ListBullet2"/>
        <w:numPr>
          <w:ilvl w:val="0"/>
          <w:numId w:val="124"/>
        </w:numPr>
        <w:ind w:left="908" w:hanging="454"/>
      </w:pPr>
      <w:r>
        <w:t>data relating to holding times of residential property in the United States (US) from the US Census Bureau and US Department of Housing and Urban Development’s 2007 American Housing Survey</w:t>
      </w:r>
    </w:p>
    <w:p w:rsidR="000B5C96" w:rsidRDefault="000B5C96" w:rsidP="000B5C96">
      <w:pPr>
        <w:pStyle w:val="ListBullet2"/>
        <w:numPr>
          <w:ilvl w:val="0"/>
          <w:numId w:val="124"/>
        </w:numPr>
        <w:ind w:left="908" w:hanging="454"/>
      </w:pPr>
      <w:r>
        <w:t>data on holding times of Australian equities from the 2012 Australian Share Ownership Study.</w:t>
      </w:r>
    </w:p>
    <w:p w:rsidR="000B5C96" w:rsidRDefault="000B5C96" w:rsidP="000B5C96">
      <w:pPr>
        <w:pStyle w:val="ListBullet"/>
        <w:numPr>
          <w:ilvl w:val="0"/>
          <w:numId w:val="123"/>
        </w:numPr>
        <w:ind w:left="454" w:hanging="454"/>
      </w:pPr>
      <w:r w:rsidRPr="00D46183">
        <w:t xml:space="preserve">This proposal may have broader macroeconomic implications, including changes to asset prices, rents, interest rates and housing supply.  However as the size (and direction) of the broader macroeconomic implications would depend on the use to which the additional revenue was put, they </w:t>
      </w:r>
      <w:r>
        <w:t>have not</w:t>
      </w:r>
      <w:r w:rsidRPr="00D46183">
        <w:t xml:space="preserve"> been included in this costing.</w:t>
      </w:r>
    </w:p>
    <w:p w:rsidR="000B5C96" w:rsidRDefault="000B5C96" w:rsidP="000B5C96">
      <w:pPr>
        <w:pStyle w:val="ListBullet"/>
        <w:numPr>
          <w:ilvl w:val="0"/>
          <w:numId w:val="123"/>
        </w:numPr>
        <w:ind w:left="454" w:hanging="454"/>
      </w:pPr>
      <w:r>
        <w:t>The impact on payments to families and income support recipients due to changes in their incomes as a result of the proposal would not be expected to be significant and has not been included in the costing.</w:t>
      </w:r>
    </w:p>
    <w:p w:rsidR="000B5C96" w:rsidRPr="00FC6579" w:rsidRDefault="000B5C96" w:rsidP="003F606A">
      <w:pPr>
        <w:pStyle w:val="CostingsH7"/>
      </w:pPr>
      <w:r w:rsidRPr="00FC6579">
        <w:t>Methodology</w:t>
      </w:r>
    </w:p>
    <w:p w:rsidR="000B5C96" w:rsidRPr="00157C7E" w:rsidRDefault="000B5C96" w:rsidP="003F606A">
      <w:pPr>
        <w:pStyle w:val="CostingsH8"/>
      </w:pPr>
      <w:r w:rsidRPr="00157C7E">
        <w:t>Component 1</w:t>
      </w:r>
      <w:r>
        <w:t xml:space="preserve"> - </w:t>
      </w:r>
      <w:r w:rsidRPr="00157C7E">
        <w:t>Phas</w:t>
      </w:r>
      <w:r>
        <w:t>e</w:t>
      </w:r>
      <w:r w:rsidRPr="00157C7E">
        <w:t xml:space="preserve"> out the CGT discount</w:t>
      </w:r>
    </w:p>
    <w:p w:rsidR="000B5C96" w:rsidRDefault="000B5C96" w:rsidP="000B5C96">
      <w:pPr>
        <w:pStyle w:val="ListBullet"/>
        <w:numPr>
          <w:ilvl w:val="0"/>
          <w:numId w:val="123"/>
        </w:numPr>
        <w:ind w:left="454" w:hanging="454"/>
      </w:pPr>
      <w:r>
        <w:t>The expected revenue collections were calculated with the current discount (the base scenario) and with the proposed discounts during the phase-out period.</w:t>
      </w:r>
    </w:p>
    <w:p w:rsidR="000B5C96" w:rsidRDefault="000B5C96" w:rsidP="000B5C96">
      <w:pPr>
        <w:pStyle w:val="ListBullet2"/>
        <w:numPr>
          <w:ilvl w:val="0"/>
          <w:numId w:val="124"/>
        </w:numPr>
        <w:ind w:left="908" w:hanging="454"/>
      </w:pPr>
      <w:r>
        <w:t>The amount of assessable income from capital gains was estimated for each year from 2016</w:t>
      </w:r>
      <w:r>
        <w:noBreakHyphen/>
        <w:t>17 to 2026-27, based on current revenue estimates and projections of CGT.</w:t>
      </w:r>
    </w:p>
    <w:p w:rsidR="000B5C96" w:rsidRDefault="000B5C96" w:rsidP="000B5C96">
      <w:pPr>
        <w:pStyle w:val="ListBullet2"/>
        <w:numPr>
          <w:ilvl w:val="0"/>
          <w:numId w:val="124"/>
        </w:numPr>
        <w:ind w:left="908" w:hanging="454"/>
      </w:pPr>
      <w:r>
        <w:t xml:space="preserve">An </w:t>
      </w:r>
      <w:r w:rsidRPr="00662311">
        <w:t>average</w:t>
      </w:r>
      <w:r>
        <w:t xml:space="preserve"> marginal tax rate for individuals claiming net capital gains was estimated based on historic tax data, expected future income growth and announced future changes to tax rates.</w:t>
      </w:r>
    </w:p>
    <w:p w:rsidR="000B5C96" w:rsidRDefault="000B5C96" w:rsidP="000B5C96">
      <w:pPr>
        <w:pStyle w:val="ListBullet2"/>
        <w:numPr>
          <w:ilvl w:val="0"/>
          <w:numId w:val="124"/>
        </w:numPr>
        <w:ind w:left="908" w:hanging="454"/>
      </w:pPr>
      <w:r>
        <w:t>Under the proposed policy, “bring forward” factors were applied to capital gains income to account for taxpayers taking advantage of the greater discount applicable before each change in discount during the phase-out period.</w:t>
      </w:r>
    </w:p>
    <w:p w:rsidR="000B5C96" w:rsidRDefault="000B5C96" w:rsidP="000B5C96">
      <w:pPr>
        <w:pStyle w:val="ListBullet2"/>
        <w:numPr>
          <w:ilvl w:val="0"/>
          <w:numId w:val="124"/>
        </w:numPr>
        <w:ind w:left="908" w:hanging="454"/>
      </w:pPr>
      <w:r>
        <w:t>A longer-term behavioural response was then applied to investment in CGT assets to take into account some investors shifting from assets with the capital gains discount towards other assets.</w:t>
      </w:r>
    </w:p>
    <w:p w:rsidR="000B5C96" w:rsidRPr="00157C7E" w:rsidRDefault="000B5C96" w:rsidP="003F606A">
      <w:pPr>
        <w:pStyle w:val="CostingsH8"/>
      </w:pPr>
      <w:r w:rsidRPr="00157C7E">
        <w:t>Component 2</w:t>
      </w:r>
      <w:r>
        <w:t xml:space="preserve"> - Remove n</w:t>
      </w:r>
      <w:r w:rsidRPr="00157C7E">
        <w:t>egative gearing</w:t>
      </w:r>
    </w:p>
    <w:p w:rsidR="000B5C96" w:rsidRDefault="000B5C96" w:rsidP="000B5C96">
      <w:pPr>
        <w:pStyle w:val="ListBullet"/>
        <w:numPr>
          <w:ilvl w:val="0"/>
          <w:numId w:val="123"/>
        </w:numPr>
        <w:ind w:left="454" w:hanging="454"/>
      </w:pPr>
      <w:r>
        <w:t>The costing of this component was based on a 16 per cent sample of de-identified personal income tax and superannuation returns for 2012-13, as well as tax schedules for partnerships, trusts and superannuation funds (including self-managed superannuation funds).</w:t>
      </w:r>
    </w:p>
    <w:p w:rsidR="000B5C96" w:rsidRDefault="000B5C96" w:rsidP="000B5C96">
      <w:pPr>
        <w:pStyle w:val="ListBullet"/>
        <w:numPr>
          <w:ilvl w:val="0"/>
          <w:numId w:val="123"/>
        </w:numPr>
        <w:ind w:left="454" w:hanging="454"/>
      </w:pPr>
      <w:r>
        <w:t xml:space="preserve">The data was used to estimate the amount by which negative gearing decreased taxable income for individuals and funds, including through distributions from partnerships and trusts.  </w:t>
      </w:r>
    </w:p>
    <w:p w:rsidR="000B5C96" w:rsidRDefault="000B5C96" w:rsidP="000B5C96">
      <w:pPr>
        <w:pStyle w:val="ListBullet"/>
        <w:numPr>
          <w:ilvl w:val="0"/>
          <w:numId w:val="123"/>
        </w:numPr>
        <w:ind w:left="454" w:hanging="454"/>
      </w:pPr>
      <w:r>
        <w:t xml:space="preserve">This change in taxable income was then adjusted to account for the behavioural responses identified above.  The taxable income relating to assets purchased after 1 July 2016 was estimated based on the grandfathering assumptions.  </w:t>
      </w:r>
    </w:p>
    <w:p w:rsidR="000B5C96" w:rsidRPr="00157C7E" w:rsidRDefault="000B5C96" w:rsidP="003F606A">
      <w:pPr>
        <w:pStyle w:val="CostingsH8"/>
      </w:pPr>
      <w:r w:rsidRPr="00157C7E">
        <w:t>General methodology</w:t>
      </w:r>
    </w:p>
    <w:p w:rsidR="000B5C96" w:rsidRDefault="000B5C96" w:rsidP="000B5C96">
      <w:pPr>
        <w:pStyle w:val="ListBullet"/>
        <w:numPr>
          <w:ilvl w:val="0"/>
          <w:numId w:val="123"/>
        </w:numPr>
        <w:ind w:left="454" w:hanging="454"/>
      </w:pPr>
      <w:r>
        <w:t>This costing takes account of the timing of tax collections.</w:t>
      </w:r>
      <w:r w:rsidRPr="00B22049">
        <w:t xml:space="preserve"> </w:t>
      </w:r>
    </w:p>
    <w:p w:rsidR="000B5C96" w:rsidRDefault="000B5C96" w:rsidP="000B5C96">
      <w:pPr>
        <w:pStyle w:val="ListBullet"/>
        <w:numPr>
          <w:ilvl w:val="0"/>
          <w:numId w:val="123"/>
        </w:numPr>
        <w:ind w:left="454" w:hanging="454"/>
      </w:pPr>
      <w:r>
        <w:t>Departmental expenses were estimated based on an analysis of previous policies with similar administrative complexity.</w:t>
      </w:r>
    </w:p>
    <w:p w:rsidR="000B5C96" w:rsidRDefault="000B5C96" w:rsidP="000B5C96">
      <w:pPr>
        <w:pStyle w:val="ListBullet"/>
        <w:numPr>
          <w:ilvl w:val="0"/>
          <w:numId w:val="123"/>
        </w:numPr>
        <w:ind w:left="454" w:hanging="454"/>
      </w:pPr>
      <w:r>
        <w:t>Estimates of revenue have been rounded to the nearest $50 million.</w:t>
      </w:r>
    </w:p>
    <w:p w:rsidR="000B5C96" w:rsidRDefault="000B5C96" w:rsidP="000B5C96">
      <w:pPr>
        <w:pStyle w:val="ListBullet"/>
        <w:numPr>
          <w:ilvl w:val="0"/>
          <w:numId w:val="123"/>
        </w:numPr>
        <w:ind w:left="454" w:hanging="454"/>
      </w:pPr>
      <w:r>
        <w:t>Departmental expense estimates have been rounded to the nearest $1 million.</w:t>
      </w:r>
    </w:p>
    <w:p w:rsidR="000B5C96" w:rsidRPr="00FC6579" w:rsidRDefault="000B5C96" w:rsidP="003F606A">
      <w:pPr>
        <w:pStyle w:val="CostingsH7"/>
      </w:pPr>
      <w:r w:rsidRPr="00FC6579">
        <w:t>Data sources</w:t>
      </w:r>
    </w:p>
    <w:p w:rsidR="000B5C96" w:rsidRDefault="000B5C96" w:rsidP="000B5C96">
      <w:pPr>
        <w:pStyle w:val="ListBullet"/>
        <w:numPr>
          <w:ilvl w:val="0"/>
          <w:numId w:val="123"/>
        </w:numPr>
        <w:ind w:left="454" w:hanging="454"/>
      </w:pPr>
      <w:r>
        <w:t>2012-13 personal income tax and superannuation return data from the ATO.</w:t>
      </w:r>
    </w:p>
    <w:p w:rsidR="000B5C96" w:rsidRDefault="000B5C96" w:rsidP="000B5C96">
      <w:pPr>
        <w:pStyle w:val="ListBullet"/>
        <w:numPr>
          <w:ilvl w:val="0"/>
          <w:numId w:val="123"/>
        </w:numPr>
        <w:ind w:left="454" w:hanging="454"/>
      </w:pPr>
      <w:r>
        <w:t>2012-13 de-identified ATO partnership, trust, fund and self-managed superannuation fund unit record files.</w:t>
      </w:r>
    </w:p>
    <w:p w:rsidR="000B5C96" w:rsidRDefault="000B5C96" w:rsidP="000B5C96">
      <w:pPr>
        <w:pStyle w:val="ListBullet"/>
        <w:numPr>
          <w:ilvl w:val="0"/>
          <w:numId w:val="123"/>
        </w:numPr>
        <w:ind w:left="454" w:hanging="454"/>
      </w:pPr>
      <w:r>
        <w:t>2012-13 CGT schedule data from the ATO.</w:t>
      </w:r>
    </w:p>
    <w:p w:rsidR="000B5C96" w:rsidRDefault="000B5C96" w:rsidP="000B5C96">
      <w:pPr>
        <w:pStyle w:val="ListBullet"/>
        <w:numPr>
          <w:ilvl w:val="0"/>
          <w:numId w:val="123"/>
        </w:numPr>
        <w:ind w:left="454" w:hanging="454"/>
      </w:pPr>
      <w:r>
        <w:t xml:space="preserve">Information from ATO rental income schedules (1999-2000 to 2010-11). </w:t>
      </w:r>
    </w:p>
    <w:p w:rsidR="000B5C96" w:rsidRPr="007E4545" w:rsidRDefault="000B5C96" w:rsidP="000B5C96">
      <w:pPr>
        <w:pStyle w:val="ListBullet"/>
        <w:numPr>
          <w:ilvl w:val="0"/>
          <w:numId w:val="123"/>
        </w:numPr>
        <w:ind w:left="454" w:hanging="454"/>
      </w:pPr>
      <w:r>
        <w:t xml:space="preserve">ATO, </w:t>
      </w:r>
      <w:r w:rsidRPr="007E4545">
        <w:t>Taxation Statistics 2012-13.</w:t>
      </w:r>
    </w:p>
    <w:p w:rsidR="000B5C96" w:rsidRDefault="000B5C96" w:rsidP="000B5C96">
      <w:pPr>
        <w:pStyle w:val="ListBullet"/>
        <w:numPr>
          <w:ilvl w:val="0"/>
          <w:numId w:val="123"/>
        </w:numPr>
        <w:ind w:left="454" w:hanging="454"/>
      </w:pPr>
      <w:r>
        <w:t>CGT and net rental income forecasts consistent with the 2016-17 Budget.</w:t>
      </w:r>
    </w:p>
    <w:p w:rsidR="000B5C96" w:rsidRPr="007E4545" w:rsidRDefault="000B5C96" w:rsidP="000B5C96">
      <w:pPr>
        <w:pStyle w:val="ListBullet"/>
        <w:numPr>
          <w:ilvl w:val="0"/>
          <w:numId w:val="123"/>
        </w:numPr>
        <w:ind w:left="454" w:hanging="454"/>
      </w:pPr>
      <w:r w:rsidRPr="007E4545">
        <w:t>ABS Survey of Income and Housing 2009-10 confidentialised unit record files.</w:t>
      </w:r>
    </w:p>
    <w:p w:rsidR="000B5C96" w:rsidRPr="007E4545" w:rsidRDefault="000B5C96" w:rsidP="000B5C96">
      <w:pPr>
        <w:pStyle w:val="ListBullet"/>
        <w:numPr>
          <w:ilvl w:val="0"/>
          <w:numId w:val="123"/>
        </w:numPr>
        <w:ind w:left="454" w:hanging="454"/>
      </w:pPr>
      <w:r w:rsidRPr="007E4545">
        <w:t>Australian Share Ownership Study, Australian Securities Exchange, 2012.</w:t>
      </w:r>
    </w:p>
    <w:p w:rsidR="000B5C96" w:rsidRPr="007E4545" w:rsidRDefault="000B5C96" w:rsidP="000B5C96">
      <w:pPr>
        <w:pStyle w:val="ListBullet"/>
        <w:numPr>
          <w:ilvl w:val="0"/>
          <w:numId w:val="123"/>
        </w:numPr>
        <w:ind w:left="454" w:hanging="454"/>
      </w:pPr>
      <w:r w:rsidRPr="007E4545">
        <w:t>How Long Buyers Remain in their Homes, Paul Emrath, (US) National Association of Home Builders, 2009.</w:t>
      </w:r>
    </w:p>
    <w:p w:rsidR="000B5C96" w:rsidRDefault="000B5C96" w:rsidP="003F606A">
      <w:pPr>
        <w:sectPr w:rsidR="000B5C96" w:rsidSect="003F606A">
          <w:headerReference w:type="even" r:id="rId640"/>
          <w:headerReference w:type="default" r:id="rId641"/>
          <w:footerReference w:type="even" r:id="rId642"/>
          <w:footerReference w:type="default" r:id="rId643"/>
          <w:headerReference w:type="first" r:id="rId644"/>
          <w:footerReference w:type="first" r:id="rId645"/>
          <w:footnotePr>
            <w:numRestart w:val="eachSect"/>
          </w:footnotePr>
          <w:pgSz w:w="11906" w:h="16838"/>
          <w:pgMar w:top="1361" w:right="1797" w:bottom="1474" w:left="1797" w:header="283" w:footer="454" w:gutter="0"/>
          <w:cols w:space="708"/>
          <w:docGrid w:linePitch="360"/>
        </w:sectPr>
      </w:pPr>
    </w:p>
    <w:p w:rsidR="000B5C96" w:rsidRPr="00A51B86" w:rsidRDefault="000B5C96" w:rsidP="000B5C96">
      <w:pPr>
        <w:pStyle w:val="Heading6"/>
        <w:numPr>
          <w:ilvl w:val="0"/>
          <w:numId w:val="5"/>
        </w:numPr>
        <w:tabs>
          <w:tab w:val="right" w:pos="1418"/>
          <w:tab w:val="right" w:pos="1701"/>
          <w:tab w:val="right" w:pos="1985"/>
        </w:tabs>
      </w:pPr>
      <w:r w:rsidRPr="00A51B86">
        <w:t>Attachment A: Phase Out CGT discount and Negative Gearing—financial implications</w:t>
      </w:r>
    </w:p>
    <w:p w:rsidR="000B5C96" w:rsidRPr="00A51B86" w:rsidRDefault="000B5C96" w:rsidP="003F606A">
      <w:pPr>
        <w:pStyle w:val="Caption"/>
        <w:rPr>
          <w:vertAlign w:val="superscript"/>
        </w:rPr>
      </w:pPr>
      <w:r w:rsidRPr="00A51B86">
        <w:t>Table A1: Combined impact of all components—Financial implications (outturn prices)</w:t>
      </w:r>
      <w:r w:rsidRPr="00A51B86">
        <w:rPr>
          <w:vertAlign w:val="superscript"/>
        </w:rPr>
        <w:t>(a)(b)</w:t>
      </w:r>
    </w:p>
    <w:tbl>
      <w:tblPr>
        <w:tblStyle w:val="TableGrid101"/>
        <w:tblW w:w="14041" w:type="dxa"/>
        <w:tblLayout w:type="fixed"/>
        <w:tblLook w:val="0680" w:firstRow="0" w:lastRow="0" w:firstColumn="1" w:lastColumn="0" w:noHBand="1" w:noVBand="1"/>
      </w:tblPr>
      <w:tblGrid>
        <w:gridCol w:w="2137"/>
        <w:gridCol w:w="907"/>
        <w:gridCol w:w="907"/>
        <w:gridCol w:w="907"/>
        <w:gridCol w:w="907"/>
        <w:gridCol w:w="907"/>
        <w:gridCol w:w="907"/>
        <w:gridCol w:w="907"/>
        <w:gridCol w:w="907"/>
        <w:gridCol w:w="907"/>
        <w:gridCol w:w="907"/>
        <w:gridCol w:w="907"/>
        <w:gridCol w:w="907"/>
        <w:gridCol w:w="1020"/>
      </w:tblGrid>
      <w:tr w:rsidR="000B5C96" w:rsidRPr="00A51B86" w:rsidTr="003F606A">
        <w:trPr>
          <w:cantSplit/>
          <w:tblHeader/>
        </w:trPr>
        <w:tc>
          <w:tcPr>
            <w:cnfStyle w:val="001000000000" w:firstRow="0" w:lastRow="0" w:firstColumn="1" w:lastColumn="0" w:oddVBand="0" w:evenVBand="0" w:oddHBand="0" w:evenHBand="0" w:firstRowFirstColumn="0" w:firstRowLastColumn="0" w:lastRowFirstColumn="0" w:lastRowLastColumn="0"/>
            <w:tcW w:w="2137" w:type="dxa"/>
            <w:shd w:val="clear" w:color="auto" w:fill="D7DDE9"/>
          </w:tcPr>
          <w:p w:rsidR="000B5C96" w:rsidRPr="00A51B86" w:rsidRDefault="000B5C96" w:rsidP="003F606A">
            <w:pPr>
              <w:keepNext/>
              <w:keepLines/>
              <w:spacing w:line="240" w:lineRule="auto"/>
              <w:ind w:left="57" w:right="57"/>
              <w:rPr>
                <w:szCs w:val="20"/>
              </w:rPr>
            </w:pPr>
            <w:r w:rsidRPr="00A51B86">
              <w:rPr>
                <w:szCs w:val="20"/>
              </w:rPr>
              <w:t>($m)</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2016–17</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2017–18</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2018–19</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2019–20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51B86">
              <w:rPr>
                <w:rFonts w:ascii="Calibri" w:hAnsi="Calibri"/>
                <w:b/>
                <w:sz w:val="20"/>
                <w:szCs w:val="20"/>
              </w:rPr>
              <w:t>Total to 2019–20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2020–21</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2021–22</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2022–23</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2023–24</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2024–25</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2025–26</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2026–27</w:t>
            </w:r>
          </w:p>
        </w:tc>
        <w:tc>
          <w:tcPr>
            <w:tcW w:w="1020"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51B86">
              <w:rPr>
                <w:rFonts w:ascii="Calibri" w:hAnsi="Calibri"/>
                <w:b/>
                <w:sz w:val="20"/>
                <w:szCs w:val="20"/>
              </w:rPr>
              <w:t>Total to 2026–27</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14037" w:type="dxa"/>
            <w:gridSpan w:val="14"/>
            <w:shd w:val="clear" w:color="auto" w:fill="E9ECF3"/>
          </w:tcPr>
          <w:p w:rsidR="000B5C96" w:rsidRPr="00A51B86" w:rsidRDefault="000B5C96" w:rsidP="003F606A">
            <w:pPr>
              <w:keepNext/>
              <w:keepLines/>
              <w:spacing w:line="240" w:lineRule="auto"/>
              <w:ind w:left="57" w:right="57"/>
              <w:rPr>
                <w:b/>
                <w:i/>
                <w:szCs w:val="20"/>
              </w:rPr>
            </w:pPr>
            <w:r w:rsidRPr="00A51B86">
              <w:rPr>
                <w:b/>
                <w:szCs w:val="20"/>
              </w:rPr>
              <w:t>Impact on fiscal and underlying cash balances</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2137" w:type="dxa"/>
          </w:tcPr>
          <w:p w:rsidR="000B5C96" w:rsidRPr="00A51B86" w:rsidRDefault="000B5C96" w:rsidP="003F606A">
            <w:pPr>
              <w:keepNext/>
              <w:keepLines/>
              <w:spacing w:line="240" w:lineRule="auto"/>
              <w:ind w:left="57" w:right="57"/>
              <w:rPr>
                <w:szCs w:val="20"/>
              </w:rPr>
            </w:pPr>
            <w:r w:rsidRPr="00A51B86">
              <w:rPr>
                <w:szCs w:val="20"/>
              </w:rPr>
              <w:t>Revenue</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2,300.0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4,800.0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7,350.0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14,450.0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9,950.0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12,550.0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13,700.0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14,900.0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16,100.0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17,250.0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18,450.0</w:t>
            </w:r>
          </w:p>
        </w:tc>
        <w:tc>
          <w:tcPr>
            <w:tcW w:w="1020"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117,350.0</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2137" w:type="dxa"/>
          </w:tcPr>
          <w:p w:rsidR="000B5C96" w:rsidRPr="00A51B86" w:rsidRDefault="000B5C96" w:rsidP="003F606A">
            <w:pPr>
              <w:keepNext/>
              <w:keepLines/>
              <w:spacing w:line="240" w:lineRule="auto"/>
              <w:ind w:left="57" w:right="57"/>
              <w:rPr>
                <w:szCs w:val="20"/>
              </w:rPr>
            </w:pPr>
            <w:r w:rsidRPr="00A51B86">
              <w:rPr>
                <w:szCs w:val="20"/>
              </w:rPr>
              <w:t>Departmental - ATO</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-12.0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-8.0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-2.0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-2.0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-24.0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-2.0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1020" w:type="dxa"/>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-32.0</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2137" w:type="dxa"/>
            <w:shd w:val="clear" w:color="auto" w:fill="D7DDE9"/>
          </w:tcPr>
          <w:p w:rsidR="000B5C96" w:rsidRPr="00A51B86" w:rsidRDefault="000B5C96" w:rsidP="003F606A">
            <w:pPr>
              <w:keepNext/>
              <w:keepLines/>
              <w:spacing w:line="240" w:lineRule="auto"/>
              <w:ind w:left="57" w:right="57"/>
              <w:rPr>
                <w:b/>
                <w:szCs w:val="20"/>
              </w:rPr>
            </w:pPr>
            <w:r w:rsidRPr="00A51B86">
              <w:rPr>
                <w:b/>
                <w:szCs w:val="20"/>
              </w:rPr>
              <w:t xml:space="preserve">Total </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-12.0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2,292.0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4,798.0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7,348.0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14,426.0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9,948.0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12,549.0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13,699.0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14,899.0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16,099.0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17,249.0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18,449.0</w:t>
            </w:r>
          </w:p>
        </w:tc>
        <w:tc>
          <w:tcPr>
            <w:tcW w:w="1020"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117,318.0</w:t>
            </w:r>
          </w:p>
        </w:tc>
      </w:tr>
    </w:tbl>
    <w:p w:rsidR="000B5C96" w:rsidRDefault="000B5C96" w:rsidP="000B6BA7">
      <w:pPr>
        <w:pStyle w:val="Footnotes"/>
        <w:numPr>
          <w:ilvl w:val="0"/>
          <w:numId w:val="345"/>
        </w:numPr>
        <w:ind w:left="284" w:hanging="284"/>
      </w:pPr>
      <w:r w:rsidRPr="00A51B86">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A51B86" w:rsidRDefault="000B5C96" w:rsidP="000B5C96">
      <w:pPr>
        <w:pStyle w:val="Footnotes"/>
        <w:numPr>
          <w:ilvl w:val="0"/>
          <w:numId w:val="7"/>
        </w:numPr>
      </w:pPr>
      <w:r w:rsidRPr="00A51B86">
        <w:t>Figures may not sum to totals due to rounding.</w:t>
      </w:r>
    </w:p>
    <w:p w:rsidR="000B5C96" w:rsidRDefault="000B5C96" w:rsidP="003F606A">
      <w:pPr>
        <w:pStyle w:val="Footnotes"/>
        <w:numPr>
          <w:ilvl w:val="0"/>
          <w:numId w:val="0"/>
        </w:numPr>
        <w:ind w:left="284" w:hanging="284"/>
      </w:pPr>
      <w:r w:rsidRPr="00A51B86">
        <w:t>..</w:t>
      </w:r>
      <w:r>
        <w:tab/>
      </w:r>
      <w:r w:rsidRPr="00A51B86">
        <w:tab/>
      </w:r>
      <w:r>
        <w:tab/>
      </w:r>
      <w:r w:rsidRPr="00A51B86">
        <w:t>Not zero, but rounded to zero.</w:t>
      </w:r>
    </w:p>
    <w:p w:rsidR="000B5C96" w:rsidRPr="00A51B86" w:rsidRDefault="000B5C96" w:rsidP="003F606A">
      <w:pPr>
        <w:pStyle w:val="Caption"/>
        <w:rPr>
          <w:vertAlign w:val="superscript"/>
        </w:rPr>
      </w:pPr>
      <w:r w:rsidRPr="00A51B86">
        <w:t>Table A2: Component 1 - Phase out the CGT discount—Financial implications (outturn prices)</w:t>
      </w:r>
      <w:r w:rsidRPr="00A51B86">
        <w:rPr>
          <w:vertAlign w:val="superscript"/>
        </w:rPr>
        <w:t>(a)(b)</w:t>
      </w:r>
    </w:p>
    <w:tbl>
      <w:tblPr>
        <w:tblStyle w:val="TableGrid102"/>
        <w:tblW w:w="14041" w:type="dxa"/>
        <w:tblLayout w:type="fixed"/>
        <w:tblLook w:val="0680" w:firstRow="0" w:lastRow="0" w:firstColumn="1" w:lastColumn="0" w:noHBand="1" w:noVBand="1"/>
      </w:tblPr>
      <w:tblGrid>
        <w:gridCol w:w="2137"/>
        <w:gridCol w:w="907"/>
        <w:gridCol w:w="907"/>
        <w:gridCol w:w="907"/>
        <w:gridCol w:w="907"/>
        <w:gridCol w:w="907"/>
        <w:gridCol w:w="907"/>
        <w:gridCol w:w="907"/>
        <w:gridCol w:w="907"/>
        <w:gridCol w:w="907"/>
        <w:gridCol w:w="907"/>
        <w:gridCol w:w="907"/>
        <w:gridCol w:w="907"/>
        <w:gridCol w:w="1020"/>
      </w:tblGrid>
      <w:tr w:rsidR="000B5C96" w:rsidRPr="00A51B86" w:rsidTr="003F606A">
        <w:trPr>
          <w:cantSplit/>
          <w:tblHeader/>
        </w:trPr>
        <w:tc>
          <w:tcPr>
            <w:cnfStyle w:val="001000000000" w:firstRow="0" w:lastRow="0" w:firstColumn="1" w:lastColumn="0" w:oddVBand="0" w:evenVBand="0" w:oddHBand="0" w:evenHBand="0" w:firstRowFirstColumn="0" w:firstRowLastColumn="0" w:lastRowFirstColumn="0" w:lastRowLastColumn="0"/>
            <w:tcW w:w="2137" w:type="dxa"/>
            <w:shd w:val="clear" w:color="auto" w:fill="D7DDE9"/>
          </w:tcPr>
          <w:p w:rsidR="000B5C96" w:rsidRPr="00A51B86" w:rsidRDefault="000B5C96" w:rsidP="003F606A">
            <w:pPr>
              <w:keepNext/>
              <w:keepLines/>
              <w:spacing w:line="240" w:lineRule="auto"/>
              <w:ind w:left="57" w:right="57"/>
              <w:rPr>
                <w:szCs w:val="20"/>
              </w:rPr>
            </w:pPr>
            <w:r w:rsidRPr="00A51B86">
              <w:rPr>
                <w:szCs w:val="20"/>
              </w:rPr>
              <w:t>($m)</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2016–17</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2017–18</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2018–19</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2019–20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51B86">
              <w:rPr>
                <w:rFonts w:ascii="Calibri" w:hAnsi="Calibri"/>
                <w:b/>
                <w:sz w:val="20"/>
                <w:szCs w:val="20"/>
              </w:rPr>
              <w:t>Total to 2019–20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2020–21</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2021–22</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2022–23</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2023–24</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2024–25</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2025–26</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2026–27</w:t>
            </w:r>
          </w:p>
        </w:tc>
        <w:tc>
          <w:tcPr>
            <w:tcW w:w="1020"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51B86">
              <w:rPr>
                <w:rFonts w:ascii="Calibri" w:hAnsi="Calibri"/>
                <w:b/>
                <w:sz w:val="20"/>
                <w:szCs w:val="20"/>
              </w:rPr>
              <w:t>Total to 2026–27</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14039" w:type="dxa"/>
            <w:gridSpan w:val="14"/>
            <w:shd w:val="clear" w:color="auto" w:fill="E9ECF3"/>
          </w:tcPr>
          <w:p w:rsidR="000B5C96" w:rsidRPr="00A51B86" w:rsidRDefault="000B5C96" w:rsidP="003F606A">
            <w:pPr>
              <w:keepNext/>
              <w:keepLines/>
              <w:spacing w:line="240" w:lineRule="auto"/>
              <w:ind w:left="57" w:right="57"/>
              <w:rPr>
                <w:b/>
                <w:i/>
                <w:szCs w:val="20"/>
              </w:rPr>
            </w:pPr>
            <w:r w:rsidRPr="00A51B86">
              <w:rPr>
                <w:b/>
                <w:szCs w:val="20"/>
              </w:rPr>
              <w:t>Impact on fiscal and underlying cash balances</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2137" w:type="dxa"/>
          </w:tcPr>
          <w:p w:rsidR="000B5C96" w:rsidRPr="00A51B86" w:rsidRDefault="000B5C96" w:rsidP="003F606A">
            <w:pPr>
              <w:keepNext/>
              <w:keepLines/>
              <w:spacing w:line="240" w:lineRule="auto"/>
              <w:ind w:left="57" w:right="57"/>
              <w:rPr>
                <w:szCs w:val="20"/>
              </w:rPr>
            </w:pPr>
            <w:r w:rsidRPr="00A51B86">
              <w:rPr>
                <w:szCs w:val="20"/>
              </w:rPr>
              <w:t>Revenue</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1,600.0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3,200.0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4,950.0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9,750.0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6,800.0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8,650.0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9,150.0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9,700.0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10,250.0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10,800.0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11,400.0</w:t>
            </w:r>
          </w:p>
        </w:tc>
        <w:tc>
          <w:tcPr>
            <w:tcW w:w="1020"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76,500.0</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2137" w:type="dxa"/>
          </w:tcPr>
          <w:p w:rsidR="000B5C96" w:rsidRPr="00A51B86" w:rsidRDefault="000B5C96" w:rsidP="003F606A">
            <w:pPr>
              <w:keepNext/>
              <w:keepLines/>
              <w:spacing w:line="240" w:lineRule="auto"/>
              <w:ind w:left="57" w:right="57"/>
              <w:rPr>
                <w:szCs w:val="20"/>
              </w:rPr>
            </w:pPr>
            <w:r w:rsidRPr="00A51B86">
              <w:rPr>
                <w:szCs w:val="20"/>
              </w:rPr>
              <w:t>Departmental - ATO</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-6.0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-4.0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-12.0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w:t>
            </w:r>
          </w:p>
        </w:tc>
        <w:tc>
          <w:tcPr>
            <w:tcW w:w="1020"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-13.0</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2137" w:type="dxa"/>
            <w:shd w:val="clear" w:color="auto" w:fill="D7DDE9"/>
          </w:tcPr>
          <w:p w:rsidR="000B5C96" w:rsidRPr="00A51B86" w:rsidRDefault="000B5C96" w:rsidP="003F606A">
            <w:pPr>
              <w:keepNext/>
              <w:keepLines/>
              <w:spacing w:line="240" w:lineRule="auto"/>
              <w:ind w:left="57" w:right="57"/>
              <w:rPr>
                <w:b/>
                <w:szCs w:val="20"/>
              </w:rPr>
            </w:pPr>
            <w:r w:rsidRPr="00A51B86">
              <w:rPr>
                <w:b/>
                <w:szCs w:val="20"/>
              </w:rPr>
              <w:t>Total</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-6.0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1,596.0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3,199.0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4,949.0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9,738.0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6,799.0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8,650.0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9,150.0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9,700.0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10,250.0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10,800.0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11,400.0</w:t>
            </w:r>
          </w:p>
        </w:tc>
        <w:tc>
          <w:tcPr>
            <w:tcW w:w="1020"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76,487.0</w:t>
            </w:r>
          </w:p>
        </w:tc>
      </w:tr>
    </w:tbl>
    <w:p w:rsidR="000B5C96" w:rsidRDefault="000B5C96" w:rsidP="000B6BA7">
      <w:pPr>
        <w:pStyle w:val="Footnotes"/>
        <w:keepNext/>
        <w:keepLines/>
        <w:numPr>
          <w:ilvl w:val="0"/>
          <w:numId w:val="346"/>
        </w:numPr>
        <w:ind w:left="284" w:hanging="284"/>
      </w:pPr>
      <w:r w:rsidRPr="00A51B86">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A51B86" w:rsidRDefault="000B5C96" w:rsidP="000B5C96">
      <w:pPr>
        <w:pStyle w:val="Footnotes"/>
        <w:keepNext/>
        <w:keepLines/>
        <w:numPr>
          <w:ilvl w:val="0"/>
          <w:numId w:val="7"/>
        </w:numPr>
      </w:pPr>
      <w:r w:rsidRPr="00A51B86">
        <w:t>Figures may not sum to totals due to rounding.</w:t>
      </w:r>
    </w:p>
    <w:p w:rsidR="000B5C96" w:rsidRPr="00A51B86" w:rsidRDefault="000B5C96" w:rsidP="003F606A">
      <w:pPr>
        <w:pStyle w:val="Footnotes"/>
        <w:numPr>
          <w:ilvl w:val="0"/>
          <w:numId w:val="0"/>
        </w:numPr>
        <w:ind w:firstLine="284"/>
      </w:pPr>
      <w:r w:rsidRPr="00A51B86">
        <w:t>..</w:t>
      </w:r>
      <w:r>
        <w:tab/>
      </w:r>
      <w:r>
        <w:tab/>
      </w:r>
      <w:r w:rsidRPr="00A51B86">
        <w:tab/>
        <w:t>Not zero, but rounded to zero.</w:t>
      </w:r>
    </w:p>
    <w:p w:rsidR="000B5C96" w:rsidRPr="00A51B86" w:rsidRDefault="000B5C96" w:rsidP="003F606A">
      <w:pPr>
        <w:pStyle w:val="Caption"/>
        <w:rPr>
          <w:vertAlign w:val="superscript"/>
        </w:rPr>
      </w:pPr>
      <w:r w:rsidRPr="00A51B86">
        <w:t>Table A3: Component 2 - Remove negative gearing—Financial implications (outturn prices)</w:t>
      </w:r>
      <w:r w:rsidRPr="00A51B86">
        <w:rPr>
          <w:vertAlign w:val="superscript"/>
        </w:rPr>
        <w:t>(a)(b)</w:t>
      </w:r>
    </w:p>
    <w:tbl>
      <w:tblPr>
        <w:tblStyle w:val="TableGrid103"/>
        <w:tblW w:w="14041" w:type="dxa"/>
        <w:tblLayout w:type="fixed"/>
        <w:tblLook w:val="0680" w:firstRow="0" w:lastRow="0" w:firstColumn="1" w:lastColumn="0" w:noHBand="1" w:noVBand="1"/>
      </w:tblPr>
      <w:tblGrid>
        <w:gridCol w:w="2137"/>
        <w:gridCol w:w="907"/>
        <w:gridCol w:w="907"/>
        <w:gridCol w:w="907"/>
        <w:gridCol w:w="907"/>
        <w:gridCol w:w="907"/>
        <w:gridCol w:w="907"/>
        <w:gridCol w:w="907"/>
        <w:gridCol w:w="907"/>
        <w:gridCol w:w="907"/>
        <w:gridCol w:w="907"/>
        <w:gridCol w:w="907"/>
        <w:gridCol w:w="907"/>
        <w:gridCol w:w="1020"/>
      </w:tblGrid>
      <w:tr w:rsidR="000B5C96" w:rsidRPr="00A51B86" w:rsidTr="003F606A">
        <w:trPr>
          <w:cantSplit/>
          <w:tblHeader/>
        </w:trPr>
        <w:tc>
          <w:tcPr>
            <w:cnfStyle w:val="001000000000" w:firstRow="0" w:lastRow="0" w:firstColumn="1" w:lastColumn="0" w:oddVBand="0" w:evenVBand="0" w:oddHBand="0" w:evenHBand="0" w:firstRowFirstColumn="0" w:firstRowLastColumn="0" w:lastRowFirstColumn="0" w:lastRowLastColumn="0"/>
            <w:tcW w:w="2137" w:type="dxa"/>
            <w:shd w:val="clear" w:color="auto" w:fill="D7DDE9"/>
          </w:tcPr>
          <w:p w:rsidR="000B5C96" w:rsidRPr="00A51B86" w:rsidRDefault="000B5C96" w:rsidP="003F606A">
            <w:pPr>
              <w:keepNext/>
              <w:keepLines/>
              <w:spacing w:line="240" w:lineRule="auto"/>
              <w:ind w:left="57" w:right="57"/>
              <w:rPr>
                <w:szCs w:val="20"/>
              </w:rPr>
            </w:pPr>
            <w:r w:rsidRPr="00A51B86">
              <w:rPr>
                <w:szCs w:val="20"/>
              </w:rPr>
              <w:t>($m)</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2016–17</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2017–18</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2018–19</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2019–20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51B86">
              <w:rPr>
                <w:rFonts w:ascii="Calibri" w:hAnsi="Calibri"/>
                <w:b/>
                <w:sz w:val="20"/>
                <w:szCs w:val="20"/>
              </w:rPr>
              <w:t>Total to 2019–20</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2020–21</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2021–22</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2022–23</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2023–24</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2024–25</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2025–26</w:t>
            </w:r>
          </w:p>
        </w:tc>
        <w:tc>
          <w:tcPr>
            <w:tcW w:w="907"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51B86">
              <w:rPr>
                <w:rFonts w:ascii="Calibri" w:hAnsi="Calibri"/>
                <w:sz w:val="20"/>
                <w:szCs w:val="20"/>
              </w:rPr>
              <w:t>2026–27</w:t>
            </w:r>
          </w:p>
        </w:tc>
        <w:tc>
          <w:tcPr>
            <w:tcW w:w="1020" w:type="dxa"/>
            <w:shd w:val="clear" w:color="auto" w:fill="D7DDE9"/>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A51B86">
              <w:rPr>
                <w:rFonts w:ascii="Calibri" w:hAnsi="Calibri"/>
                <w:b/>
                <w:sz w:val="20"/>
                <w:szCs w:val="20"/>
              </w:rPr>
              <w:t>Total to 2026–27</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14039" w:type="dxa"/>
            <w:gridSpan w:val="14"/>
            <w:shd w:val="clear" w:color="auto" w:fill="E9ECF3"/>
          </w:tcPr>
          <w:p w:rsidR="000B5C96" w:rsidRPr="00A51B86" w:rsidRDefault="000B5C96" w:rsidP="003F606A">
            <w:pPr>
              <w:keepNext/>
              <w:keepLines/>
              <w:spacing w:line="240" w:lineRule="auto"/>
              <w:ind w:left="57" w:right="57"/>
              <w:rPr>
                <w:b/>
                <w:i/>
                <w:szCs w:val="20"/>
              </w:rPr>
            </w:pPr>
            <w:r w:rsidRPr="00A51B86">
              <w:rPr>
                <w:b/>
                <w:szCs w:val="20"/>
              </w:rPr>
              <w:t>Impact on fiscal and underlying cash balances</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2137" w:type="dxa"/>
          </w:tcPr>
          <w:p w:rsidR="000B5C96" w:rsidRPr="00A51B86" w:rsidRDefault="000B5C96" w:rsidP="003F606A">
            <w:pPr>
              <w:keepNext/>
              <w:keepLines/>
              <w:spacing w:line="240" w:lineRule="auto"/>
              <w:ind w:left="57" w:right="57"/>
              <w:rPr>
                <w:szCs w:val="20"/>
              </w:rPr>
            </w:pPr>
            <w:r w:rsidRPr="00A51B86">
              <w:rPr>
                <w:szCs w:val="20"/>
              </w:rPr>
              <w:t>Revenue</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700.0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1,600.0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2,400.0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4,700.0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3,150.0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3,900.0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4,550.0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5,200.0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5,850.0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6,450.0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7,050.0</w:t>
            </w:r>
          </w:p>
        </w:tc>
        <w:tc>
          <w:tcPr>
            <w:tcW w:w="1020"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40,850.0</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2137" w:type="dxa"/>
          </w:tcPr>
          <w:p w:rsidR="000B5C96" w:rsidRPr="00A51B86" w:rsidRDefault="000B5C96" w:rsidP="003F606A">
            <w:pPr>
              <w:keepNext/>
              <w:keepLines/>
              <w:spacing w:line="240" w:lineRule="auto"/>
              <w:ind w:left="57" w:right="57"/>
              <w:rPr>
                <w:szCs w:val="20"/>
              </w:rPr>
            </w:pPr>
            <w:r w:rsidRPr="00A51B86">
              <w:rPr>
                <w:szCs w:val="20"/>
              </w:rPr>
              <w:t>Departmental - ATO</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-6.0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-4.0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-12.0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907"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A51B86">
              <w:rPr>
                <w:rFonts w:ascii="Calibri" w:hAnsi="Calibri"/>
                <w:i/>
                <w:sz w:val="20"/>
                <w:szCs w:val="20"/>
              </w:rPr>
              <w:t>-1.0</w:t>
            </w:r>
          </w:p>
        </w:tc>
        <w:tc>
          <w:tcPr>
            <w:tcW w:w="1020" w:type="dxa"/>
          </w:tcPr>
          <w:p w:rsidR="000B5C96" w:rsidRPr="00A51B86"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i/>
                <w:sz w:val="20"/>
                <w:szCs w:val="20"/>
              </w:rPr>
              <w:t>-19.0</w:t>
            </w:r>
          </w:p>
        </w:tc>
      </w:tr>
      <w:tr w:rsidR="000B5C96" w:rsidRPr="00A51B86" w:rsidTr="003F606A">
        <w:trPr>
          <w:cantSplit/>
        </w:trPr>
        <w:tc>
          <w:tcPr>
            <w:cnfStyle w:val="001000000000" w:firstRow="0" w:lastRow="0" w:firstColumn="1" w:lastColumn="0" w:oddVBand="0" w:evenVBand="0" w:oddHBand="0" w:evenHBand="0" w:firstRowFirstColumn="0" w:firstRowLastColumn="0" w:lastRowFirstColumn="0" w:lastRowLastColumn="0"/>
            <w:tcW w:w="2137" w:type="dxa"/>
            <w:shd w:val="clear" w:color="auto" w:fill="D7DDE9"/>
          </w:tcPr>
          <w:p w:rsidR="000B5C96" w:rsidRPr="00A51B86" w:rsidRDefault="000B5C96" w:rsidP="003F606A">
            <w:pPr>
              <w:keepNext/>
              <w:keepLines/>
              <w:spacing w:line="240" w:lineRule="auto"/>
              <w:ind w:left="57" w:right="57"/>
              <w:rPr>
                <w:b/>
                <w:szCs w:val="20"/>
              </w:rPr>
            </w:pPr>
            <w:r w:rsidRPr="00A51B86">
              <w:rPr>
                <w:b/>
                <w:szCs w:val="20"/>
              </w:rPr>
              <w:t>Total</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-6.0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696.0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1,599.0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2,399.0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4,688.0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3,149.0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3,899.0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4,549.0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5,199.0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5,849.0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6,449.0</w:t>
            </w:r>
          </w:p>
        </w:tc>
        <w:tc>
          <w:tcPr>
            <w:tcW w:w="907"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7,049.0</w:t>
            </w:r>
          </w:p>
        </w:tc>
        <w:tc>
          <w:tcPr>
            <w:tcW w:w="1020" w:type="dxa"/>
            <w:shd w:val="clear" w:color="auto" w:fill="D7DDE9"/>
          </w:tcPr>
          <w:p w:rsidR="000B5C96" w:rsidRPr="00A51B86"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A51B86">
              <w:rPr>
                <w:rFonts w:ascii="Calibri" w:hAnsi="Calibri"/>
                <w:b/>
                <w:sz w:val="20"/>
                <w:szCs w:val="20"/>
              </w:rPr>
              <w:t>40,831.0</w:t>
            </w:r>
          </w:p>
        </w:tc>
      </w:tr>
    </w:tbl>
    <w:p w:rsidR="000B5C96" w:rsidRDefault="000B5C96" w:rsidP="000B6BA7">
      <w:pPr>
        <w:pStyle w:val="Footnotes"/>
        <w:numPr>
          <w:ilvl w:val="0"/>
          <w:numId w:val="347"/>
        </w:numPr>
        <w:ind w:left="284" w:hanging="284"/>
      </w:pPr>
      <w:r w:rsidRPr="00A51B86">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0B5C96" w:rsidRPr="00A51B86" w:rsidRDefault="000B5C96" w:rsidP="000B5C96">
      <w:pPr>
        <w:pStyle w:val="Footnotes"/>
        <w:numPr>
          <w:ilvl w:val="0"/>
          <w:numId w:val="7"/>
        </w:numPr>
        <w:ind w:left="284" w:hanging="284"/>
      </w:pPr>
      <w:r w:rsidRPr="00A51B86">
        <w:t>Figures may not sum to totals due to rounding.</w:t>
      </w:r>
    </w:p>
    <w:p w:rsidR="000B5C96" w:rsidRPr="00A51B86" w:rsidRDefault="000B5C96" w:rsidP="003F606A">
      <w:pPr>
        <w:pStyle w:val="Footnotes"/>
        <w:numPr>
          <w:ilvl w:val="0"/>
          <w:numId w:val="0"/>
        </w:numPr>
        <w:ind w:left="284" w:hanging="284"/>
      </w:pPr>
      <w:r w:rsidRPr="00A51B86">
        <w:t>..</w:t>
      </w:r>
      <w:r>
        <w:tab/>
      </w:r>
      <w:r>
        <w:tab/>
      </w:r>
      <w:r w:rsidRPr="00A51B86">
        <w:tab/>
        <w:t>Not zero, but rounded to zero.</w:t>
      </w:r>
    </w:p>
    <w:p w:rsidR="000B5C96" w:rsidRDefault="000B5C96" w:rsidP="003F606A">
      <w:pPr>
        <w:pStyle w:val="Heading5"/>
        <w:sectPr w:rsidR="000B5C96" w:rsidSect="003F606A">
          <w:headerReference w:type="even" r:id="rId646"/>
          <w:headerReference w:type="default" r:id="rId647"/>
          <w:footerReference w:type="even" r:id="rId648"/>
          <w:footerReference w:type="default" r:id="rId649"/>
          <w:headerReference w:type="first" r:id="rId650"/>
          <w:footerReference w:type="first" r:id="rId651"/>
          <w:footnotePr>
            <w:numRestart w:val="eachSect"/>
          </w:footnotePr>
          <w:pgSz w:w="16838" w:h="11906" w:orient="landscape"/>
          <w:pgMar w:top="1361" w:right="1797" w:bottom="1474" w:left="1797" w:header="283" w:footer="454" w:gutter="0"/>
          <w:cols w:space="708"/>
          <w:docGrid w:linePitch="360"/>
        </w:sectPr>
      </w:pPr>
      <w:bookmarkStart w:id="239" w:name="_Toc458001999"/>
    </w:p>
    <w:p w:rsidR="000B5C96" w:rsidRDefault="000B5C96" w:rsidP="003F606A">
      <w:pPr>
        <w:pStyle w:val="Heading5"/>
      </w:pPr>
      <w:bookmarkStart w:id="240" w:name="_Toc458069484"/>
      <w:r>
        <w:t>GRN095: Ending FEE-HELP to for-profit providers</w:t>
      </w:r>
      <w:bookmarkEnd w:id="239"/>
      <w:bookmarkEnd w:id="240"/>
    </w:p>
    <w:p w:rsidR="000B5C96" w:rsidRPr="008A0AE1" w:rsidRDefault="000B5C96" w:rsidP="003F606A">
      <w:pPr>
        <w:pStyle w:val="BodyText"/>
      </w:pPr>
      <w:r>
        <w:rPr>
          <w:noProof/>
          <w:lang w:eastAsia="en-AU"/>
        </w:rPr>
        <w:drawing>
          <wp:inline distT="0" distB="0" distL="0" distR="0" wp14:anchorId="21F9B063" wp14:editId="02F08DE6">
            <wp:extent cx="2696845" cy="572135"/>
            <wp:effectExtent l="0" t="0" r="8255" b="0"/>
            <wp:docPr id="62" name="Picture 6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C21ED" w:rsidRDefault="000B5C96" w:rsidP="000B5C96">
      <w:pPr>
        <w:pStyle w:val="Heading6"/>
        <w:numPr>
          <w:ilvl w:val="0"/>
          <w:numId w:val="5"/>
        </w:numPr>
        <w:tabs>
          <w:tab w:val="right" w:pos="1418"/>
          <w:tab w:val="right" w:pos="1701"/>
          <w:tab w:val="right" w:pos="1985"/>
        </w:tabs>
      </w:pPr>
      <w:r w:rsidRPr="00002D5D">
        <w:t>Policy costing—</w:t>
      </w:r>
      <w:r>
        <w:t>2016 post-election report</w:t>
      </w:r>
    </w:p>
    <w:tbl>
      <w:tblPr>
        <w:tblStyle w:val="Style1"/>
        <w:tblW w:w="5000" w:type="pct"/>
        <w:tblLook w:val="04A0" w:firstRow="1" w:lastRow="0" w:firstColumn="1" w:lastColumn="0" w:noHBand="0" w:noVBand="1"/>
      </w:tblPr>
      <w:tblGrid>
        <w:gridCol w:w="3080"/>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sz w:val="22"/>
              </w:rPr>
            </w:pPr>
            <w:r w:rsidRPr="00EA7F7A">
              <w:rPr>
                <w:b/>
                <w:sz w:val="22"/>
              </w:rPr>
              <w:t>Name of proposal:</w:t>
            </w:r>
          </w:p>
        </w:tc>
        <w:tc>
          <w:tcPr>
            <w:tcW w:w="3194" w:type="pct"/>
          </w:tcPr>
          <w:p w:rsidR="000B5C96" w:rsidRPr="00EA7F7A" w:rsidRDefault="000B5C96" w:rsidP="003F606A">
            <w:pPr>
              <w:pStyle w:val="PullOutBoxHeading"/>
              <w:rPr>
                <w:b/>
                <w:sz w:val="22"/>
              </w:rPr>
            </w:pPr>
            <w:r w:rsidRPr="00EA7F7A">
              <w:rPr>
                <w:b/>
                <w:sz w:val="22"/>
              </w:rPr>
              <w:t>Ending FEE-HELP to for-profit providers </w:t>
            </w:r>
          </w:p>
        </w:tc>
      </w:tr>
      <w:tr w:rsidR="000B5C96" w:rsidRPr="00006612" w:rsidTr="003F606A">
        <w:tc>
          <w:tcPr>
            <w:tcW w:w="1806" w:type="pct"/>
          </w:tcPr>
          <w:p w:rsidR="000B5C96" w:rsidRPr="00006612" w:rsidRDefault="000B5C96" w:rsidP="003F606A">
            <w:pPr>
              <w:pStyle w:val="PullOutBoxBodyText"/>
            </w:pPr>
            <w:r w:rsidRPr="00006612">
              <w:t>Summary of proposal:</w:t>
            </w:r>
          </w:p>
        </w:tc>
        <w:tc>
          <w:tcPr>
            <w:tcW w:w="3194" w:type="pct"/>
          </w:tcPr>
          <w:p w:rsidR="000B5C96" w:rsidRPr="00006612" w:rsidRDefault="000B5C96" w:rsidP="003F606A">
            <w:pPr>
              <w:pStyle w:val="PullOutBoxBodyText"/>
            </w:pPr>
            <w:r w:rsidRPr="00006612">
              <w:t>The proposal would cease providing Vocational Education and Training (VET) FEE-Higher Education Loan Program (HELP) loans to students attending institutions run by for</w:t>
            </w:r>
            <w:r w:rsidRPr="00006612">
              <w:noBreakHyphen/>
              <w:t>profit VET providers.</w:t>
            </w:r>
          </w:p>
          <w:p w:rsidR="000B5C96" w:rsidRPr="00006612" w:rsidRDefault="000B5C96" w:rsidP="003F606A">
            <w:pPr>
              <w:pStyle w:val="PullOutBoxBodyText"/>
            </w:pPr>
            <w:r w:rsidRPr="00006612">
              <w:t>The proposal would have effect from 1 September 2016.</w:t>
            </w:r>
          </w:p>
        </w:tc>
      </w:tr>
      <w:tr w:rsidR="000B5C96" w:rsidRPr="00006612" w:rsidTr="003F606A">
        <w:tc>
          <w:tcPr>
            <w:tcW w:w="1806" w:type="pct"/>
          </w:tcPr>
          <w:p w:rsidR="000B5C96" w:rsidRPr="00006612" w:rsidRDefault="000B5C96" w:rsidP="003F606A">
            <w:pPr>
              <w:pStyle w:val="PullOutBoxBodyText"/>
            </w:pPr>
            <w:r w:rsidRPr="00006612">
              <w:t>Party:</w:t>
            </w:r>
          </w:p>
        </w:tc>
        <w:tc>
          <w:tcPr>
            <w:tcW w:w="3194" w:type="pct"/>
          </w:tcPr>
          <w:p w:rsidR="000B5C96" w:rsidRPr="00006612" w:rsidRDefault="000B5C96" w:rsidP="003F606A">
            <w:pPr>
              <w:pStyle w:val="PullOutBoxBodyText"/>
            </w:pPr>
            <w:r w:rsidRPr="00006612">
              <w:t>Australian Greens</w:t>
            </w:r>
          </w:p>
        </w:tc>
      </w:tr>
      <w:tr w:rsidR="000B5C96" w:rsidRPr="00006612" w:rsidTr="003F606A">
        <w:tc>
          <w:tcPr>
            <w:tcW w:w="1806" w:type="pct"/>
          </w:tcPr>
          <w:p w:rsidR="000B5C96" w:rsidRPr="00006612" w:rsidRDefault="000B5C96" w:rsidP="003F606A">
            <w:pPr>
              <w:pStyle w:val="PullOutBoxBodyText"/>
            </w:pPr>
            <w:r w:rsidRPr="00006612">
              <w:t>Expiry date for the costing:</w:t>
            </w:r>
          </w:p>
        </w:tc>
        <w:tc>
          <w:tcPr>
            <w:tcW w:w="3194" w:type="pct"/>
          </w:tcPr>
          <w:p w:rsidR="000B5C96" w:rsidRPr="00006612" w:rsidRDefault="000B5C96" w:rsidP="003F606A">
            <w:pPr>
              <w:pStyle w:val="PullOutBoxBodyText"/>
            </w:pPr>
            <w:r w:rsidRPr="00006612">
              <w:t>Release of the next economic and fiscal update</w:t>
            </w:r>
          </w:p>
        </w:tc>
      </w:tr>
    </w:tbl>
    <w:p w:rsidR="000B5C96" w:rsidRPr="00002D5D" w:rsidRDefault="000B5C96" w:rsidP="003F606A">
      <w:pPr>
        <w:pStyle w:val="CostingsH7"/>
      </w:pPr>
      <w:r w:rsidRPr="00002D5D">
        <w:t>Costing overview</w:t>
      </w:r>
    </w:p>
    <w:p w:rsidR="000B5C96" w:rsidRDefault="000B5C96" w:rsidP="003F606A">
      <w:pPr>
        <w:pStyle w:val="BodyText"/>
      </w:pPr>
      <w:r w:rsidRPr="00FB2F79">
        <w:t xml:space="preserve">The proposal would be expected to increase the fiscal balance by $310 million, increase the underlying cash balance by $260 million and increase the </w:t>
      </w:r>
      <w:r>
        <w:t>headline cash balance by $6,720 million over the 2016</w:t>
      </w:r>
      <w:r>
        <w:noBreakHyphen/>
      </w:r>
      <w:r w:rsidRPr="00FB2F79">
        <w:t>17 Budget forward estimates period.</w:t>
      </w:r>
    </w:p>
    <w:p w:rsidR="000B5C96" w:rsidRDefault="000B5C96" w:rsidP="003F606A">
      <w:pPr>
        <w:pStyle w:val="BodyText"/>
      </w:pPr>
      <w:r>
        <w:t xml:space="preserve">This proposal includes a number of components and would have an ongoing impact that extends beyond the forward estimates period.  The disaggregated financial impacts of the proposal over the period 2016-17 to 2026-27 are provided at </w:t>
      </w:r>
      <w:r w:rsidRPr="009E54B2">
        <w:rPr>
          <w:u w:val="single"/>
        </w:rPr>
        <w:t>Attachment A</w:t>
      </w:r>
      <w:r>
        <w:t>.</w:t>
      </w:r>
    </w:p>
    <w:p w:rsidR="000B5C96" w:rsidRDefault="000B5C96" w:rsidP="003F606A">
      <w:pPr>
        <w:pStyle w:val="BodyText"/>
      </w:pPr>
      <w:r>
        <w:t xml:space="preserve">The </w:t>
      </w:r>
      <w:r w:rsidRPr="001041D7">
        <w:rPr>
          <w:i/>
        </w:rPr>
        <w:t>Methodology</w:t>
      </w:r>
      <w:r>
        <w:t xml:space="preserve"> section outlines how impacts on each budget balance are estimated</w:t>
      </w:r>
      <w:r w:rsidRPr="00321AD7">
        <w:t>.</w:t>
      </w:r>
      <w:r>
        <w:t xml:space="preserve">  As the proposal involves the transaction of financial assets in the form of additional HELP loan issuance, the Public Debt Interest (PDI) impact of the proposal has been included in the overall financial impacts of the proposal.</w:t>
      </w:r>
    </w:p>
    <w:p w:rsidR="000B5C96" w:rsidRDefault="000B5C96" w:rsidP="003F606A">
      <w:pPr>
        <w:pStyle w:val="BodyText"/>
      </w:pPr>
      <w:r w:rsidRPr="00FB2F79">
        <w:t xml:space="preserve">The proposal would not be </w:t>
      </w:r>
      <w:r>
        <w:t>expected</w:t>
      </w:r>
      <w:r w:rsidRPr="00FB2F79">
        <w:t xml:space="preserve"> to result in reduced departmental expenditure as the implementation of the policy is not expected to have a material impact on the </w:t>
      </w:r>
      <w:r>
        <w:t xml:space="preserve">overall </w:t>
      </w:r>
      <w:r w:rsidRPr="00FB2F79">
        <w:t>administration of HELP.</w:t>
      </w:r>
    </w:p>
    <w:p w:rsidR="000B5C96" w:rsidRDefault="000B5C96" w:rsidP="003F606A">
      <w:pPr>
        <w:pStyle w:val="BodyText"/>
      </w:pPr>
      <w:r w:rsidRPr="00FB2F79">
        <w:t>The costing is considered to be of low reliability as there is uncertainty regarding the actual proportion of VET FEE-HELP funding paid to for-profit VET providers in light of recent compliance actions taken by the Government.</w:t>
      </w:r>
    </w:p>
    <w:p w:rsidR="000B5C96" w:rsidRPr="00006612" w:rsidRDefault="000B5C96" w:rsidP="003F606A">
      <w:pPr>
        <w:pStyle w:val="Caption"/>
      </w:pPr>
      <w:r w:rsidRPr="00006612">
        <w:t>Table 1: Financial implications (outturn prices)</w:t>
      </w:r>
      <w:r w:rsidRPr="00006612">
        <w:rPr>
          <w:vertAlign w:val="superscript"/>
        </w:rPr>
        <w:t>(a)(b)</w:t>
      </w:r>
    </w:p>
    <w:tbl>
      <w:tblPr>
        <w:tblStyle w:val="TableGrid104"/>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7"/>
        <w:gridCol w:w="1135"/>
        <w:gridCol w:w="1134"/>
        <w:gridCol w:w="1134"/>
        <w:gridCol w:w="1134"/>
        <w:gridCol w:w="1133"/>
      </w:tblGrid>
      <w:tr w:rsidR="000B5C96" w:rsidRPr="00006612"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tcPr>
          <w:p w:rsidR="000B5C96" w:rsidRPr="00006612" w:rsidRDefault="000B5C96" w:rsidP="003F606A">
            <w:pPr>
              <w:keepNext/>
              <w:keepLines/>
              <w:spacing w:line="240" w:lineRule="auto"/>
              <w:ind w:left="57" w:right="57"/>
              <w:rPr>
                <w:szCs w:val="20"/>
              </w:rPr>
            </w:pPr>
            <w:r w:rsidRPr="00006612">
              <w:rPr>
                <w:szCs w:val="20"/>
              </w:rPr>
              <w:t>Impact on ($m)</w:t>
            </w:r>
          </w:p>
        </w:tc>
        <w:tc>
          <w:tcPr>
            <w:tcW w:w="682" w:type="pct"/>
            <w:tcBorders>
              <w:top w:val="single" w:sz="4" w:space="0" w:color="788184"/>
              <w:left w:val="single" w:sz="4" w:space="0" w:color="788184"/>
              <w:bottom w:val="single" w:sz="4" w:space="0" w:color="788184"/>
              <w:right w:val="single" w:sz="4" w:space="0" w:color="788184"/>
            </w:tcBorders>
          </w:tcPr>
          <w:p w:rsidR="000B5C96" w:rsidRPr="0000661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06612">
              <w:rPr>
                <w:szCs w:val="20"/>
              </w:rPr>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00661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06612">
              <w:rPr>
                <w:szCs w:val="20"/>
              </w:rPr>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00661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006612">
              <w:rPr>
                <w:szCs w:val="20"/>
              </w:rPr>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00661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06612">
              <w:rPr>
                <w:szCs w:val="20"/>
              </w:rPr>
              <w:t>2019–20</w:t>
            </w:r>
          </w:p>
        </w:tc>
        <w:tc>
          <w:tcPr>
            <w:tcW w:w="681" w:type="pct"/>
            <w:tcBorders>
              <w:top w:val="single" w:sz="4" w:space="0" w:color="788184"/>
              <w:left w:val="single" w:sz="4" w:space="0" w:color="788184"/>
              <w:bottom w:val="single" w:sz="4" w:space="0" w:color="788184"/>
              <w:right w:val="single" w:sz="4" w:space="0" w:color="788184"/>
            </w:tcBorders>
          </w:tcPr>
          <w:p w:rsidR="000B5C96" w:rsidRPr="0000661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06612">
              <w:rPr>
                <w:b/>
                <w:szCs w:val="20"/>
              </w:rPr>
              <w:t>Total</w:t>
            </w:r>
          </w:p>
        </w:tc>
      </w:tr>
      <w:tr w:rsidR="000B5C96" w:rsidRPr="0000661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rPr>
                <w:szCs w:val="20"/>
              </w:rPr>
            </w:pPr>
            <w:r w:rsidRPr="00006612">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rPr>
            </w:pPr>
            <w:r w:rsidRPr="00006612">
              <w:rPr>
                <w:rFonts w:ascii="Calibri" w:hAnsi="Calibri"/>
                <w:bCs/>
                <w:color w:val="000000"/>
                <w:sz w:val="20"/>
              </w:rPr>
              <w:t>-80.0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rPr>
            </w:pPr>
            <w:r w:rsidRPr="00006612">
              <w:rPr>
                <w:rFonts w:ascii="Calibri" w:hAnsi="Calibri"/>
                <w:bCs/>
                <w:color w:val="000000"/>
                <w:sz w:val="20"/>
              </w:rPr>
              <w:t>20.0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rPr>
            </w:pPr>
            <w:r w:rsidRPr="00006612">
              <w:rPr>
                <w:rFonts w:ascii="Calibri" w:hAnsi="Calibri"/>
                <w:bCs/>
                <w:color w:val="000000"/>
                <w:sz w:val="20"/>
              </w:rPr>
              <w:t>200.0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rPr>
            </w:pPr>
            <w:r w:rsidRPr="00006612">
              <w:rPr>
                <w:rFonts w:ascii="Calibri" w:hAnsi="Calibri"/>
                <w:bCs/>
                <w:color w:val="000000"/>
                <w:sz w:val="20"/>
              </w:rPr>
              <w:t>160.0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310.0</w:t>
            </w:r>
          </w:p>
        </w:tc>
      </w:tr>
      <w:tr w:rsidR="000B5C96" w:rsidRPr="00006612"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rPr>
                <w:szCs w:val="20"/>
              </w:rPr>
            </w:pPr>
            <w:r w:rsidRPr="00006612">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bCs/>
                <w:color w:val="000000"/>
              </w:rPr>
            </w:pPr>
            <w:r w:rsidRPr="00006612">
              <w:rPr>
                <w:bCs/>
                <w:color w:val="000000"/>
              </w:rPr>
              <w:t>10.0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bCs/>
                <w:color w:val="000000"/>
              </w:rPr>
            </w:pPr>
            <w:r w:rsidRPr="00006612">
              <w:rPr>
                <w:bCs/>
                <w:color w:val="000000"/>
              </w:rPr>
              <w:t>40.0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bCs/>
                <w:color w:val="000000"/>
              </w:rPr>
            </w:pPr>
            <w:r w:rsidRPr="00006612">
              <w:rPr>
                <w:bCs/>
                <w:color w:val="000000"/>
              </w:rPr>
              <w:t>80.0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bCs/>
                <w:color w:val="000000"/>
              </w:rPr>
            </w:pPr>
            <w:r w:rsidRPr="00006612">
              <w:rPr>
                <w:bCs/>
                <w:color w:val="000000"/>
              </w:rPr>
              <w:t>130.0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b/>
                <w:bCs/>
                <w:color w:val="000000"/>
              </w:rPr>
            </w:pPr>
            <w:r w:rsidRPr="00006612">
              <w:rPr>
                <w:b/>
                <w:bCs/>
                <w:color w:val="000000"/>
              </w:rPr>
              <w:t>260.0</w:t>
            </w:r>
          </w:p>
        </w:tc>
      </w:tr>
      <w:tr w:rsidR="000B5C96" w:rsidRPr="00006612"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rPr>
                <w:szCs w:val="20"/>
              </w:rPr>
            </w:pPr>
            <w:r w:rsidRPr="00006612">
              <w:rPr>
                <w:szCs w:val="20"/>
              </w:rPr>
              <w:t>Headline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rPr>
            </w:pPr>
            <w:r w:rsidRPr="00006612">
              <w:rPr>
                <w:rFonts w:ascii="Calibri" w:hAnsi="Calibri"/>
                <w:bCs/>
                <w:color w:val="000000"/>
                <w:sz w:val="20"/>
              </w:rPr>
              <w:t>950.0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rPr>
            </w:pPr>
            <w:r w:rsidRPr="00006612">
              <w:rPr>
                <w:rFonts w:ascii="Calibri" w:hAnsi="Calibri"/>
                <w:bCs/>
                <w:color w:val="000000"/>
                <w:sz w:val="20"/>
              </w:rPr>
              <w:t>2,000.0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rPr>
            </w:pPr>
            <w:r w:rsidRPr="00006612">
              <w:rPr>
                <w:rFonts w:ascii="Calibri" w:hAnsi="Calibri"/>
                <w:bCs/>
                <w:color w:val="000000"/>
                <w:sz w:val="20"/>
              </w:rPr>
              <w:t>1,990.0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rPr>
            </w:pPr>
            <w:r w:rsidRPr="00006612">
              <w:rPr>
                <w:rFonts w:ascii="Calibri" w:hAnsi="Calibri"/>
                <w:bCs/>
                <w:color w:val="000000"/>
                <w:sz w:val="20"/>
              </w:rPr>
              <w:t>1,780.0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006612" w:rsidRDefault="000B5C96" w:rsidP="003F606A">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6,720.0</w:t>
            </w:r>
          </w:p>
        </w:tc>
      </w:tr>
    </w:tbl>
    <w:p w:rsidR="000B5C96" w:rsidRPr="00006612" w:rsidRDefault="000B5C96" w:rsidP="000B6BA7">
      <w:pPr>
        <w:pStyle w:val="Footnotes"/>
        <w:keepNext/>
        <w:keepLines/>
        <w:numPr>
          <w:ilvl w:val="0"/>
          <w:numId w:val="348"/>
        </w:numPr>
        <w:ind w:left="284" w:hanging="284"/>
      </w:pPr>
      <w:r w:rsidRPr="00006612">
        <w:t>A positive number indicates an increase in the relevant budget balance, a negative number a decrease.</w:t>
      </w:r>
    </w:p>
    <w:p w:rsidR="000B5C96" w:rsidRPr="00006612" w:rsidRDefault="000B5C96" w:rsidP="000B5C96">
      <w:pPr>
        <w:pStyle w:val="Footnotes"/>
        <w:numPr>
          <w:ilvl w:val="0"/>
          <w:numId w:val="7"/>
        </w:numPr>
        <w:ind w:left="284" w:hanging="284"/>
      </w:pPr>
      <w:r w:rsidRPr="00006612">
        <w:t>Figures may not sum to totals due to rounding.</w:t>
      </w:r>
    </w:p>
    <w:p w:rsidR="000B5C96" w:rsidRPr="00006612" w:rsidRDefault="000B5C96" w:rsidP="003F606A">
      <w:pPr>
        <w:pStyle w:val="CostingsH7"/>
      </w:pPr>
      <w:r w:rsidRPr="00006612">
        <w:t>Key assumptions</w:t>
      </w:r>
    </w:p>
    <w:p w:rsidR="000B5C96" w:rsidRPr="00006612" w:rsidRDefault="000B5C96" w:rsidP="003F606A">
      <w:pPr>
        <w:pStyle w:val="BodyText"/>
      </w:pPr>
      <w:r w:rsidRPr="00006612">
        <w:t>In costing the proposal, the following assumptions have been made:</w:t>
      </w:r>
    </w:p>
    <w:p w:rsidR="000B5C96" w:rsidRPr="00D0746E" w:rsidRDefault="000B5C96" w:rsidP="003F606A">
      <w:pPr>
        <w:pStyle w:val="BodyText"/>
        <w:rPr>
          <w:rFonts w:eastAsia="Times New Roman"/>
          <w:lang w:eastAsia="en-AU"/>
        </w:rPr>
      </w:pPr>
      <w:r w:rsidRPr="00006612">
        <w:rPr>
          <w:rFonts w:eastAsia="Times New Roman"/>
          <w:lang w:eastAsia="en-AU"/>
        </w:rPr>
        <w:t>In the absence of this proposal, the proportion of VET FEE-HELP funding paid to for-profit VET providers would remain at the 2014 level of 77 per cent</w:t>
      </w:r>
      <w:r>
        <w:rPr>
          <w:rFonts w:eastAsia="Times New Roman"/>
          <w:lang w:eastAsia="en-AU"/>
        </w:rPr>
        <w:t>.</w:t>
      </w:r>
      <w:r w:rsidRPr="00365126">
        <w:rPr>
          <w:rStyle w:val="FootnoteReference"/>
        </w:rPr>
        <w:footnoteReference w:id="16"/>
      </w:r>
    </w:p>
    <w:p w:rsidR="000B5C96" w:rsidRPr="00006612" w:rsidRDefault="000B5C96" w:rsidP="000B5C96">
      <w:pPr>
        <w:pStyle w:val="ListBullet"/>
        <w:numPr>
          <w:ilvl w:val="0"/>
          <w:numId w:val="123"/>
        </w:numPr>
        <w:ind w:left="454" w:hanging="454"/>
        <w:rPr>
          <w:lang w:eastAsia="en-AU"/>
        </w:rPr>
      </w:pPr>
      <w:r w:rsidRPr="00006612">
        <w:rPr>
          <w:lang w:eastAsia="en-AU"/>
        </w:rPr>
        <w:t>Not-for-profit VET providers would take up a proportion of the funding that would otherwise be paid to for-profit VET providers in the following profile:</w:t>
      </w:r>
    </w:p>
    <w:p w:rsidR="000B5C96" w:rsidRPr="00006612" w:rsidRDefault="000B5C96" w:rsidP="000B5C96">
      <w:pPr>
        <w:pStyle w:val="ListBullet2"/>
        <w:numPr>
          <w:ilvl w:val="0"/>
          <w:numId w:val="124"/>
        </w:numPr>
        <w:ind w:left="908" w:hanging="454"/>
        <w:rPr>
          <w:lang w:eastAsia="en-AU"/>
        </w:rPr>
      </w:pPr>
      <w:r w:rsidRPr="00006612">
        <w:rPr>
          <w:lang w:eastAsia="en-AU"/>
        </w:rPr>
        <w:t>20 per cent in 2017</w:t>
      </w:r>
    </w:p>
    <w:p w:rsidR="000B5C96" w:rsidRPr="00006612" w:rsidRDefault="000B5C96" w:rsidP="000B5C96">
      <w:pPr>
        <w:pStyle w:val="ListBullet2"/>
        <w:numPr>
          <w:ilvl w:val="0"/>
          <w:numId w:val="124"/>
        </w:numPr>
        <w:ind w:left="908" w:hanging="454"/>
        <w:rPr>
          <w:lang w:eastAsia="en-AU"/>
        </w:rPr>
      </w:pPr>
      <w:r w:rsidRPr="00006612">
        <w:rPr>
          <w:lang w:eastAsia="en-AU"/>
        </w:rPr>
        <w:t>30 per cent in 2018</w:t>
      </w:r>
    </w:p>
    <w:p w:rsidR="000B5C96" w:rsidRPr="00006612" w:rsidRDefault="000B5C96" w:rsidP="000B5C96">
      <w:pPr>
        <w:pStyle w:val="ListBullet2"/>
        <w:numPr>
          <w:ilvl w:val="0"/>
          <w:numId w:val="124"/>
        </w:numPr>
        <w:ind w:left="908" w:hanging="454"/>
        <w:rPr>
          <w:lang w:eastAsia="en-AU"/>
        </w:rPr>
      </w:pPr>
      <w:r w:rsidRPr="00006612">
        <w:rPr>
          <w:lang w:eastAsia="en-AU"/>
        </w:rPr>
        <w:t>40 per cent in 2019</w:t>
      </w:r>
    </w:p>
    <w:p w:rsidR="000B5C96" w:rsidRDefault="000B5C96" w:rsidP="000B5C96">
      <w:pPr>
        <w:pStyle w:val="ListBullet2"/>
        <w:numPr>
          <w:ilvl w:val="0"/>
          <w:numId w:val="124"/>
        </w:numPr>
        <w:ind w:left="908" w:hanging="454"/>
        <w:rPr>
          <w:lang w:eastAsia="en-AU"/>
        </w:rPr>
      </w:pPr>
      <w:r w:rsidRPr="00006612">
        <w:rPr>
          <w:lang w:eastAsia="en-AU"/>
        </w:rPr>
        <w:t xml:space="preserve">50 per cent in 2020 and thereafter. </w:t>
      </w:r>
    </w:p>
    <w:p w:rsidR="000B5C96" w:rsidRPr="00006612" w:rsidRDefault="000B5C96" w:rsidP="003F606A">
      <w:pPr>
        <w:pStyle w:val="CostingsH7"/>
      </w:pPr>
      <w:r w:rsidRPr="00006612">
        <w:t>Methodology</w:t>
      </w:r>
    </w:p>
    <w:p w:rsidR="000B5C96" w:rsidRPr="00006612" w:rsidRDefault="000B5C96" w:rsidP="003F606A">
      <w:pPr>
        <w:pStyle w:val="BodyText"/>
      </w:pPr>
      <w:r w:rsidRPr="00006612">
        <w:t>The savings from no longer funding for-profit VET providers are estimated by reducing current estimates of VET FEE-HELP funding for full-fee-paying students by the proportion of funding provided to for-profit VET providers.  A proportion of the reduced funding is then reinstated to account for the response of not-for-profit VET providers enrolling additional students who would be affected by the proposal.</w:t>
      </w:r>
    </w:p>
    <w:p w:rsidR="000B5C96" w:rsidRPr="00006612" w:rsidRDefault="000B5C96" w:rsidP="003F606A">
      <w:pPr>
        <w:pStyle w:val="BodyText"/>
      </w:pPr>
      <w:r w:rsidRPr="00006612">
        <w:t>The reduction in VET FEE-HELP borrowings has the following impacts on budget balances:</w:t>
      </w:r>
    </w:p>
    <w:p w:rsidR="000B5C96" w:rsidRPr="00006612" w:rsidRDefault="000B5C96" w:rsidP="003F606A">
      <w:pPr>
        <w:pStyle w:val="CostingsH8"/>
      </w:pPr>
      <w:r w:rsidRPr="00006612">
        <w:t>Fiscal balance impact – components</w:t>
      </w:r>
    </w:p>
    <w:p w:rsidR="000B5C96" w:rsidRPr="00006612" w:rsidRDefault="000B5C96" w:rsidP="000B5C96">
      <w:pPr>
        <w:pStyle w:val="ListBullet"/>
        <w:numPr>
          <w:ilvl w:val="0"/>
          <w:numId w:val="123"/>
        </w:numPr>
        <w:ind w:left="454" w:hanging="454"/>
        <w:rPr>
          <w:lang w:eastAsia="en-AU"/>
        </w:rPr>
      </w:pPr>
      <w:r w:rsidRPr="00006612">
        <w:rPr>
          <w:lang w:eastAsia="en-AU"/>
        </w:rPr>
        <w:t>Decreased interest revenue due to less borrowing has a negative impact on the fiscal balance.</w:t>
      </w:r>
    </w:p>
    <w:p w:rsidR="000B5C96" w:rsidRPr="00006612" w:rsidRDefault="000B5C96" w:rsidP="000B5C96">
      <w:pPr>
        <w:pStyle w:val="ListBullet"/>
        <w:numPr>
          <w:ilvl w:val="0"/>
          <w:numId w:val="123"/>
        </w:numPr>
        <w:ind w:left="454" w:hanging="454"/>
        <w:rPr>
          <w:lang w:eastAsia="en-AU"/>
        </w:rPr>
      </w:pPr>
      <w:r w:rsidRPr="00006612">
        <w:rPr>
          <w:lang w:eastAsia="en-AU"/>
        </w:rPr>
        <w:t>Decreased loan fee revenue due to less borrowing has a negative impact on the fiscal balance.</w:t>
      </w:r>
    </w:p>
    <w:p w:rsidR="000B5C96" w:rsidRPr="00006612" w:rsidRDefault="000B5C96" w:rsidP="000B5C96">
      <w:pPr>
        <w:pStyle w:val="ListBullet"/>
        <w:numPr>
          <w:ilvl w:val="0"/>
          <w:numId w:val="123"/>
        </w:numPr>
        <w:ind w:left="454" w:hanging="454"/>
        <w:rPr>
          <w:lang w:eastAsia="en-AU"/>
        </w:rPr>
      </w:pPr>
      <w:r w:rsidRPr="00006612">
        <w:rPr>
          <w:lang w:eastAsia="en-AU"/>
        </w:rPr>
        <w:t>Decreased concessional loan discount (CLD) expenses due to less borrowing have a positive impact on the fiscal balance.</w:t>
      </w:r>
    </w:p>
    <w:p w:rsidR="000B5C96" w:rsidRPr="00D0746E" w:rsidRDefault="000B5C96" w:rsidP="000B5C96">
      <w:pPr>
        <w:pStyle w:val="ListBullet"/>
        <w:numPr>
          <w:ilvl w:val="0"/>
          <w:numId w:val="123"/>
        </w:numPr>
        <w:ind w:left="454" w:hanging="454"/>
        <w:rPr>
          <w:lang w:eastAsia="en-AU"/>
        </w:rPr>
      </w:pPr>
      <w:r w:rsidRPr="00006612">
        <w:rPr>
          <w:lang w:eastAsia="en-AU"/>
        </w:rPr>
        <w:t>Decreased CLD unwinding revenue in later years offsets the decreased CLD expenses and has a negative impact on the fiscal balance.  Over the life of an individual loan, the CLD unwinding revenue is equal to the CLD expenses and results in a nil impact on the fiscal balance.</w:t>
      </w:r>
      <w:r w:rsidRPr="00365126">
        <w:rPr>
          <w:rStyle w:val="FootnoteReference"/>
        </w:rPr>
        <w:footnoteReference w:id="17"/>
      </w:r>
    </w:p>
    <w:p w:rsidR="000B5C96" w:rsidRPr="00006612" w:rsidRDefault="000B5C96" w:rsidP="000B5C96">
      <w:pPr>
        <w:pStyle w:val="ListBullet"/>
        <w:numPr>
          <w:ilvl w:val="0"/>
          <w:numId w:val="123"/>
        </w:numPr>
        <w:ind w:left="454" w:hanging="454"/>
        <w:rPr>
          <w:lang w:eastAsia="en-AU"/>
        </w:rPr>
      </w:pPr>
      <w:r w:rsidRPr="00006612">
        <w:rPr>
          <w:lang w:eastAsia="en-AU"/>
        </w:rPr>
        <w:t>Decreased writedowns of bad debts have a positive impact on the fiscal balance.</w:t>
      </w:r>
    </w:p>
    <w:p w:rsidR="000B5C96" w:rsidRPr="00006612" w:rsidRDefault="000B5C96" w:rsidP="000B5C96">
      <w:pPr>
        <w:pStyle w:val="ListBullet"/>
        <w:numPr>
          <w:ilvl w:val="0"/>
          <w:numId w:val="123"/>
        </w:numPr>
        <w:ind w:left="454" w:hanging="454"/>
        <w:rPr>
          <w:lang w:eastAsia="en-AU"/>
        </w:rPr>
      </w:pPr>
      <w:r w:rsidRPr="00006612">
        <w:rPr>
          <w:lang w:eastAsia="en-AU"/>
        </w:rPr>
        <w:t>Decreased PDI payments have a positive impact on the fiscal balance.</w:t>
      </w:r>
    </w:p>
    <w:p w:rsidR="000B5C96" w:rsidRPr="00006612" w:rsidRDefault="000B5C96" w:rsidP="003F606A">
      <w:pPr>
        <w:pStyle w:val="CostingsH8"/>
      </w:pPr>
      <w:r w:rsidRPr="00006612">
        <w:t>Underlying cash balance impact – components</w:t>
      </w:r>
    </w:p>
    <w:p w:rsidR="000B5C96" w:rsidRPr="00006612" w:rsidRDefault="000B5C96" w:rsidP="000B5C96">
      <w:pPr>
        <w:pStyle w:val="ListBullet"/>
        <w:numPr>
          <w:ilvl w:val="0"/>
          <w:numId w:val="123"/>
        </w:numPr>
        <w:ind w:left="454" w:hanging="454"/>
        <w:rPr>
          <w:lang w:eastAsia="en-AU"/>
        </w:rPr>
      </w:pPr>
      <w:r w:rsidRPr="00006612">
        <w:rPr>
          <w:lang w:eastAsia="en-AU"/>
        </w:rPr>
        <w:t>Decreased interest payments due to less borrowing have a negative impact on the underlying cash balance.</w:t>
      </w:r>
    </w:p>
    <w:p w:rsidR="000B5C96" w:rsidRPr="00006612" w:rsidRDefault="000B5C96" w:rsidP="000B5C96">
      <w:pPr>
        <w:pStyle w:val="ListBullet"/>
        <w:numPr>
          <w:ilvl w:val="0"/>
          <w:numId w:val="123"/>
        </w:numPr>
        <w:ind w:left="454" w:hanging="454"/>
        <w:rPr>
          <w:lang w:eastAsia="en-AU"/>
        </w:rPr>
      </w:pPr>
      <w:r w:rsidRPr="00006612">
        <w:rPr>
          <w:lang w:eastAsia="en-AU"/>
        </w:rPr>
        <w:t>Decreased PDI payments have a positive impact on the underlying cash balance.</w:t>
      </w:r>
    </w:p>
    <w:p w:rsidR="000B5C96" w:rsidRPr="00006612" w:rsidRDefault="000B5C96" w:rsidP="003F606A">
      <w:pPr>
        <w:pStyle w:val="CostingsH8"/>
      </w:pPr>
      <w:r w:rsidRPr="00006612">
        <w:t>Headline cash balance impact – components</w:t>
      </w:r>
    </w:p>
    <w:p w:rsidR="000B5C96" w:rsidRPr="00006612" w:rsidRDefault="000B5C96" w:rsidP="000B5C96">
      <w:pPr>
        <w:pStyle w:val="ListBullet"/>
        <w:numPr>
          <w:ilvl w:val="0"/>
          <w:numId w:val="123"/>
        </w:numPr>
        <w:ind w:left="454" w:hanging="454"/>
        <w:rPr>
          <w:lang w:eastAsia="en-AU"/>
        </w:rPr>
      </w:pPr>
      <w:r w:rsidRPr="00006612">
        <w:rPr>
          <w:lang w:eastAsia="en-AU"/>
        </w:rPr>
        <w:t>Fewer borrowings at lower amounts by students have a positive impact on the headline cash balance.</w:t>
      </w:r>
    </w:p>
    <w:p w:rsidR="000B5C96" w:rsidRPr="00006612" w:rsidRDefault="000B5C96" w:rsidP="000B5C96">
      <w:pPr>
        <w:pStyle w:val="ListBullet"/>
        <w:numPr>
          <w:ilvl w:val="0"/>
          <w:numId w:val="123"/>
        </w:numPr>
        <w:ind w:left="454" w:hanging="454"/>
        <w:rPr>
          <w:lang w:eastAsia="en-AU"/>
        </w:rPr>
      </w:pPr>
      <w:r w:rsidRPr="00006612">
        <w:rPr>
          <w:lang w:eastAsia="en-AU"/>
        </w:rPr>
        <w:t>Decreased principal repayments by students have a negative impact on the headline cash balance.</w:t>
      </w:r>
    </w:p>
    <w:p w:rsidR="000B5C96" w:rsidRPr="00006612" w:rsidRDefault="000B5C96" w:rsidP="000B5C96">
      <w:pPr>
        <w:pStyle w:val="ListBullet"/>
        <w:numPr>
          <w:ilvl w:val="0"/>
          <w:numId w:val="123"/>
        </w:numPr>
        <w:ind w:left="454" w:hanging="454"/>
        <w:rPr>
          <w:lang w:eastAsia="en-AU"/>
        </w:rPr>
      </w:pPr>
      <w:r w:rsidRPr="00006612">
        <w:rPr>
          <w:lang w:eastAsia="en-AU"/>
        </w:rPr>
        <w:t>Decreased interest payments by students (interest is estimated as a fixed proportion of repayments) have a negative impact on the headline cash balance.</w:t>
      </w:r>
    </w:p>
    <w:p w:rsidR="000B5C96" w:rsidRPr="00006612" w:rsidRDefault="000B5C96" w:rsidP="000B5C96">
      <w:pPr>
        <w:pStyle w:val="ListBullet"/>
        <w:numPr>
          <w:ilvl w:val="0"/>
          <w:numId w:val="123"/>
        </w:numPr>
        <w:ind w:left="454" w:hanging="454"/>
        <w:rPr>
          <w:lang w:eastAsia="en-AU"/>
        </w:rPr>
      </w:pPr>
      <w:r w:rsidRPr="00006612">
        <w:rPr>
          <w:lang w:eastAsia="en-AU"/>
        </w:rPr>
        <w:t>Decreased PDI payments have a positive impact on the headline cash balance.</w:t>
      </w:r>
    </w:p>
    <w:p w:rsidR="000B5C96" w:rsidRPr="00006612" w:rsidRDefault="000B5C96" w:rsidP="003F606A">
      <w:pPr>
        <w:pStyle w:val="CostingsH8"/>
      </w:pPr>
      <w:r w:rsidRPr="00006612">
        <w:t>General</w:t>
      </w:r>
    </w:p>
    <w:p w:rsidR="000B5C96" w:rsidRPr="00006612" w:rsidRDefault="000B5C96" w:rsidP="000B5C96">
      <w:pPr>
        <w:pStyle w:val="ListBullet"/>
        <w:numPr>
          <w:ilvl w:val="0"/>
          <w:numId w:val="123"/>
        </w:numPr>
        <w:ind w:left="454" w:hanging="454"/>
        <w:rPr>
          <w:lang w:eastAsia="en-AU"/>
        </w:rPr>
      </w:pPr>
      <w:r w:rsidRPr="00006612">
        <w:rPr>
          <w:lang w:eastAsia="en-AU"/>
        </w:rPr>
        <w:t>All estimates have been rounded to the nearest $10 million.</w:t>
      </w:r>
    </w:p>
    <w:p w:rsidR="000B5C96" w:rsidRPr="00006612" w:rsidRDefault="000B5C96" w:rsidP="003F606A">
      <w:pPr>
        <w:pStyle w:val="CostingsH7"/>
      </w:pPr>
      <w:r w:rsidRPr="00006612">
        <w:t>Data sources</w:t>
      </w:r>
    </w:p>
    <w:p w:rsidR="000B5C96" w:rsidRPr="000304E2" w:rsidRDefault="000B5C96" w:rsidP="003F606A">
      <w:pPr>
        <w:pStyle w:val="BodyText"/>
        <w:rPr>
          <w:lang w:eastAsia="en-AU"/>
        </w:rPr>
      </w:pPr>
      <w:r w:rsidRPr="0041210F">
        <w:rPr>
          <w:i/>
          <w:lang w:eastAsia="en-AU"/>
        </w:rPr>
        <w:t>The capture of public wealth by the for-profit VET sector: A report prepared for the Australian Education Union</w:t>
      </w:r>
      <w:r w:rsidRPr="000304E2">
        <w:rPr>
          <w:lang w:eastAsia="en-AU"/>
        </w:rPr>
        <w:t>, S. Yu &amp; D. Oliver, University of Sydney Workplace Research Centre, published January 2015.</w:t>
      </w:r>
    </w:p>
    <w:p w:rsidR="000B5C96" w:rsidRPr="00006612" w:rsidRDefault="000B5C96" w:rsidP="003F606A">
      <w:pPr>
        <w:pStyle w:val="BodyText"/>
        <w:rPr>
          <w:lang w:eastAsia="en-AU"/>
        </w:rPr>
      </w:pPr>
      <w:r w:rsidRPr="00006612">
        <w:rPr>
          <w:lang w:eastAsia="en-AU"/>
        </w:rPr>
        <w:t>Department of Education and Training</w:t>
      </w:r>
    </w:p>
    <w:p w:rsidR="000B5C96" w:rsidRPr="00006612" w:rsidRDefault="000B5C96" w:rsidP="000B5C96">
      <w:pPr>
        <w:pStyle w:val="ListBullet"/>
        <w:numPr>
          <w:ilvl w:val="0"/>
          <w:numId w:val="123"/>
        </w:numPr>
        <w:ind w:left="454" w:hanging="454"/>
        <w:rPr>
          <w:lang w:eastAsia="en-AU"/>
        </w:rPr>
      </w:pPr>
      <w:r w:rsidRPr="00006612">
        <w:rPr>
          <w:lang w:eastAsia="en-AU"/>
        </w:rPr>
        <w:t>HELP forward estimates model.</w:t>
      </w:r>
    </w:p>
    <w:p w:rsidR="000B5C96" w:rsidRPr="00006612" w:rsidRDefault="000B5C96" w:rsidP="000B5C96">
      <w:pPr>
        <w:pStyle w:val="ListBullet"/>
        <w:numPr>
          <w:ilvl w:val="0"/>
          <w:numId w:val="123"/>
        </w:numPr>
        <w:ind w:left="454" w:hanging="454"/>
        <w:rPr>
          <w:lang w:eastAsia="en-AU"/>
        </w:rPr>
        <w:sectPr w:rsidR="000B5C96" w:rsidRPr="00006612" w:rsidSect="003F606A">
          <w:headerReference w:type="even" r:id="rId652"/>
          <w:headerReference w:type="default" r:id="rId653"/>
          <w:footerReference w:type="even" r:id="rId654"/>
          <w:footerReference w:type="default" r:id="rId655"/>
          <w:footnotePr>
            <w:numRestart w:val="eachSect"/>
          </w:footnotePr>
          <w:pgSz w:w="11906" w:h="16838"/>
          <w:pgMar w:top="1361" w:right="1797" w:bottom="1474" w:left="1797" w:header="283" w:footer="454" w:gutter="0"/>
          <w:cols w:space="708"/>
          <w:docGrid w:linePitch="360"/>
        </w:sectPr>
      </w:pPr>
    </w:p>
    <w:p w:rsidR="000B5C96" w:rsidRPr="00006612" w:rsidRDefault="000B5C96" w:rsidP="000B5C96">
      <w:pPr>
        <w:pStyle w:val="Heading6"/>
        <w:numPr>
          <w:ilvl w:val="0"/>
          <w:numId w:val="5"/>
        </w:numPr>
        <w:tabs>
          <w:tab w:val="right" w:pos="1418"/>
          <w:tab w:val="right" w:pos="1701"/>
          <w:tab w:val="right" w:pos="1985"/>
        </w:tabs>
      </w:pPr>
      <w:r w:rsidRPr="00006612">
        <w:t>Attachment A: Ending FEE-HELP to for-profit providers—financial implications</w:t>
      </w:r>
    </w:p>
    <w:p w:rsidR="000B5C96" w:rsidRPr="00006612" w:rsidRDefault="000B5C96" w:rsidP="003F606A">
      <w:pPr>
        <w:pStyle w:val="Caption"/>
      </w:pPr>
      <w:r w:rsidRPr="00006612">
        <w:t>Table A1: Ending FEE-HELP to for-profit providers—Fiscal balance</w:t>
      </w:r>
      <w:r w:rsidRPr="00006612">
        <w:rPr>
          <w:vertAlign w:val="superscript"/>
        </w:rPr>
        <w:t>(a)(b)</w:t>
      </w:r>
    </w:p>
    <w:tbl>
      <w:tblPr>
        <w:tblStyle w:val="TableGrid105"/>
        <w:tblW w:w="5110" w:type="pct"/>
        <w:tblLayout w:type="fixed"/>
        <w:tblLook w:val="0680" w:firstRow="0" w:lastRow="0" w:firstColumn="1" w:lastColumn="0" w:noHBand="1" w:noVBand="1"/>
      </w:tblPr>
      <w:tblGrid>
        <w:gridCol w:w="2418"/>
        <w:gridCol w:w="846"/>
        <w:gridCol w:w="846"/>
        <w:gridCol w:w="845"/>
        <w:gridCol w:w="845"/>
        <w:gridCol w:w="848"/>
        <w:gridCol w:w="845"/>
        <w:gridCol w:w="845"/>
        <w:gridCol w:w="845"/>
        <w:gridCol w:w="848"/>
        <w:gridCol w:w="845"/>
        <w:gridCol w:w="845"/>
        <w:gridCol w:w="845"/>
        <w:gridCol w:w="981"/>
      </w:tblGrid>
      <w:tr w:rsidR="000B5C96" w:rsidRPr="00006612" w:rsidTr="003F606A">
        <w:trPr>
          <w:cantSplit/>
          <w:tblHeader/>
        </w:trPr>
        <w:tc>
          <w:tcPr>
            <w:cnfStyle w:val="001000000000" w:firstRow="0" w:lastRow="0" w:firstColumn="1" w:lastColumn="0" w:oddVBand="0" w:evenVBand="0" w:oddHBand="0" w:evenHBand="0" w:firstRowFirstColumn="0" w:firstRowLastColumn="0" w:lastRowFirstColumn="0" w:lastRowLastColumn="0"/>
            <w:tcW w:w="892" w:type="pct"/>
            <w:shd w:val="clear" w:color="auto" w:fill="D7DDE9"/>
          </w:tcPr>
          <w:p w:rsidR="000B5C96" w:rsidRPr="00006612" w:rsidRDefault="000B5C96" w:rsidP="003F606A">
            <w:pPr>
              <w:keepNext/>
              <w:keepLines/>
              <w:spacing w:line="240" w:lineRule="auto"/>
              <w:ind w:left="57" w:right="57"/>
              <w:rPr>
                <w:szCs w:val="20"/>
              </w:rPr>
            </w:pPr>
            <w:r w:rsidRPr="00006612">
              <w:rPr>
                <w:szCs w:val="20"/>
              </w:rPr>
              <w:t>($m)</w:t>
            </w:r>
          </w:p>
        </w:tc>
        <w:tc>
          <w:tcPr>
            <w:tcW w:w="312"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2016–17</w:t>
            </w:r>
          </w:p>
        </w:tc>
        <w:tc>
          <w:tcPr>
            <w:tcW w:w="312"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2017–18</w:t>
            </w:r>
          </w:p>
        </w:tc>
        <w:tc>
          <w:tcPr>
            <w:tcW w:w="312"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2018–19</w:t>
            </w:r>
          </w:p>
        </w:tc>
        <w:tc>
          <w:tcPr>
            <w:tcW w:w="312"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2019–20</w:t>
            </w:r>
          </w:p>
        </w:tc>
        <w:tc>
          <w:tcPr>
            <w:tcW w:w="313"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06612">
              <w:rPr>
                <w:rFonts w:ascii="Calibri" w:hAnsi="Calibri"/>
                <w:b/>
                <w:sz w:val="20"/>
                <w:szCs w:val="20"/>
              </w:rPr>
              <w:t>Total to 2019–20</w:t>
            </w:r>
          </w:p>
        </w:tc>
        <w:tc>
          <w:tcPr>
            <w:tcW w:w="312"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2020–21</w:t>
            </w:r>
          </w:p>
        </w:tc>
        <w:tc>
          <w:tcPr>
            <w:tcW w:w="312"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2021–22</w:t>
            </w:r>
          </w:p>
        </w:tc>
        <w:tc>
          <w:tcPr>
            <w:tcW w:w="312"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2022–23</w:t>
            </w:r>
          </w:p>
        </w:tc>
        <w:tc>
          <w:tcPr>
            <w:tcW w:w="313"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2023–24</w:t>
            </w:r>
          </w:p>
        </w:tc>
        <w:tc>
          <w:tcPr>
            <w:tcW w:w="312"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2024–25</w:t>
            </w:r>
          </w:p>
        </w:tc>
        <w:tc>
          <w:tcPr>
            <w:tcW w:w="312"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2025–26</w:t>
            </w:r>
          </w:p>
        </w:tc>
        <w:tc>
          <w:tcPr>
            <w:tcW w:w="312"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2026–27</w:t>
            </w:r>
          </w:p>
        </w:tc>
        <w:tc>
          <w:tcPr>
            <w:tcW w:w="362"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06612">
              <w:rPr>
                <w:rFonts w:ascii="Calibri" w:hAnsi="Calibri"/>
                <w:b/>
                <w:sz w:val="20"/>
                <w:szCs w:val="20"/>
              </w:rPr>
              <w:t>Total to 2026–27</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EF1F6"/>
          </w:tcPr>
          <w:p w:rsidR="000B5C96" w:rsidRPr="00006612" w:rsidRDefault="000B5C96" w:rsidP="003F606A">
            <w:pPr>
              <w:keepNext/>
              <w:spacing w:line="240" w:lineRule="auto"/>
              <w:ind w:left="57" w:right="57"/>
              <w:rPr>
                <w:b/>
                <w:i/>
                <w:szCs w:val="20"/>
              </w:rPr>
            </w:pPr>
            <w:r w:rsidRPr="00006612">
              <w:rPr>
                <w:b/>
                <w:szCs w:val="20"/>
              </w:rPr>
              <w:t>Impact on fiscal balance</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892" w:type="pct"/>
          </w:tcPr>
          <w:p w:rsidR="000B5C96" w:rsidRPr="00006612" w:rsidRDefault="000B5C96" w:rsidP="003F606A">
            <w:pPr>
              <w:keepNext/>
              <w:spacing w:line="240" w:lineRule="auto"/>
              <w:ind w:left="57" w:right="57"/>
              <w:rPr>
                <w:i/>
                <w:iCs/>
                <w:color w:val="000000"/>
                <w:szCs w:val="20"/>
              </w:rPr>
            </w:pPr>
            <w:r w:rsidRPr="00006612">
              <w:rPr>
                <w:i/>
                <w:iCs/>
                <w:color w:val="000000"/>
                <w:szCs w:val="20"/>
              </w:rPr>
              <w:t>CLD expense</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100.0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180.0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180.0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150.0</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006612">
              <w:rPr>
                <w:rFonts w:ascii="Calibri" w:hAnsi="Calibri"/>
                <w:b/>
                <w:bCs/>
                <w:i/>
                <w:iCs/>
                <w:color w:val="000000"/>
                <w:sz w:val="20"/>
                <w:szCs w:val="20"/>
              </w:rPr>
              <w:t>610.0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140.0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140.0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150.0</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150.0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160.0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160.0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170.0</w:t>
            </w:r>
          </w:p>
        </w:tc>
        <w:tc>
          <w:tcPr>
            <w:tcW w:w="36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006612">
              <w:rPr>
                <w:rFonts w:ascii="Calibri" w:hAnsi="Calibri"/>
                <w:b/>
                <w:bCs/>
                <w:i/>
                <w:iCs/>
                <w:color w:val="000000"/>
                <w:sz w:val="20"/>
                <w:szCs w:val="20"/>
              </w:rPr>
              <w:t>1,680.0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892" w:type="pct"/>
          </w:tcPr>
          <w:p w:rsidR="000B5C96" w:rsidRPr="00006612" w:rsidRDefault="000B5C96" w:rsidP="003F606A">
            <w:pPr>
              <w:keepNext/>
              <w:spacing w:line="240" w:lineRule="auto"/>
              <w:ind w:left="57" w:right="57"/>
              <w:rPr>
                <w:color w:val="000000"/>
                <w:szCs w:val="20"/>
              </w:rPr>
            </w:pPr>
            <w:r w:rsidRPr="00006612">
              <w:rPr>
                <w:i/>
                <w:iCs/>
                <w:color w:val="000000"/>
                <w:szCs w:val="20"/>
              </w:rPr>
              <w:t>CLD unwinding revenue</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-40.0</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006612">
              <w:rPr>
                <w:rFonts w:ascii="Calibri" w:hAnsi="Calibri"/>
                <w:b/>
                <w:bCs/>
                <w:i/>
                <w:iCs/>
                <w:color w:val="000000"/>
                <w:sz w:val="20"/>
                <w:szCs w:val="20"/>
              </w:rPr>
              <w:t>-50.0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-60.0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-80.0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-90.0</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-110.0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-120.0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-120.0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006612">
              <w:rPr>
                <w:rFonts w:ascii="Calibri" w:hAnsi="Calibri"/>
                <w:i/>
                <w:iCs/>
                <w:color w:val="000000"/>
                <w:sz w:val="20"/>
                <w:szCs w:val="20"/>
              </w:rPr>
              <w:t>-130.0</w:t>
            </w:r>
          </w:p>
        </w:tc>
        <w:tc>
          <w:tcPr>
            <w:tcW w:w="36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006612">
              <w:rPr>
                <w:rFonts w:ascii="Calibri" w:hAnsi="Calibri"/>
                <w:b/>
                <w:bCs/>
                <w:i/>
                <w:iCs/>
                <w:color w:val="000000"/>
                <w:sz w:val="20"/>
                <w:szCs w:val="20"/>
              </w:rPr>
              <w:t>-750.0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892" w:type="pct"/>
          </w:tcPr>
          <w:p w:rsidR="000B5C96" w:rsidRPr="00006612" w:rsidRDefault="000B5C96" w:rsidP="003F606A">
            <w:pPr>
              <w:keepNext/>
              <w:spacing w:line="240" w:lineRule="auto"/>
              <w:ind w:left="57" w:right="57"/>
              <w:rPr>
                <w:color w:val="000000"/>
                <w:szCs w:val="20"/>
              </w:rPr>
            </w:pPr>
            <w:r w:rsidRPr="00006612">
              <w:rPr>
                <w:color w:val="000000"/>
                <w:szCs w:val="20"/>
              </w:rPr>
              <w:t>Net CLD</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100.0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180.0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160.0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120.0</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560.0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80.0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70.0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60.0</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50.0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40.0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40.0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40.0</w:t>
            </w:r>
          </w:p>
        </w:tc>
        <w:tc>
          <w:tcPr>
            <w:tcW w:w="36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930.0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892" w:type="pct"/>
          </w:tcPr>
          <w:p w:rsidR="000B5C96" w:rsidRPr="00006612" w:rsidRDefault="000B5C96" w:rsidP="003F606A">
            <w:pPr>
              <w:keepNext/>
              <w:spacing w:line="240" w:lineRule="auto"/>
              <w:ind w:left="57" w:right="57"/>
              <w:rPr>
                <w:color w:val="000000"/>
                <w:szCs w:val="20"/>
              </w:rPr>
            </w:pPr>
            <w:r w:rsidRPr="00006612">
              <w:rPr>
                <w:color w:val="000000"/>
                <w:szCs w:val="20"/>
              </w:rPr>
              <w:t>Interest revenue accrued</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-20.0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-60.0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-100.0</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-180.0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-130.0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-170.0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-200.0</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-250.0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-290.0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-340.0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-390.0</w:t>
            </w:r>
          </w:p>
        </w:tc>
        <w:tc>
          <w:tcPr>
            <w:tcW w:w="36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-1,940.0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892" w:type="pct"/>
          </w:tcPr>
          <w:p w:rsidR="000B5C96" w:rsidRPr="00006612" w:rsidRDefault="000B5C96" w:rsidP="003F606A">
            <w:pPr>
              <w:keepNext/>
              <w:spacing w:line="240" w:lineRule="auto"/>
              <w:ind w:left="57" w:right="57"/>
              <w:rPr>
                <w:color w:val="000000"/>
                <w:szCs w:val="20"/>
              </w:rPr>
            </w:pPr>
            <w:r w:rsidRPr="00006612">
              <w:rPr>
                <w:color w:val="000000"/>
                <w:szCs w:val="20"/>
              </w:rPr>
              <w:t>Loan writedowns</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10.0</w:t>
            </w:r>
          </w:p>
        </w:tc>
        <w:tc>
          <w:tcPr>
            <w:tcW w:w="36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30.0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892" w:type="pct"/>
          </w:tcPr>
          <w:p w:rsidR="000B5C96" w:rsidRPr="00006612" w:rsidRDefault="000B5C96" w:rsidP="003F606A">
            <w:pPr>
              <w:keepNext/>
              <w:spacing w:line="240" w:lineRule="auto"/>
              <w:ind w:left="57" w:right="57"/>
              <w:rPr>
                <w:color w:val="000000"/>
                <w:szCs w:val="20"/>
              </w:rPr>
            </w:pPr>
            <w:r w:rsidRPr="00006612">
              <w:rPr>
                <w:color w:val="000000"/>
                <w:szCs w:val="20"/>
              </w:rPr>
              <w:t>Loan fee revenue</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-190.0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-190.0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-380.0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6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-380.0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892" w:type="pct"/>
          </w:tcPr>
          <w:p w:rsidR="000B5C96" w:rsidRPr="00006612" w:rsidRDefault="000B5C96" w:rsidP="003F606A">
            <w:pPr>
              <w:keepNext/>
              <w:spacing w:line="240" w:lineRule="auto"/>
              <w:ind w:left="57" w:right="57"/>
              <w:rPr>
                <w:color w:val="000000"/>
                <w:szCs w:val="20"/>
              </w:rPr>
            </w:pPr>
            <w:r w:rsidRPr="00006612">
              <w:rPr>
                <w:color w:val="000000"/>
                <w:szCs w:val="20"/>
              </w:rPr>
              <w:t>PDI</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50.0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100.0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140.0</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300.0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250.0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380.0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510.0</w:t>
            </w:r>
          </w:p>
        </w:tc>
        <w:tc>
          <w:tcPr>
            <w:tcW w:w="313"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650.0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800.0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960.0</w:t>
            </w:r>
          </w:p>
        </w:tc>
        <w:tc>
          <w:tcPr>
            <w:tcW w:w="31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1,130.0</w:t>
            </w:r>
          </w:p>
        </w:tc>
        <w:tc>
          <w:tcPr>
            <w:tcW w:w="362" w:type="pct"/>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4,970.0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892" w:type="pct"/>
            <w:shd w:val="clear" w:color="auto" w:fill="D7DDE9"/>
          </w:tcPr>
          <w:p w:rsidR="000B5C96" w:rsidRPr="00006612" w:rsidRDefault="000B5C96" w:rsidP="003F606A">
            <w:pPr>
              <w:keepNext/>
              <w:keepLines/>
              <w:spacing w:line="240" w:lineRule="auto"/>
              <w:ind w:left="57" w:right="57"/>
              <w:rPr>
                <w:b/>
                <w:szCs w:val="20"/>
              </w:rPr>
            </w:pPr>
            <w:r w:rsidRPr="00006612">
              <w:rPr>
                <w:b/>
                <w:szCs w:val="20"/>
              </w:rPr>
              <w:t>Total</w:t>
            </w:r>
          </w:p>
        </w:tc>
        <w:tc>
          <w:tcPr>
            <w:tcW w:w="312"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-80.0</w:t>
            </w:r>
          </w:p>
        </w:tc>
        <w:tc>
          <w:tcPr>
            <w:tcW w:w="312"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20.0</w:t>
            </w:r>
          </w:p>
        </w:tc>
        <w:tc>
          <w:tcPr>
            <w:tcW w:w="312"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200.0</w:t>
            </w:r>
          </w:p>
        </w:tc>
        <w:tc>
          <w:tcPr>
            <w:tcW w:w="312"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160.0</w:t>
            </w:r>
          </w:p>
        </w:tc>
        <w:tc>
          <w:tcPr>
            <w:tcW w:w="313"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310.0</w:t>
            </w:r>
          </w:p>
        </w:tc>
        <w:tc>
          <w:tcPr>
            <w:tcW w:w="312"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200.0</w:t>
            </w:r>
          </w:p>
        </w:tc>
        <w:tc>
          <w:tcPr>
            <w:tcW w:w="312"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280.0</w:t>
            </w:r>
          </w:p>
        </w:tc>
        <w:tc>
          <w:tcPr>
            <w:tcW w:w="312"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360.0</w:t>
            </w:r>
          </w:p>
        </w:tc>
        <w:tc>
          <w:tcPr>
            <w:tcW w:w="313"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460.0</w:t>
            </w:r>
          </w:p>
        </w:tc>
        <w:tc>
          <w:tcPr>
            <w:tcW w:w="312"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560.0</w:t>
            </w:r>
          </w:p>
        </w:tc>
        <w:tc>
          <w:tcPr>
            <w:tcW w:w="312"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670.0</w:t>
            </w:r>
          </w:p>
        </w:tc>
        <w:tc>
          <w:tcPr>
            <w:tcW w:w="312"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780.0</w:t>
            </w:r>
          </w:p>
        </w:tc>
        <w:tc>
          <w:tcPr>
            <w:tcW w:w="362" w:type="pct"/>
            <w:shd w:val="clear" w:color="auto" w:fill="D7DDE9"/>
          </w:tcPr>
          <w:p w:rsidR="000B5C96" w:rsidRPr="00006612"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3,610.0</w:t>
            </w:r>
          </w:p>
        </w:tc>
      </w:tr>
    </w:tbl>
    <w:p w:rsidR="000B5C96" w:rsidRDefault="000B5C96" w:rsidP="000B6BA7">
      <w:pPr>
        <w:pStyle w:val="Footnotes"/>
        <w:numPr>
          <w:ilvl w:val="0"/>
          <w:numId w:val="349"/>
        </w:numPr>
        <w:ind w:left="284" w:hanging="284"/>
      </w:pPr>
      <w:r w:rsidRPr="00006612">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006612" w:rsidRDefault="000B5C96" w:rsidP="000B5C96">
      <w:pPr>
        <w:pStyle w:val="Footnotes"/>
        <w:numPr>
          <w:ilvl w:val="0"/>
          <w:numId w:val="7"/>
        </w:numPr>
        <w:ind w:left="284" w:hanging="284"/>
      </w:pPr>
      <w:r w:rsidRPr="00006612">
        <w:t>Figures may not sum to totals due to rounding.</w:t>
      </w:r>
    </w:p>
    <w:p w:rsidR="000B5C96" w:rsidRPr="00006612" w:rsidRDefault="000B5C96" w:rsidP="003F606A">
      <w:pPr>
        <w:pStyle w:val="Footnotes"/>
        <w:numPr>
          <w:ilvl w:val="0"/>
          <w:numId w:val="0"/>
        </w:numPr>
        <w:ind w:left="284" w:hanging="284"/>
      </w:pPr>
      <w:r w:rsidRPr="00006612">
        <w:t>..</w:t>
      </w:r>
      <w:r>
        <w:tab/>
      </w:r>
      <w:r w:rsidRPr="00006612">
        <w:tab/>
        <w:t>Not zero but rounded to zero.</w:t>
      </w:r>
      <w:r w:rsidRPr="00006612">
        <w:tab/>
      </w:r>
    </w:p>
    <w:p w:rsidR="000B5C96" w:rsidRPr="00006612" w:rsidRDefault="000B5C96" w:rsidP="000B5C96">
      <w:pPr>
        <w:pStyle w:val="Footnotes"/>
        <w:numPr>
          <w:ilvl w:val="0"/>
          <w:numId w:val="121"/>
        </w:numPr>
        <w:ind w:left="284" w:hanging="284"/>
      </w:pPr>
      <w:r>
        <w:t>Indicates nil.</w:t>
      </w:r>
    </w:p>
    <w:p w:rsidR="000B5C96" w:rsidRPr="00006612" w:rsidRDefault="000B5C96" w:rsidP="003F606A">
      <w:pPr>
        <w:pStyle w:val="Caption"/>
        <w:rPr>
          <w:vertAlign w:val="superscript"/>
        </w:rPr>
      </w:pPr>
      <w:r w:rsidRPr="00006612">
        <w:t>Table A2: Ending FEE-HELP to for-profit providers—Underlying cash balance</w:t>
      </w:r>
      <w:r w:rsidRPr="00006612">
        <w:rPr>
          <w:vertAlign w:val="superscript"/>
        </w:rPr>
        <w:t>(a)(b)</w:t>
      </w:r>
    </w:p>
    <w:tbl>
      <w:tblPr>
        <w:tblStyle w:val="TableGrid106"/>
        <w:tblW w:w="5059" w:type="pct"/>
        <w:tblLayout w:type="fixed"/>
        <w:tblLook w:val="0680" w:firstRow="0" w:lastRow="0" w:firstColumn="1" w:lastColumn="0" w:noHBand="1" w:noVBand="1"/>
      </w:tblPr>
      <w:tblGrid>
        <w:gridCol w:w="2416"/>
        <w:gridCol w:w="844"/>
        <w:gridCol w:w="845"/>
        <w:gridCol w:w="845"/>
        <w:gridCol w:w="845"/>
        <w:gridCol w:w="848"/>
        <w:gridCol w:w="845"/>
        <w:gridCol w:w="845"/>
        <w:gridCol w:w="845"/>
        <w:gridCol w:w="848"/>
        <w:gridCol w:w="845"/>
        <w:gridCol w:w="845"/>
        <w:gridCol w:w="845"/>
        <w:gridCol w:w="850"/>
      </w:tblGrid>
      <w:tr w:rsidR="000B5C96" w:rsidRPr="00006612" w:rsidTr="003F606A">
        <w:trPr>
          <w:cantSplit/>
          <w:tblHeader/>
        </w:trPr>
        <w:tc>
          <w:tcPr>
            <w:cnfStyle w:val="001000000000" w:firstRow="0" w:lastRow="0" w:firstColumn="1" w:lastColumn="0" w:oddVBand="0" w:evenVBand="0" w:oddHBand="0" w:evenHBand="0" w:firstRowFirstColumn="0" w:firstRowLastColumn="0" w:lastRowFirstColumn="0" w:lastRowLastColumn="0"/>
            <w:tcW w:w="901" w:type="pct"/>
            <w:shd w:val="clear" w:color="auto" w:fill="D7DDE9"/>
          </w:tcPr>
          <w:p w:rsidR="000B5C96" w:rsidRPr="00006612" w:rsidRDefault="000B5C96" w:rsidP="003F606A">
            <w:pPr>
              <w:keepNext/>
              <w:keepLines/>
              <w:spacing w:line="240" w:lineRule="auto"/>
              <w:ind w:left="57" w:right="57"/>
              <w:rPr>
                <w:szCs w:val="20"/>
              </w:rPr>
            </w:pPr>
            <w:r w:rsidRPr="00006612">
              <w:rPr>
                <w:szCs w:val="20"/>
              </w:rPr>
              <w:t>($m)</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2016–17</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2017–18</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2018–19</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2019–20</w:t>
            </w:r>
          </w:p>
        </w:tc>
        <w:tc>
          <w:tcPr>
            <w:tcW w:w="316"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06612">
              <w:rPr>
                <w:rFonts w:ascii="Calibri" w:hAnsi="Calibri"/>
                <w:b/>
                <w:sz w:val="20"/>
                <w:szCs w:val="20"/>
              </w:rPr>
              <w:t>Total to 2019–20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2020–21</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2021–22</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2022–23</w:t>
            </w:r>
          </w:p>
        </w:tc>
        <w:tc>
          <w:tcPr>
            <w:tcW w:w="316"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2023–24</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2024–25</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2025–26</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2026–27</w:t>
            </w:r>
          </w:p>
        </w:tc>
        <w:tc>
          <w:tcPr>
            <w:tcW w:w="317"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06612">
              <w:rPr>
                <w:rFonts w:ascii="Calibri" w:hAnsi="Calibri"/>
                <w:b/>
                <w:sz w:val="20"/>
                <w:szCs w:val="20"/>
              </w:rPr>
              <w:t>Total to 2026–27</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EF1F6"/>
          </w:tcPr>
          <w:p w:rsidR="000B5C96" w:rsidRPr="00006612" w:rsidRDefault="000B5C96" w:rsidP="003F606A">
            <w:pPr>
              <w:keepNext/>
              <w:keepLines/>
              <w:spacing w:line="240" w:lineRule="auto"/>
              <w:ind w:left="57" w:right="57"/>
              <w:rPr>
                <w:b/>
                <w:i/>
                <w:szCs w:val="20"/>
              </w:rPr>
            </w:pPr>
            <w:r w:rsidRPr="00006612">
              <w:rPr>
                <w:b/>
                <w:szCs w:val="20"/>
              </w:rPr>
              <w:t>Impact on underlying cash balance</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901" w:type="pct"/>
          </w:tcPr>
          <w:p w:rsidR="000B5C96" w:rsidRPr="00006612" w:rsidRDefault="000B5C96" w:rsidP="003F606A">
            <w:pPr>
              <w:keepNext/>
              <w:keepLines/>
              <w:spacing w:line="240" w:lineRule="auto"/>
              <w:ind w:left="57" w:right="57"/>
              <w:rPr>
                <w:i/>
                <w:iCs/>
                <w:color w:val="000000"/>
                <w:szCs w:val="20"/>
              </w:rPr>
            </w:pPr>
            <w:r w:rsidRPr="00006612">
              <w:rPr>
                <w:color w:val="000000"/>
                <w:szCs w:val="20"/>
              </w:rPr>
              <w:t>Interest received</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-10.0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-10.0</w:t>
            </w:r>
          </w:p>
        </w:tc>
        <w:tc>
          <w:tcPr>
            <w:tcW w:w="316"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rPr>
            </w:pPr>
            <w:r w:rsidRPr="00006612">
              <w:rPr>
                <w:rFonts w:ascii="Calibri" w:hAnsi="Calibri"/>
                <w:b/>
                <w:bCs/>
                <w:i/>
                <w:color w:val="000000"/>
                <w:sz w:val="20"/>
              </w:rPr>
              <w:t>-20.0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-20.0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-30.0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-30.0</w:t>
            </w:r>
          </w:p>
        </w:tc>
        <w:tc>
          <w:tcPr>
            <w:tcW w:w="316"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-50.0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-60.0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-70.0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-90.0</w:t>
            </w:r>
          </w:p>
        </w:tc>
        <w:tc>
          <w:tcPr>
            <w:tcW w:w="317"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rPr>
            </w:pPr>
            <w:r w:rsidRPr="00006612">
              <w:rPr>
                <w:rFonts w:ascii="Calibri" w:hAnsi="Calibri"/>
                <w:b/>
                <w:bCs/>
                <w:i/>
                <w:color w:val="000000"/>
                <w:sz w:val="20"/>
              </w:rPr>
              <w:t>-360.0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901" w:type="pct"/>
          </w:tcPr>
          <w:p w:rsidR="000B5C96" w:rsidRPr="00006612" w:rsidRDefault="000B5C96" w:rsidP="003F606A">
            <w:pPr>
              <w:keepNext/>
              <w:keepLines/>
              <w:spacing w:line="240" w:lineRule="auto"/>
              <w:ind w:left="57" w:right="57"/>
              <w:rPr>
                <w:color w:val="000000"/>
                <w:szCs w:val="20"/>
              </w:rPr>
            </w:pPr>
            <w:r w:rsidRPr="00006612">
              <w:rPr>
                <w:color w:val="000000"/>
                <w:szCs w:val="20"/>
              </w:rPr>
              <w:t>PDI</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10.0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40.0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90.0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140.0</w:t>
            </w:r>
          </w:p>
        </w:tc>
        <w:tc>
          <w:tcPr>
            <w:tcW w:w="316"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rPr>
            </w:pPr>
            <w:r w:rsidRPr="00006612">
              <w:rPr>
                <w:rFonts w:ascii="Calibri" w:hAnsi="Calibri"/>
                <w:b/>
                <w:bCs/>
                <w:i/>
                <w:color w:val="000000"/>
                <w:sz w:val="20"/>
              </w:rPr>
              <w:t>290.0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250.0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370.0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500.0</w:t>
            </w:r>
          </w:p>
        </w:tc>
        <w:tc>
          <w:tcPr>
            <w:tcW w:w="316"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640.0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790.0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950.0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rPr>
            </w:pPr>
            <w:r w:rsidRPr="00006612">
              <w:rPr>
                <w:rFonts w:ascii="Calibri" w:hAnsi="Calibri"/>
                <w:i/>
                <w:color w:val="000000"/>
                <w:sz w:val="20"/>
              </w:rPr>
              <w:t>1,120.0</w:t>
            </w:r>
          </w:p>
        </w:tc>
        <w:tc>
          <w:tcPr>
            <w:tcW w:w="317"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rPr>
            </w:pPr>
            <w:r w:rsidRPr="00006612">
              <w:rPr>
                <w:rFonts w:ascii="Calibri" w:hAnsi="Calibri"/>
                <w:b/>
                <w:bCs/>
                <w:i/>
                <w:color w:val="000000"/>
                <w:sz w:val="20"/>
              </w:rPr>
              <w:t>4,890.0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901" w:type="pct"/>
            <w:shd w:val="clear" w:color="auto" w:fill="D7DDE9"/>
          </w:tcPr>
          <w:p w:rsidR="000B5C96" w:rsidRPr="00006612" w:rsidRDefault="000B5C96" w:rsidP="003F606A">
            <w:pPr>
              <w:keepNext/>
              <w:keepLines/>
              <w:spacing w:line="240" w:lineRule="auto"/>
              <w:ind w:left="57" w:right="57"/>
              <w:rPr>
                <w:b/>
                <w:szCs w:val="20"/>
              </w:rPr>
            </w:pPr>
            <w:r w:rsidRPr="00006612">
              <w:rPr>
                <w:b/>
                <w:szCs w:val="20"/>
              </w:rPr>
              <w:t>Total</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10.0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40.0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80.0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130.0</w:t>
            </w:r>
          </w:p>
        </w:tc>
        <w:tc>
          <w:tcPr>
            <w:tcW w:w="316"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260.0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230.0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340.0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460.0</w:t>
            </w:r>
          </w:p>
        </w:tc>
        <w:tc>
          <w:tcPr>
            <w:tcW w:w="316"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590.0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730.0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880.0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1,030.0</w:t>
            </w:r>
          </w:p>
        </w:tc>
        <w:tc>
          <w:tcPr>
            <w:tcW w:w="317"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rPr>
            </w:pPr>
            <w:r w:rsidRPr="00006612">
              <w:rPr>
                <w:rFonts w:ascii="Calibri" w:hAnsi="Calibri"/>
                <w:b/>
                <w:bCs/>
                <w:color w:val="000000"/>
                <w:sz w:val="20"/>
              </w:rPr>
              <w:t>4,530.0</w:t>
            </w:r>
          </w:p>
        </w:tc>
      </w:tr>
    </w:tbl>
    <w:p w:rsidR="000B5C96" w:rsidRDefault="000B5C96" w:rsidP="000B6BA7">
      <w:pPr>
        <w:pStyle w:val="Footnotes"/>
        <w:keepNext/>
        <w:keepLines/>
        <w:numPr>
          <w:ilvl w:val="0"/>
          <w:numId w:val="350"/>
        </w:numPr>
        <w:ind w:left="284" w:hanging="284"/>
      </w:pPr>
      <w:r w:rsidRPr="00006612">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006612" w:rsidRDefault="000B5C96" w:rsidP="000B5C96">
      <w:pPr>
        <w:pStyle w:val="Footnotes"/>
        <w:keepNext/>
        <w:keepLines/>
        <w:numPr>
          <w:ilvl w:val="0"/>
          <w:numId w:val="7"/>
        </w:numPr>
        <w:ind w:left="284" w:hanging="284"/>
      </w:pPr>
      <w:r w:rsidRPr="00006612">
        <w:t>Figures may not sum to totals due to rounding.</w:t>
      </w:r>
    </w:p>
    <w:p w:rsidR="000B5C96" w:rsidRPr="00006612" w:rsidRDefault="000B5C96" w:rsidP="003F606A">
      <w:pPr>
        <w:pStyle w:val="Footnotes"/>
        <w:keepNext/>
        <w:keepLines/>
        <w:numPr>
          <w:ilvl w:val="0"/>
          <w:numId w:val="0"/>
        </w:numPr>
        <w:ind w:left="284" w:hanging="284"/>
      </w:pPr>
      <w:r w:rsidRPr="00006612">
        <w:t>..</w:t>
      </w:r>
      <w:r w:rsidRPr="00006612">
        <w:tab/>
        <w:t>Not zero but rounded to zero.</w:t>
      </w:r>
    </w:p>
    <w:p w:rsidR="000B5C96" w:rsidRDefault="000B5C96" w:rsidP="000B5C96">
      <w:pPr>
        <w:pStyle w:val="Footnotes"/>
        <w:numPr>
          <w:ilvl w:val="0"/>
          <w:numId w:val="121"/>
        </w:numPr>
        <w:ind w:left="284" w:hanging="284"/>
      </w:pPr>
      <w:r w:rsidRPr="00006612">
        <w:tab/>
        <w:t>Indicates nil.</w:t>
      </w:r>
    </w:p>
    <w:p w:rsidR="000B5C96" w:rsidRPr="00006612" w:rsidRDefault="000B5C96" w:rsidP="003F606A">
      <w:pPr>
        <w:pStyle w:val="Caption"/>
        <w:rPr>
          <w:vertAlign w:val="superscript"/>
        </w:rPr>
      </w:pPr>
      <w:r w:rsidRPr="00006612">
        <w:t>Table A3: Ending FEE-HELP to for-profit providers—Headline cash balance</w:t>
      </w:r>
      <w:r w:rsidRPr="00006612">
        <w:rPr>
          <w:vertAlign w:val="superscript"/>
        </w:rPr>
        <w:t>(a)(b)</w:t>
      </w:r>
    </w:p>
    <w:tbl>
      <w:tblPr>
        <w:tblStyle w:val="TableGrid107"/>
        <w:tblW w:w="5059" w:type="pct"/>
        <w:tblLayout w:type="fixed"/>
        <w:tblLook w:val="0680" w:firstRow="0" w:lastRow="0" w:firstColumn="1" w:lastColumn="0" w:noHBand="1" w:noVBand="1"/>
      </w:tblPr>
      <w:tblGrid>
        <w:gridCol w:w="2416"/>
        <w:gridCol w:w="844"/>
        <w:gridCol w:w="845"/>
        <w:gridCol w:w="845"/>
        <w:gridCol w:w="845"/>
        <w:gridCol w:w="848"/>
        <w:gridCol w:w="845"/>
        <w:gridCol w:w="845"/>
        <w:gridCol w:w="845"/>
        <w:gridCol w:w="848"/>
        <w:gridCol w:w="845"/>
        <w:gridCol w:w="845"/>
        <w:gridCol w:w="845"/>
        <w:gridCol w:w="850"/>
      </w:tblGrid>
      <w:tr w:rsidR="000B5C96" w:rsidRPr="00006612" w:rsidTr="003F606A">
        <w:trPr>
          <w:cantSplit/>
          <w:tblHeader/>
        </w:trPr>
        <w:tc>
          <w:tcPr>
            <w:cnfStyle w:val="001000000000" w:firstRow="0" w:lastRow="0" w:firstColumn="1" w:lastColumn="0" w:oddVBand="0" w:evenVBand="0" w:oddHBand="0" w:evenHBand="0" w:firstRowFirstColumn="0" w:firstRowLastColumn="0" w:lastRowFirstColumn="0" w:lastRowLastColumn="0"/>
            <w:tcW w:w="901" w:type="pct"/>
            <w:shd w:val="clear" w:color="auto" w:fill="D7DDE9"/>
          </w:tcPr>
          <w:p w:rsidR="000B5C96" w:rsidRPr="00006612" w:rsidRDefault="000B5C96" w:rsidP="003F606A">
            <w:pPr>
              <w:keepNext/>
              <w:keepLines/>
              <w:spacing w:line="240" w:lineRule="auto"/>
              <w:ind w:left="57" w:right="57"/>
              <w:rPr>
                <w:szCs w:val="20"/>
              </w:rPr>
            </w:pPr>
            <w:r w:rsidRPr="00006612">
              <w:rPr>
                <w:szCs w:val="20"/>
              </w:rPr>
              <w:t>($m)</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2016–17</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2017–18</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2018–19</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2019–20</w:t>
            </w:r>
          </w:p>
        </w:tc>
        <w:tc>
          <w:tcPr>
            <w:tcW w:w="316"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06612">
              <w:rPr>
                <w:rFonts w:ascii="Calibri" w:hAnsi="Calibri"/>
                <w:b/>
                <w:sz w:val="20"/>
                <w:szCs w:val="20"/>
              </w:rPr>
              <w:t>Total to 2019–20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2020–21</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2021–22</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2022–23</w:t>
            </w:r>
          </w:p>
        </w:tc>
        <w:tc>
          <w:tcPr>
            <w:tcW w:w="316"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2023–24</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2024–25</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2025–26</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06612">
              <w:rPr>
                <w:rFonts w:ascii="Calibri" w:hAnsi="Calibri"/>
                <w:sz w:val="20"/>
                <w:szCs w:val="20"/>
              </w:rPr>
              <w:t>2026–27</w:t>
            </w:r>
          </w:p>
        </w:tc>
        <w:tc>
          <w:tcPr>
            <w:tcW w:w="317"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006612">
              <w:rPr>
                <w:rFonts w:ascii="Calibri" w:hAnsi="Calibri"/>
                <w:b/>
                <w:sz w:val="20"/>
                <w:szCs w:val="20"/>
              </w:rPr>
              <w:t>Total to 2026–27</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EF1F6"/>
          </w:tcPr>
          <w:p w:rsidR="000B5C96" w:rsidRPr="00006612" w:rsidRDefault="000B5C96" w:rsidP="003F606A">
            <w:pPr>
              <w:keepNext/>
              <w:keepLines/>
              <w:spacing w:line="240" w:lineRule="auto"/>
              <w:ind w:left="57" w:right="57"/>
              <w:rPr>
                <w:b/>
                <w:i/>
                <w:szCs w:val="20"/>
              </w:rPr>
            </w:pPr>
            <w:r w:rsidRPr="00006612">
              <w:rPr>
                <w:b/>
                <w:szCs w:val="20"/>
              </w:rPr>
              <w:t>Impact on headline cash balance</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901" w:type="pct"/>
          </w:tcPr>
          <w:p w:rsidR="000B5C96" w:rsidRPr="00006612" w:rsidRDefault="000B5C96" w:rsidP="003F606A">
            <w:pPr>
              <w:keepNext/>
              <w:keepLines/>
              <w:spacing w:line="240" w:lineRule="auto"/>
              <w:ind w:left="57" w:right="57"/>
              <w:rPr>
                <w:color w:val="000000"/>
                <w:szCs w:val="20"/>
              </w:rPr>
            </w:pPr>
            <w:r w:rsidRPr="00006612">
              <w:rPr>
                <w:color w:val="000000"/>
                <w:szCs w:val="20"/>
              </w:rPr>
              <w:t>Loans issued</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940.0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1,960.0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1,930.0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1,690.0</w:t>
            </w:r>
          </w:p>
        </w:tc>
        <w:tc>
          <w:tcPr>
            <w:tcW w:w="316"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6,520.0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1,590.0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1,640.0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1,700.0</w:t>
            </w:r>
          </w:p>
        </w:tc>
        <w:tc>
          <w:tcPr>
            <w:tcW w:w="316"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1,760.0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1,810.0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1,880.0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1,940.0</w:t>
            </w:r>
          </w:p>
        </w:tc>
        <w:tc>
          <w:tcPr>
            <w:tcW w:w="317"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18,840.0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901" w:type="pct"/>
          </w:tcPr>
          <w:p w:rsidR="000B5C96" w:rsidRPr="00006612" w:rsidRDefault="000B5C96" w:rsidP="003F606A">
            <w:pPr>
              <w:keepNext/>
              <w:keepLines/>
              <w:spacing w:line="240" w:lineRule="auto"/>
              <w:ind w:left="57" w:right="57"/>
              <w:rPr>
                <w:color w:val="000000"/>
                <w:szCs w:val="20"/>
              </w:rPr>
            </w:pPr>
            <w:r w:rsidRPr="00006612">
              <w:rPr>
                <w:color w:val="000000"/>
                <w:szCs w:val="20"/>
              </w:rPr>
              <w:t>Repayments and interest received</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-30.0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-50.0</w:t>
            </w:r>
          </w:p>
        </w:tc>
        <w:tc>
          <w:tcPr>
            <w:tcW w:w="316"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-90.0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-70.0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-100.0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-140.0</w:t>
            </w:r>
          </w:p>
        </w:tc>
        <w:tc>
          <w:tcPr>
            <w:tcW w:w="316"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-190.0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-250.0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-320.0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-380.0</w:t>
            </w:r>
          </w:p>
        </w:tc>
        <w:tc>
          <w:tcPr>
            <w:tcW w:w="317"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-1,560.0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901" w:type="pct"/>
          </w:tcPr>
          <w:p w:rsidR="000B5C96" w:rsidRPr="00006612" w:rsidRDefault="000B5C96" w:rsidP="003F606A">
            <w:pPr>
              <w:keepNext/>
              <w:keepLines/>
              <w:spacing w:line="240" w:lineRule="auto"/>
              <w:ind w:left="57" w:right="57"/>
              <w:rPr>
                <w:color w:val="000000"/>
                <w:szCs w:val="20"/>
              </w:rPr>
            </w:pPr>
            <w:r w:rsidRPr="00006612">
              <w:rPr>
                <w:color w:val="000000"/>
                <w:szCs w:val="20"/>
              </w:rPr>
              <w:t>PDI</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40.0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90.0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140.0</w:t>
            </w:r>
          </w:p>
        </w:tc>
        <w:tc>
          <w:tcPr>
            <w:tcW w:w="316"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290.0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250.0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370.0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500.0</w:t>
            </w:r>
          </w:p>
        </w:tc>
        <w:tc>
          <w:tcPr>
            <w:tcW w:w="316"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640.0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790.0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950.0</w:t>
            </w:r>
          </w:p>
        </w:tc>
        <w:tc>
          <w:tcPr>
            <w:tcW w:w="315"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006612">
              <w:rPr>
                <w:rFonts w:ascii="Calibri" w:hAnsi="Calibri"/>
                <w:i/>
                <w:color w:val="000000"/>
                <w:sz w:val="20"/>
                <w:szCs w:val="20"/>
              </w:rPr>
              <w:t>1,120.0</w:t>
            </w:r>
          </w:p>
        </w:tc>
        <w:tc>
          <w:tcPr>
            <w:tcW w:w="317" w:type="pct"/>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006612">
              <w:rPr>
                <w:rFonts w:ascii="Calibri" w:hAnsi="Calibri"/>
                <w:b/>
                <w:bCs/>
                <w:i/>
                <w:color w:val="000000"/>
                <w:sz w:val="20"/>
                <w:szCs w:val="20"/>
              </w:rPr>
              <w:t>4,890.0</w:t>
            </w:r>
          </w:p>
        </w:tc>
      </w:tr>
      <w:tr w:rsidR="000B5C96" w:rsidRPr="00006612" w:rsidTr="003F606A">
        <w:trPr>
          <w:cantSplit/>
        </w:trPr>
        <w:tc>
          <w:tcPr>
            <w:cnfStyle w:val="001000000000" w:firstRow="0" w:lastRow="0" w:firstColumn="1" w:lastColumn="0" w:oddVBand="0" w:evenVBand="0" w:oddHBand="0" w:evenHBand="0" w:firstRowFirstColumn="0" w:firstRowLastColumn="0" w:lastRowFirstColumn="0" w:lastRowLastColumn="0"/>
            <w:tcW w:w="901" w:type="pct"/>
            <w:shd w:val="clear" w:color="auto" w:fill="D7DDE9"/>
          </w:tcPr>
          <w:p w:rsidR="000B5C96" w:rsidRPr="00006612" w:rsidRDefault="000B5C96" w:rsidP="003F606A">
            <w:pPr>
              <w:keepNext/>
              <w:keepLines/>
              <w:spacing w:line="240" w:lineRule="auto"/>
              <w:ind w:left="57" w:right="57"/>
              <w:rPr>
                <w:b/>
                <w:szCs w:val="20"/>
              </w:rPr>
            </w:pPr>
            <w:r w:rsidRPr="00006612">
              <w:rPr>
                <w:b/>
                <w:szCs w:val="20"/>
              </w:rPr>
              <w:t>Total</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950.0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2,000.0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1,990.0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1,780.0</w:t>
            </w:r>
          </w:p>
        </w:tc>
        <w:tc>
          <w:tcPr>
            <w:tcW w:w="316"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6,720.0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1,760.0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1,910.0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2,050.0</w:t>
            </w:r>
          </w:p>
        </w:tc>
        <w:tc>
          <w:tcPr>
            <w:tcW w:w="316"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2,200.0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2,350.0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2,500.0</w:t>
            </w:r>
          </w:p>
        </w:tc>
        <w:tc>
          <w:tcPr>
            <w:tcW w:w="315"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2,670.0</w:t>
            </w:r>
          </w:p>
        </w:tc>
        <w:tc>
          <w:tcPr>
            <w:tcW w:w="317" w:type="pct"/>
            <w:shd w:val="clear" w:color="auto" w:fill="D7DDE9"/>
          </w:tcPr>
          <w:p w:rsidR="000B5C96" w:rsidRPr="00006612"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006612">
              <w:rPr>
                <w:rFonts w:ascii="Calibri" w:hAnsi="Calibri"/>
                <w:b/>
                <w:bCs/>
                <w:color w:val="000000"/>
                <w:sz w:val="20"/>
                <w:szCs w:val="20"/>
              </w:rPr>
              <w:t>22,170.0</w:t>
            </w:r>
          </w:p>
        </w:tc>
      </w:tr>
    </w:tbl>
    <w:p w:rsidR="000B5C96" w:rsidRDefault="000B5C96" w:rsidP="000B6BA7">
      <w:pPr>
        <w:pStyle w:val="Footnotes"/>
        <w:keepNext/>
        <w:keepLines/>
        <w:numPr>
          <w:ilvl w:val="0"/>
          <w:numId w:val="351"/>
        </w:numPr>
        <w:ind w:left="284" w:hanging="284"/>
      </w:pPr>
      <w:r w:rsidRPr="00006612">
        <w:t>A positive number in headline cash balance indicates an increase in cashflow.  A negative number in headline cash balance indicates a decrease in cashflow.</w:t>
      </w:r>
    </w:p>
    <w:p w:rsidR="000B5C96" w:rsidRPr="00006612" w:rsidRDefault="000B5C96" w:rsidP="000B5C96">
      <w:pPr>
        <w:pStyle w:val="Footnotes"/>
        <w:keepNext/>
        <w:keepLines/>
        <w:numPr>
          <w:ilvl w:val="0"/>
          <w:numId w:val="7"/>
        </w:numPr>
        <w:ind w:left="284" w:hanging="284"/>
      </w:pPr>
      <w:r w:rsidRPr="00006612">
        <w:t>Figures may not sum to totals due to rounding.</w:t>
      </w:r>
    </w:p>
    <w:p w:rsidR="000B5C96" w:rsidRPr="00006612" w:rsidRDefault="000B5C96" w:rsidP="000B5C96">
      <w:pPr>
        <w:pStyle w:val="Footnotes"/>
        <w:keepNext/>
        <w:keepLines/>
        <w:numPr>
          <w:ilvl w:val="0"/>
          <w:numId w:val="121"/>
        </w:numPr>
        <w:ind w:left="284" w:hanging="284"/>
      </w:pPr>
      <w:r w:rsidRPr="00006612">
        <w:t>Indicates nil.</w:t>
      </w:r>
    </w:p>
    <w:p w:rsidR="000B5C96" w:rsidRDefault="000B5C96" w:rsidP="003F606A">
      <w:pPr>
        <w:pStyle w:val="Heading5"/>
        <w:ind w:left="284" w:hanging="284"/>
        <w:sectPr w:rsidR="000B5C96" w:rsidSect="003F606A">
          <w:headerReference w:type="even" r:id="rId656"/>
          <w:headerReference w:type="default" r:id="rId657"/>
          <w:footerReference w:type="even" r:id="rId658"/>
          <w:footerReference w:type="default" r:id="rId659"/>
          <w:pgSz w:w="16839" w:h="11907" w:orient="landscape" w:code="9"/>
          <w:pgMar w:top="1361" w:right="1797" w:bottom="1474" w:left="1797" w:header="283" w:footer="454" w:gutter="0"/>
          <w:cols w:space="708"/>
          <w:docGrid w:linePitch="360"/>
        </w:sectPr>
      </w:pPr>
    </w:p>
    <w:p w:rsidR="000B5C96" w:rsidRDefault="000B5C96" w:rsidP="003F606A">
      <w:pPr>
        <w:pStyle w:val="Heading5"/>
      </w:pPr>
      <w:bookmarkStart w:id="241" w:name="_Toc458002000"/>
      <w:bookmarkStart w:id="242" w:name="_Toc458069485"/>
      <w:r>
        <w:t>GRN096: Paid Parental Leave</w:t>
      </w:r>
      <w:bookmarkEnd w:id="241"/>
      <w:bookmarkEnd w:id="242"/>
    </w:p>
    <w:p w:rsidR="000B5C96" w:rsidRPr="008A0AE1" w:rsidRDefault="000B5C96" w:rsidP="003F606A">
      <w:pPr>
        <w:pStyle w:val="BodyText"/>
      </w:pPr>
      <w:r>
        <w:rPr>
          <w:noProof/>
          <w:lang w:eastAsia="en-AU"/>
        </w:rPr>
        <w:drawing>
          <wp:inline distT="0" distB="0" distL="0" distR="0" wp14:anchorId="6180726A" wp14:editId="17B23FC1">
            <wp:extent cx="2696845" cy="572135"/>
            <wp:effectExtent l="0" t="0" r="8255" b="0"/>
            <wp:docPr id="63" name="Picture 6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C21ED" w:rsidRDefault="000B5C96" w:rsidP="000B5C96">
      <w:pPr>
        <w:pStyle w:val="Heading6"/>
        <w:numPr>
          <w:ilvl w:val="0"/>
          <w:numId w:val="5"/>
        </w:numPr>
        <w:tabs>
          <w:tab w:val="right" w:pos="1418"/>
          <w:tab w:val="right" w:pos="1701"/>
          <w:tab w:val="right" w:pos="1985"/>
        </w:tabs>
      </w:pPr>
      <w:r w:rsidRPr="00002D5D">
        <w:t>Policy costing—</w:t>
      </w:r>
      <w:r>
        <w:t>2016 post-election report</w:t>
      </w:r>
    </w:p>
    <w:tbl>
      <w:tblPr>
        <w:tblStyle w:val="Style1"/>
        <w:tblW w:w="5000" w:type="pct"/>
        <w:tblLook w:val="04A0" w:firstRow="1" w:lastRow="0" w:firstColumn="1" w:lastColumn="0" w:noHBand="0" w:noVBand="1"/>
      </w:tblPr>
      <w:tblGrid>
        <w:gridCol w:w="3081"/>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sz w:val="22"/>
              </w:rPr>
            </w:pPr>
            <w:r w:rsidRPr="00EA7F7A">
              <w:rPr>
                <w:b/>
                <w:sz w:val="22"/>
              </w:rPr>
              <w:t>Name of proposal:</w:t>
            </w:r>
          </w:p>
        </w:tc>
        <w:tc>
          <w:tcPr>
            <w:tcW w:w="3194" w:type="pct"/>
          </w:tcPr>
          <w:p w:rsidR="000B5C96" w:rsidRPr="00EA7F7A" w:rsidRDefault="000B5C96" w:rsidP="003F606A">
            <w:pPr>
              <w:pStyle w:val="PullOutBoxHeading"/>
              <w:rPr>
                <w:b/>
                <w:sz w:val="22"/>
              </w:rPr>
            </w:pPr>
            <w:r w:rsidRPr="00EA7F7A">
              <w:rPr>
                <w:b/>
                <w:sz w:val="22"/>
              </w:rPr>
              <w:t>Paid Parental Leave</w:t>
            </w:r>
          </w:p>
        </w:tc>
      </w:tr>
      <w:tr w:rsidR="000B5C96" w:rsidRPr="00281E20" w:rsidTr="003F606A">
        <w:tc>
          <w:tcPr>
            <w:tcW w:w="1806" w:type="pct"/>
          </w:tcPr>
          <w:p w:rsidR="000B5C96" w:rsidRPr="00281E20" w:rsidRDefault="000B5C96" w:rsidP="003F606A">
            <w:pPr>
              <w:ind w:left="57" w:right="57"/>
            </w:pPr>
            <w:r w:rsidRPr="00281E20">
              <w:t>Summary of proposal:</w:t>
            </w:r>
          </w:p>
        </w:tc>
        <w:tc>
          <w:tcPr>
            <w:tcW w:w="3194" w:type="pct"/>
          </w:tcPr>
          <w:p w:rsidR="000B5C96" w:rsidRPr="00752FC3" w:rsidRDefault="000B5C96" w:rsidP="003F606A">
            <w:pPr>
              <w:pStyle w:val="PullOutBoxBodyText"/>
            </w:pPr>
            <w:r w:rsidRPr="0039034F">
              <w:t xml:space="preserve">The proposal would </w:t>
            </w:r>
            <w:r>
              <w:t>replace the current Paid Parental Leave (PPL) scheme with the following:</w:t>
            </w:r>
          </w:p>
          <w:p w:rsidR="000B5C96" w:rsidRDefault="000B5C96" w:rsidP="000B5C96">
            <w:pPr>
              <w:pStyle w:val="PullOutBoxBullet"/>
              <w:numPr>
                <w:ilvl w:val="0"/>
                <w:numId w:val="2"/>
              </w:numPr>
              <w:ind w:left="397"/>
            </w:pPr>
            <w:r>
              <w:t>Increase the PPL entitlement for the primary carer to 26 weeks paid at the carer’s replacement wage capped at $100,000.</w:t>
            </w:r>
          </w:p>
          <w:p w:rsidR="000B5C96" w:rsidRDefault="000B5C96" w:rsidP="000B5C96">
            <w:pPr>
              <w:pStyle w:val="PullOutBoxBullet"/>
              <w:numPr>
                <w:ilvl w:val="0"/>
                <w:numId w:val="2"/>
              </w:numPr>
              <w:ind w:left="397"/>
            </w:pPr>
            <w:r>
              <w:t>Allow two weeks of the above primary carer’s entitlement to be accessed by their partner at their replacement wage (thus reducing the primary carer’s entitlement to 24 weeks).</w:t>
            </w:r>
          </w:p>
          <w:p w:rsidR="000B5C96" w:rsidRDefault="000B5C96" w:rsidP="000B5C96">
            <w:pPr>
              <w:pStyle w:val="PullOutBoxBullet"/>
              <w:numPr>
                <w:ilvl w:val="0"/>
                <w:numId w:val="2"/>
              </w:numPr>
              <w:ind w:left="397"/>
            </w:pPr>
            <w:r w:rsidRPr="005921B6">
              <w:t>I</w:t>
            </w:r>
            <w:r w:rsidRPr="002B4EC4">
              <w:t xml:space="preserve">n those instances where the non-birth </w:t>
            </w:r>
            <w:r>
              <w:t>partner is the nominated primary carer, they would be able to receive the lower of:</w:t>
            </w:r>
          </w:p>
          <w:p w:rsidR="000B5C96" w:rsidRDefault="000B5C96" w:rsidP="000B5C96">
            <w:pPr>
              <w:pStyle w:val="PullOutBoxBullet2"/>
              <w:numPr>
                <w:ilvl w:val="1"/>
                <w:numId w:val="2"/>
              </w:numPr>
              <w:ind w:left="737"/>
            </w:pPr>
            <w:r>
              <w:t>their actual wage, or</w:t>
            </w:r>
          </w:p>
          <w:p w:rsidR="000B5C96" w:rsidRDefault="000B5C96" w:rsidP="000B5C96">
            <w:pPr>
              <w:pStyle w:val="PullOutBoxBullet2"/>
              <w:numPr>
                <w:ilvl w:val="1"/>
                <w:numId w:val="2"/>
              </w:numPr>
              <w:ind w:left="737"/>
            </w:pPr>
            <w:r>
              <w:t>the higher of the birth partner’s actual wage or the National Minimum Wage.</w:t>
            </w:r>
          </w:p>
          <w:p w:rsidR="000B5C96" w:rsidRDefault="000B5C96" w:rsidP="000B5C96">
            <w:pPr>
              <w:pStyle w:val="PullOutBoxBullet"/>
              <w:numPr>
                <w:ilvl w:val="0"/>
                <w:numId w:val="2"/>
              </w:numPr>
              <w:ind w:left="397"/>
            </w:pPr>
            <w:r>
              <w:t>Include superannuation contributions on all Commonwealth PPL payments at the Superannuation Guaranteed (SG) rate.</w:t>
            </w:r>
          </w:p>
          <w:p w:rsidR="000B5C96" w:rsidRDefault="000B5C96" w:rsidP="000B5C96">
            <w:pPr>
              <w:pStyle w:val="PullOutBoxBullet"/>
              <w:numPr>
                <w:ilvl w:val="0"/>
                <w:numId w:val="2"/>
              </w:numPr>
              <w:ind w:left="397"/>
            </w:pPr>
            <w:r>
              <w:t>Allow Commonwealth, state and territory public sector employees to choose to take either their negotiated workplace parental leave entitlement or the proposed PPL scheme (but not both).</w:t>
            </w:r>
          </w:p>
          <w:p w:rsidR="000B5C96" w:rsidRDefault="000B5C96" w:rsidP="000B5C96">
            <w:pPr>
              <w:pStyle w:val="PullOutBoxBullet"/>
              <w:numPr>
                <w:ilvl w:val="0"/>
                <w:numId w:val="2"/>
              </w:numPr>
              <w:ind w:left="397"/>
            </w:pPr>
            <w:r>
              <w:t>Administer the payments through the Department of Human Services, rather than the employers of the recipients.</w:t>
            </w:r>
          </w:p>
          <w:p w:rsidR="000B5C96" w:rsidRPr="004C6542" w:rsidRDefault="000B5C96" w:rsidP="003F606A">
            <w:pPr>
              <w:pStyle w:val="PullOutBoxBodyText"/>
            </w:pPr>
            <w:r w:rsidRPr="0095154D">
              <w:t>The proposal would have effect from 1 September 2016.</w:t>
            </w:r>
          </w:p>
        </w:tc>
      </w:tr>
      <w:tr w:rsidR="000B5C96" w:rsidRPr="00281E20" w:rsidTr="003F606A">
        <w:tc>
          <w:tcPr>
            <w:tcW w:w="1806" w:type="pct"/>
          </w:tcPr>
          <w:p w:rsidR="000B5C96" w:rsidRPr="00281E20" w:rsidRDefault="000B5C96" w:rsidP="003F606A">
            <w:pPr>
              <w:pStyle w:val="PullOutBoxBodyText"/>
            </w:pPr>
            <w:r w:rsidRPr="00281E20">
              <w:t>Party</w:t>
            </w:r>
            <w:r>
              <w:t>:</w:t>
            </w:r>
          </w:p>
        </w:tc>
        <w:tc>
          <w:tcPr>
            <w:tcW w:w="3194" w:type="pct"/>
          </w:tcPr>
          <w:p w:rsidR="000B5C96" w:rsidRPr="00752FC3" w:rsidRDefault="000B5C96" w:rsidP="003F606A">
            <w:pPr>
              <w:pStyle w:val="PullOutBoxBodyText"/>
            </w:pPr>
            <w:r w:rsidRPr="0095154D">
              <w:t>Australian Greens</w:t>
            </w:r>
          </w:p>
        </w:tc>
      </w:tr>
      <w:tr w:rsidR="000B5C96" w:rsidRPr="00281E20" w:rsidTr="003F606A">
        <w:tc>
          <w:tcPr>
            <w:tcW w:w="1806" w:type="pct"/>
          </w:tcPr>
          <w:p w:rsidR="000B5C96" w:rsidRPr="00281E20" w:rsidRDefault="000B5C96" w:rsidP="003F606A">
            <w:pPr>
              <w:pStyle w:val="PullOutBoxBodyText"/>
            </w:pPr>
            <w:r w:rsidRPr="00281E20">
              <w:t>Expiry date for the costing:</w:t>
            </w:r>
          </w:p>
        </w:tc>
        <w:tc>
          <w:tcPr>
            <w:tcW w:w="3194" w:type="pct"/>
          </w:tcPr>
          <w:p w:rsidR="000B5C96" w:rsidRPr="00752FC3" w:rsidRDefault="000B5C96" w:rsidP="003F606A">
            <w:pPr>
              <w:pStyle w:val="PullOutBoxBodyText"/>
            </w:pPr>
            <w:r>
              <w:t>Release of the next economic and fiscal update</w:t>
            </w:r>
          </w:p>
        </w:tc>
      </w:tr>
    </w:tbl>
    <w:p w:rsidR="000B5C96" w:rsidRPr="009C4D5F" w:rsidRDefault="000B5C96" w:rsidP="003F606A">
      <w:pPr>
        <w:pStyle w:val="CostingsH7"/>
      </w:pPr>
      <w:r w:rsidRPr="009C4D5F">
        <w:t>Costing overview</w:t>
      </w:r>
    </w:p>
    <w:p w:rsidR="000B5C96" w:rsidRPr="009C4D5F" w:rsidRDefault="000B5C96" w:rsidP="003F606A">
      <w:pPr>
        <w:pStyle w:val="BodyText"/>
        <w:keepNext/>
        <w:keepLines/>
      </w:pPr>
      <w:r w:rsidRPr="009C4D5F">
        <w:t>This proposal would be expected to decrease the fiscal balance by $10,145.0 million and decrease the underlying cash balance by $10,200.0 million over the 2016-17 Budget forward estimates period.  The fiscal balance impact reflects an increase in expenses of $14,260.0 million partially offset by an increase in revenue of $4,115.0 million.</w:t>
      </w:r>
    </w:p>
    <w:p w:rsidR="000B5C96" w:rsidRPr="009C4D5F" w:rsidRDefault="000B5C96" w:rsidP="003F606A">
      <w:pPr>
        <w:pStyle w:val="BodyText"/>
      </w:pPr>
      <w:r w:rsidRPr="009C4D5F">
        <w:t xml:space="preserve">A detailed breakdown of the components of the costing is included at </w:t>
      </w:r>
      <w:r w:rsidRPr="009C4D5F">
        <w:rPr>
          <w:u w:val="single"/>
        </w:rPr>
        <w:t>Attachment A</w:t>
      </w:r>
      <w:r w:rsidRPr="009C4D5F">
        <w:t>.</w:t>
      </w:r>
    </w:p>
    <w:p w:rsidR="000B5C96" w:rsidRPr="009C4D5F" w:rsidRDefault="000B5C96" w:rsidP="003F606A">
      <w:pPr>
        <w:pStyle w:val="BodyText"/>
      </w:pPr>
      <w:r w:rsidRPr="009C4D5F">
        <w:t>The proposal would be expected to have ongoing financial impacts beyond the 2016-17 Budget forward estimates period.</w:t>
      </w:r>
    </w:p>
    <w:p w:rsidR="000B5C96" w:rsidRPr="009C4D5F" w:rsidRDefault="000B5C96" w:rsidP="003F606A">
      <w:pPr>
        <w:pStyle w:val="BodyText"/>
      </w:pPr>
      <w:r w:rsidRPr="009C4D5F">
        <w:t>The difference between the impact on the underlying cash balance and the fiscal balance is due to the Low Income Superannuation Tax Offset and Family Tax Benefit payments being accrued within one financial year and paid in a different financial year.</w:t>
      </w:r>
    </w:p>
    <w:p w:rsidR="000B5C96" w:rsidRPr="009C4D5F" w:rsidRDefault="000B5C96" w:rsidP="003F606A">
      <w:pPr>
        <w:pStyle w:val="BodyText"/>
        <w:rPr>
          <w:highlight w:val="yellow"/>
        </w:rPr>
      </w:pPr>
      <w:r w:rsidRPr="009C4D5F">
        <w:t xml:space="preserve">This costing is considered to be of low reliability.  Estimates would be sensitive to changes in economic and demographic factors.  </w:t>
      </w:r>
    </w:p>
    <w:p w:rsidR="000B5C96" w:rsidRPr="009C4D5F" w:rsidRDefault="000B5C96" w:rsidP="003F606A">
      <w:pPr>
        <w:pStyle w:val="Caption"/>
      </w:pPr>
      <w:r w:rsidRPr="009C4D5F">
        <w:t>Table 1: Financial implications (outturn prices)</w:t>
      </w:r>
      <w:r w:rsidRPr="009C4D5F">
        <w:rPr>
          <w:vertAlign w:val="superscript"/>
        </w:rPr>
        <w:t>(a)(b)</w:t>
      </w:r>
    </w:p>
    <w:tbl>
      <w:tblPr>
        <w:tblStyle w:val="TableGrid108"/>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6"/>
        <w:gridCol w:w="1134"/>
        <w:gridCol w:w="1135"/>
        <w:gridCol w:w="1135"/>
        <w:gridCol w:w="1135"/>
        <w:gridCol w:w="1133"/>
      </w:tblGrid>
      <w:tr w:rsidR="000B5C96" w:rsidRPr="009C4D5F"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tcPr>
          <w:p w:rsidR="000B5C96" w:rsidRPr="009C4D5F" w:rsidRDefault="000B5C96" w:rsidP="003F606A">
            <w:pPr>
              <w:keepNext/>
              <w:keepLines/>
              <w:spacing w:line="240" w:lineRule="auto"/>
              <w:ind w:left="57" w:right="57"/>
              <w:rPr>
                <w:szCs w:val="20"/>
              </w:rPr>
            </w:pPr>
            <w:r w:rsidRPr="009C4D5F">
              <w:rPr>
                <w:szCs w:val="20"/>
              </w:rPr>
              <w:t>Impact on ($m)</w:t>
            </w:r>
          </w:p>
        </w:tc>
        <w:tc>
          <w:tcPr>
            <w:tcW w:w="682" w:type="pct"/>
            <w:tcBorders>
              <w:top w:val="single" w:sz="4" w:space="0" w:color="788184"/>
              <w:left w:val="single" w:sz="4" w:space="0" w:color="788184"/>
              <w:bottom w:val="single" w:sz="4" w:space="0" w:color="788184"/>
              <w:right w:val="single" w:sz="4" w:space="0" w:color="788184"/>
            </w:tcBorders>
          </w:tcPr>
          <w:p w:rsidR="000B5C96" w:rsidRPr="009C4D5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C4D5F">
              <w:rPr>
                <w:szCs w:val="20"/>
              </w:rPr>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9C4D5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C4D5F">
              <w:rPr>
                <w:szCs w:val="20"/>
              </w:rPr>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9C4D5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9C4D5F">
              <w:rPr>
                <w:szCs w:val="20"/>
              </w:rPr>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9C4D5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C4D5F">
              <w:rPr>
                <w:szCs w:val="20"/>
              </w:rPr>
              <w:t>2019–20</w:t>
            </w:r>
          </w:p>
        </w:tc>
        <w:tc>
          <w:tcPr>
            <w:tcW w:w="681" w:type="pct"/>
            <w:tcBorders>
              <w:top w:val="single" w:sz="4" w:space="0" w:color="788184"/>
              <w:left w:val="single" w:sz="4" w:space="0" w:color="788184"/>
              <w:bottom w:val="single" w:sz="4" w:space="0" w:color="788184"/>
              <w:right w:val="single" w:sz="4" w:space="0" w:color="788184"/>
            </w:tcBorders>
          </w:tcPr>
          <w:p w:rsidR="000B5C96" w:rsidRPr="009C4D5F"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9C4D5F">
              <w:rPr>
                <w:b/>
                <w:szCs w:val="20"/>
              </w:rPr>
              <w:t>Total</w:t>
            </w:r>
          </w:p>
        </w:tc>
      </w:tr>
      <w:tr w:rsidR="000B5C96" w:rsidRPr="009C4D5F"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keepNext/>
              <w:keepLines/>
              <w:spacing w:line="240" w:lineRule="auto"/>
              <w:ind w:left="57" w:right="57"/>
              <w:rPr>
                <w:szCs w:val="20"/>
              </w:rPr>
            </w:pPr>
            <w:r w:rsidRPr="009C4D5F">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C4D5F">
              <w:rPr>
                <w:rFonts w:ascii="Calibri" w:hAnsi="Calibri"/>
                <w:color w:val="000000"/>
                <w:sz w:val="20"/>
                <w:szCs w:val="20"/>
              </w:rPr>
              <w:t>-1,450.0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C4D5F">
              <w:rPr>
                <w:rFonts w:ascii="Calibri" w:hAnsi="Calibri"/>
                <w:color w:val="000000"/>
                <w:sz w:val="20"/>
                <w:szCs w:val="20"/>
              </w:rPr>
              <w:t>-2,705.0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C4D5F">
              <w:rPr>
                <w:rFonts w:ascii="Calibri" w:hAnsi="Calibri"/>
                <w:color w:val="000000"/>
                <w:sz w:val="20"/>
                <w:szCs w:val="20"/>
              </w:rPr>
              <w:t>-2,970.0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C4D5F">
              <w:rPr>
                <w:rFonts w:ascii="Calibri" w:hAnsi="Calibri"/>
                <w:color w:val="000000"/>
                <w:sz w:val="20"/>
                <w:szCs w:val="20"/>
              </w:rPr>
              <w:t>-3,020.0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sidRPr="009C4D5F">
              <w:rPr>
                <w:rFonts w:ascii="Calibri" w:hAnsi="Calibri"/>
                <w:b/>
                <w:bCs/>
                <w:color w:val="000000"/>
                <w:sz w:val="20"/>
                <w:szCs w:val="20"/>
              </w:rPr>
              <w:t>-10,145.0</w:t>
            </w:r>
          </w:p>
        </w:tc>
      </w:tr>
      <w:tr w:rsidR="000B5C96" w:rsidRPr="009C4D5F"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keepNext/>
              <w:keepLines/>
              <w:spacing w:line="240" w:lineRule="auto"/>
              <w:ind w:left="57" w:right="57"/>
              <w:rPr>
                <w:szCs w:val="20"/>
              </w:rPr>
            </w:pPr>
            <w:r w:rsidRPr="009C4D5F">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color w:val="000000"/>
                <w:szCs w:val="20"/>
              </w:rPr>
            </w:pPr>
            <w:r w:rsidRPr="009C4D5F">
              <w:rPr>
                <w:color w:val="000000"/>
                <w:szCs w:val="20"/>
              </w:rPr>
              <w:t>-1,495.0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color w:val="000000"/>
                <w:szCs w:val="20"/>
              </w:rPr>
            </w:pPr>
            <w:r w:rsidRPr="009C4D5F">
              <w:rPr>
                <w:color w:val="000000"/>
                <w:szCs w:val="20"/>
              </w:rPr>
              <w:t>-2,720.0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color w:val="000000"/>
                <w:szCs w:val="20"/>
              </w:rPr>
            </w:pPr>
            <w:r w:rsidRPr="009C4D5F">
              <w:rPr>
                <w:color w:val="000000"/>
                <w:szCs w:val="20"/>
              </w:rPr>
              <w:t>-2,970.0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color w:val="000000"/>
                <w:szCs w:val="20"/>
              </w:rPr>
            </w:pPr>
            <w:r w:rsidRPr="009C4D5F">
              <w:rPr>
                <w:color w:val="000000"/>
                <w:szCs w:val="20"/>
              </w:rPr>
              <w:t>-3,020.0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9C4D5F"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bCs/>
                <w:color w:val="000000"/>
                <w:szCs w:val="20"/>
              </w:rPr>
            </w:pPr>
            <w:r w:rsidRPr="009C4D5F">
              <w:rPr>
                <w:b/>
                <w:bCs/>
                <w:color w:val="000000"/>
                <w:szCs w:val="20"/>
              </w:rPr>
              <w:t>-10,200.0</w:t>
            </w:r>
          </w:p>
        </w:tc>
      </w:tr>
    </w:tbl>
    <w:p w:rsidR="000B5C96" w:rsidRPr="009C4D5F" w:rsidRDefault="000B5C96" w:rsidP="000B6BA7">
      <w:pPr>
        <w:pStyle w:val="Footnotes"/>
        <w:numPr>
          <w:ilvl w:val="0"/>
          <w:numId w:val="352"/>
        </w:numPr>
        <w:ind w:left="284" w:hanging="284"/>
      </w:pPr>
      <w:r w:rsidRPr="009C4D5F">
        <w:t>A positive number indicates an increase in the relevant budget balance, a negative number a decrease.</w:t>
      </w:r>
    </w:p>
    <w:p w:rsidR="000B5C96" w:rsidRPr="009C4D5F" w:rsidRDefault="000B5C96" w:rsidP="000B5C96">
      <w:pPr>
        <w:pStyle w:val="Footnotes"/>
        <w:numPr>
          <w:ilvl w:val="0"/>
          <w:numId w:val="7"/>
        </w:numPr>
        <w:ind w:left="284" w:hanging="284"/>
      </w:pPr>
      <w:r w:rsidRPr="009C4D5F">
        <w:t>Figures may not sum to totals due to rounding.</w:t>
      </w:r>
    </w:p>
    <w:p w:rsidR="000B5C96" w:rsidRPr="009C4D5F" w:rsidRDefault="000B5C96" w:rsidP="003F606A">
      <w:pPr>
        <w:pStyle w:val="CostingsH7"/>
      </w:pPr>
      <w:r w:rsidRPr="009C4D5F">
        <w:t>Key assumptions</w:t>
      </w:r>
    </w:p>
    <w:p w:rsidR="000B5C96" w:rsidRPr="009C4D5F" w:rsidRDefault="000B5C96" w:rsidP="003F606A">
      <w:pPr>
        <w:pStyle w:val="BodyText"/>
      </w:pPr>
      <w:r w:rsidRPr="009C4D5F">
        <w:t>The growth in income of non-government sector employees was indexed in line with average weekly earnings.  Public sector employee income growth was based on data from Commonwealth, state and territory Budget papers.</w:t>
      </w:r>
    </w:p>
    <w:p w:rsidR="000B5C96" w:rsidRPr="009C4D5F" w:rsidRDefault="000B5C96" w:rsidP="003F606A">
      <w:pPr>
        <w:pStyle w:val="BodyText"/>
      </w:pPr>
      <w:r w:rsidRPr="009C4D5F">
        <w:t>All private sector recipients eligible for the proposed scheme would be paid the full amount, regardless of any employer-provided entitlements.</w:t>
      </w:r>
    </w:p>
    <w:p w:rsidR="000B5C96" w:rsidRPr="009C4D5F" w:rsidRDefault="000B5C96" w:rsidP="003F606A">
      <w:pPr>
        <w:pStyle w:val="CostingsH7"/>
      </w:pPr>
      <w:r w:rsidRPr="009C4D5F">
        <w:t>Methodology</w:t>
      </w:r>
    </w:p>
    <w:p w:rsidR="000B5C96" w:rsidRPr="009C4D5F" w:rsidRDefault="000B5C96" w:rsidP="003F606A">
      <w:pPr>
        <w:pStyle w:val="BodyText"/>
      </w:pPr>
      <w:r w:rsidRPr="009C4D5F">
        <w:t>The administered expenses were estimated using a microsimulation model of Australia’s personal income tax and transfer payment systems.  Simulations were calculated to determine entitlements under both the current policy and the proposal.  The difference in entitlements between the current policy and the proposed policy represents the cost of the pr</w:t>
      </w:r>
      <w:r>
        <w:t>oposal.</w:t>
      </w:r>
    </w:p>
    <w:p w:rsidR="000B5C96" w:rsidRDefault="000B5C96" w:rsidP="003F606A">
      <w:pPr>
        <w:pStyle w:val="BodyText"/>
      </w:pPr>
      <w:r w:rsidRPr="009C4D5F">
        <w:t>The revenue implications were estimated based on the projected taxable incomes and superannuation contributions of PPL recipients under both current and proposed policy scenarios.</w:t>
      </w:r>
    </w:p>
    <w:p w:rsidR="000B5C96" w:rsidRDefault="000B5C96" w:rsidP="003F606A">
      <w:pPr>
        <w:pStyle w:val="BodyText"/>
      </w:pPr>
      <w:r>
        <w:t xml:space="preserve">The costing takes into account the timing of administered payments and tax collections.  </w:t>
      </w:r>
    </w:p>
    <w:p w:rsidR="000B5C96" w:rsidRDefault="000B5C96" w:rsidP="003F606A">
      <w:pPr>
        <w:pStyle w:val="BodyText"/>
      </w:pPr>
      <w:r>
        <w:t>Departmental expenses have been estimated based on information provided by the Department of Human Services on the costs of administering a replacement wage PPL scheme and the costs of including superannuation in PPL payments.</w:t>
      </w:r>
    </w:p>
    <w:p w:rsidR="000B5C96" w:rsidRPr="00002D5D" w:rsidRDefault="000B5C96" w:rsidP="003F606A">
      <w:pPr>
        <w:pStyle w:val="BodyText"/>
      </w:pPr>
      <w:r>
        <w:t>All estimates have been rounded to the nearest $5 million.</w:t>
      </w:r>
    </w:p>
    <w:p w:rsidR="000B5C96" w:rsidRPr="00FC6579" w:rsidRDefault="000B5C96" w:rsidP="003F606A">
      <w:pPr>
        <w:pStyle w:val="CostingsH7"/>
      </w:pPr>
      <w:r w:rsidRPr="00FC6579">
        <w:t>Data sources</w:t>
      </w:r>
    </w:p>
    <w:p w:rsidR="000B5C96" w:rsidRPr="0095154D" w:rsidRDefault="000B5C96" w:rsidP="003F606A">
      <w:pPr>
        <w:pStyle w:val="BodyText"/>
      </w:pPr>
      <w:r w:rsidRPr="0095154D">
        <w:t>Department of Social Services</w:t>
      </w:r>
      <w:r>
        <w:t xml:space="preserve"> provided administrative unit record data on </w:t>
      </w:r>
      <w:r w:rsidRPr="0095154D">
        <w:t xml:space="preserve">PPL recipients. </w:t>
      </w:r>
    </w:p>
    <w:p w:rsidR="000B5C96" w:rsidRPr="002400B7" w:rsidRDefault="000B5C96" w:rsidP="003F606A">
      <w:pPr>
        <w:pStyle w:val="BodyText"/>
      </w:pPr>
      <w:r w:rsidRPr="002400B7">
        <w:t>Department of Human Services provided 2016-17 Budget unit departmental costs.</w:t>
      </w:r>
    </w:p>
    <w:p w:rsidR="000B5C96" w:rsidRDefault="000B5C96" w:rsidP="003F606A">
      <w:pPr>
        <w:pStyle w:val="BodyText"/>
        <w:sectPr w:rsidR="000B5C96" w:rsidSect="003F606A">
          <w:headerReference w:type="even" r:id="rId660"/>
          <w:headerReference w:type="default" r:id="rId661"/>
          <w:footerReference w:type="even" r:id="rId662"/>
          <w:footerReference w:type="default" r:id="rId663"/>
          <w:pgSz w:w="11907" w:h="16839" w:code="9"/>
          <w:pgMar w:top="1361" w:right="1797" w:bottom="1474" w:left="1797" w:header="283" w:footer="454" w:gutter="0"/>
          <w:cols w:space="708"/>
          <w:docGrid w:linePitch="360"/>
        </w:sectPr>
      </w:pPr>
      <w:r w:rsidRPr="002400B7">
        <w:t xml:space="preserve">Commonwealth, </w:t>
      </w:r>
      <w:r>
        <w:t>s</w:t>
      </w:r>
      <w:r w:rsidRPr="002400B7">
        <w:t xml:space="preserve">tate and </w:t>
      </w:r>
      <w:r>
        <w:t>t</w:t>
      </w:r>
      <w:r w:rsidRPr="002400B7">
        <w:t>erritory Budget papers</w:t>
      </w:r>
      <w:r>
        <w:t>.</w:t>
      </w:r>
    </w:p>
    <w:p w:rsidR="000B5C96" w:rsidRPr="00FC6579" w:rsidRDefault="000B5C96" w:rsidP="000B5C96">
      <w:pPr>
        <w:pStyle w:val="Heading6"/>
        <w:numPr>
          <w:ilvl w:val="0"/>
          <w:numId w:val="5"/>
        </w:numPr>
        <w:tabs>
          <w:tab w:val="right" w:pos="1418"/>
          <w:tab w:val="right" w:pos="1701"/>
          <w:tab w:val="right" w:pos="1985"/>
        </w:tabs>
      </w:pPr>
      <w:r w:rsidRPr="00FC6579">
        <w:t>Attachment A:</w:t>
      </w:r>
      <w:r>
        <w:t xml:space="preserve"> </w:t>
      </w:r>
      <w:r w:rsidRPr="002400B7">
        <w:t>Paid Parental Leave</w:t>
      </w:r>
      <w:r>
        <w:t>—financial implications</w:t>
      </w:r>
    </w:p>
    <w:p w:rsidR="000B5C96" w:rsidRPr="00E30FB5" w:rsidRDefault="000B5C96" w:rsidP="003F606A">
      <w:pPr>
        <w:pStyle w:val="Caption"/>
        <w:rPr>
          <w:vertAlign w:val="superscript"/>
        </w:rPr>
      </w:pPr>
      <w:r w:rsidRPr="00FC5643">
        <w:t xml:space="preserve">Table </w:t>
      </w:r>
      <w:r>
        <w:t>A1</w:t>
      </w:r>
      <w:r w:rsidRPr="00FC5643">
        <w:t xml:space="preserve">: </w:t>
      </w:r>
      <w:r w:rsidRPr="002400B7">
        <w:t>Paid Parental Leave</w:t>
      </w:r>
      <w:r>
        <w:t>—Fiscal balance</w:t>
      </w:r>
      <w:r w:rsidRPr="00B46F22">
        <w:rPr>
          <w:vertAlign w:val="superscript"/>
        </w:rPr>
        <w:t>(a)</w:t>
      </w:r>
      <w:r>
        <w:rPr>
          <w:vertAlign w:val="superscript"/>
        </w:rPr>
        <w:t>(b)</w:t>
      </w:r>
    </w:p>
    <w:tbl>
      <w:tblPr>
        <w:tblW w:w="8504" w:type="dxa"/>
        <w:jc w:val="center"/>
        <w:tblLayout w:type="fixed"/>
        <w:tblCellMar>
          <w:left w:w="0" w:type="dxa"/>
          <w:right w:w="0" w:type="dxa"/>
        </w:tblCellMar>
        <w:tblLook w:val="04A0" w:firstRow="1" w:lastRow="0" w:firstColumn="1" w:lastColumn="0" w:noHBand="0" w:noVBand="1"/>
      </w:tblPr>
      <w:tblGrid>
        <w:gridCol w:w="2648"/>
        <w:gridCol w:w="1171"/>
        <w:gridCol w:w="1171"/>
        <w:gridCol w:w="1171"/>
        <w:gridCol w:w="1171"/>
        <w:gridCol w:w="1172"/>
      </w:tblGrid>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rPr>
                <w:color w:val="000000"/>
                <w:sz w:val="20"/>
                <w:szCs w:val="20"/>
              </w:rPr>
            </w:pPr>
            <w:r w:rsidRPr="00242B47">
              <w:rPr>
                <w:color w:val="000000"/>
                <w:sz w:val="20"/>
                <w:szCs w:val="20"/>
              </w:rPr>
              <w:t>($m)</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jc w:val="right"/>
              <w:rPr>
                <w:color w:val="000000"/>
                <w:sz w:val="20"/>
                <w:szCs w:val="20"/>
              </w:rPr>
            </w:pPr>
            <w:r w:rsidRPr="00242B47">
              <w:rPr>
                <w:color w:val="000000"/>
                <w:sz w:val="20"/>
                <w:szCs w:val="20"/>
              </w:rPr>
              <w:t xml:space="preserve"> 2016-17 </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jc w:val="right"/>
              <w:rPr>
                <w:color w:val="000000"/>
                <w:sz w:val="20"/>
                <w:szCs w:val="20"/>
              </w:rPr>
            </w:pPr>
            <w:r w:rsidRPr="00242B47">
              <w:rPr>
                <w:color w:val="000000"/>
                <w:sz w:val="20"/>
                <w:szCs w:val="20"/>
              </w:rPr>
              <w:t xml:space="preserve"> 2017-18 </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jc w:val="right"/>
              <w:rPr>
                <w:color w:val="000000"/>
                <w:sz w:val="20"/>
                <w:szCs w:val="20"/>
              </w:rPr>
            </w:pPr>
            <w:r w:rsidRPr="00242B47">
              <w:rPr>
                <w:color w:val="000000"/>
                <w:sz w:val="20"/>
                <w:szCs w:val="20"/>
              </w:rPr>
              <w:t xml:space="preserve"> 2018-19 </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jc w:val="right"/>
              <w:rPr>
                <w:color w:val="000000"/>
                <w:sz w:val="20"/>
                <w:szCs w:val="20"/>
              </w:rPr>
            </w:pPr>
            <w:r w:rsidRPr="00242B47">
              <w:rPr>
                <w:color w:val="000000"/>
                <w:sz w:val="20"/>
                <w:szCs w:val="20"/>
              </w:rPr>
              <w:t xml:space="preserve"> 2019-20 </w:t>
            </w:r>
          </w:p>
        </w:tc>
        <w:tc>
          <w:tcPr>
            <w:tcW w:w="1172"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jc w:val="right"/>
              <w:rPr>
                <w:b/>
                <w:color w:val="000000"/>
                <w:sz w:val="20"/>
                <w:szCs w:val="20"/>
              </w:rPr>
            </w:pPr>
            <w:r w:rsidRPr="00242B47">
              <w:rPr>
                <w:b/>
                <w:color w:val="000000"/>
                <w:sz w:val="20"/>
                <w:szCs w:val="20"/>
              </w:rPr>
              <w:t xml:space="preserve"> Total to 2019-20</w:t>
            </w:r>
          </w:p>
        </w:tc>
      </w:tr>
      <w:tr w:rsidR="000B5C96" w:rsidRPr="00242B47" w:rsidTr="003F606A">
        <w:trPr>
          <w:trHeight w:val="113"/>
          <w:jc w:val="center"/>
        </w:trPr>
        <w:tc>
          <w:tcPr>
            <w:tcW w:w="8504" w:type="dxa"/>
            <w:gridSpan w:val="6"/>
            <w:tcBorders>
              <w:top w:val="single" w:sz="4" w:space="0" w:color="788184"/>
              <w:left w:val="single" w:sz="4" w:space="0" w:color="788184"/>
              <w:bottom w:val="single" w:sz="4" w:space="0" w:color="788184"/>
              <w:right w:val="single" w:sz="4" w:space="0" w:color="788184"/>
            </w:tcBorders>
            <w:shd w:val="clear" w:color="auto" w:fill="E9ECF3"/>
            <w:noWrap/>
            <w:vAlign w:val="bottom"/>
            <w:hideMark/>
          </w:tcPr>
          <w:p w:rsidR="000B5C96" w:rsidRPr="00242B47" w:rsidRDefault="000B5C96" w:rsidP="003F606A">
            <w:pPr>
              <w:spacing w:before="70" w:after="70" w:line="240" w:lineRule="auto"/>
              <w:ind w:left="57" w:right="57"/>
              <w:rPr>
                <w:b/>
                <w:color w:val="000000"/>
                <w:sz w:val="20"/>
                <w:szCs w:val="20"/>
              </w:rPr>
            </w:pPr>
            <w:r w:rsidRPr="00242B47">
              <w:rPr>
                <w:color w:val="000000"/>
                <w:sz w:val="20"/>
                <w:szCs w:val="20"/>
              </w:rPr>
              <w:t>Revenue</w:t>
            </w:r>
          </w:p>
        </w:tc>
      </w:tr>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242B47" w:rsidRDefault="000B5C96" w:rsidP="003F606A">
            <w:pPr>
              <w:spacing w:before="70" w:after="70" w:line="240" w:lineRule="auto"/>
              <w:ind w:left="57" w:right="57"/>
              <w:rPr>
                <w:i/>
                <w:iCs/>
                <w:color w:val="000000"/>
                <w:sz w:val="20"/>
                <w:szCs w:val="20"/>
              </w:rPr>
            </w:pPr>
            <w:r w:rsidRPr="00242B47">
              <w:rPr>
                <w:i/>
                <w:iCs/>
                <w:color w:val="000000"/>
                <w:sz w:val="20"/>
                <w:szCs w:val="20"/>
              </w:rPr>
              <w:t>Administered</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 750.0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 1,095.0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 1,115.0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 1,150.0 </w:t>
            </w:r>
          </w:p>
        </w:tc>
        <w:tc>
          <w:tcPr>
            <w:tcW w:w="1172" w:type="dxa"/>
            <w:tcBorders>
              <w:top w:val="single" w:sz="4" w:space="0" w:color="788184"/>
              <w:left w:val="single" w:sz="4" w:space="0" w:color="788184"/>
              <w:bottom w:val="single" w:sz="4" w:space="0" w:color="788184"/>
              <w:right w:val="single" w:sz="4" w:space="0" w:color="788184"/>
            </w:tcBorders>
            <w:shd w:val="clear" w:color="000000" w:fill="FFFFFF"/>
            <w:noWrap/>
            <w:vAlign w:val="bottom"/>
            <w:hideMark/>
          </w:tcPr>
          <w:p w:rsidR="000B5C96" w:rsidRPr="000E3ED9" w:rsidRDefault="000B5C96" w:rsidP="003F606A">
            <w:pPr>
              <w:spacing w:before="70" w:after="70" w:line="240" w:lineRule="auto"/>
              <w:ind w:left="57" w:right="57"/>
              <w:jc w:val="right"/>
              <w:rPr>
                <w:b/>
                <w:i/>
                <w:iCs/>
                <w:color w:val="000000"/>
                <w:sz w:val="20"/>
                <w:szCs w:val="20"/>
              </w:rPr>
            </w:pPr>
            <w:r w:rsidRPr="000E3ED9">
              <w:rPr>
                <w:i/>
                <w:iCs/>
                <w:color w:val="000000"/>
                <w:sz w:val="20"/>
                <w:szCs w:val="20"/>
              </w:rPr>
              <w:t xml:space="preserve"> </w:t>
            </w:r>
            <w:r w:rsidRPr="000E3ED9">
              <w:rPr>
                <w:b/>
                <w:i/>
                <w:iCs/>
                <w:color w:val="000000"/>
                <w:sz w:val="20"/>
                <w:szCs w:val="20"/>
              </w:rPr>
              <w:t xml:space="preserve">4,115.0 </w:t>
            </w:r>
          </w:p>
        </w:tc>
      </w:tr>
      <w:tr w:rsidR="000B5C96" w:rsidRPr="00242B47" w:rsidTr="003F606A">
        <w:trPr>
          <w:trHeight w:val="113"/>
          <w:jc w:val="center"/>
        </w:trPr>
        <w:tc>
          <w:tcPr>
            <w:tcW w:w="8504" w:type="dxa"/>
            <w:gridSpan w:val="6"/>
            <w:tcBorders>
              <w:top w:val="single" w:sz="4" w:space="0" w:color="788184"/>
              <w:left w:val="single" w:sz="4" w:space="0" w:color="788184"/>
              <w:bottom w:val="single" w:sz="4" w:space="0" w:color="788184"/>
              <w:right w:val="single" w:sz="4" w:space="0" w:color="788184"/>
            </w:tcBorders>
            <w:shd w:val="clear" w:color="auto" w:fill="E9ECF3"/>
            <w:noWrap/>
            <w:vAlign w:val="bottom"/>
            <w:hideMark/>
          </w:tcPr>
          <w:p w:rsidR="000B5C96" w:rsidRPr="00242B47" w:rsidRDefault="000B5C96" w:rsidP="003F606A">
            <w:pPr>
              <w:spacing w:before="70" w:after="70" w:line="240" w:lineRule="auto"/>
              <w:ind w:left="57" w:right="57"/>
              <w:rPr>
                <w:b/>
                <w:color w:val="000000"/>
                <w:sz w:val="20"/>
                <w:szCs w:val="20"/>
              </w:rPr>
            </w:pPr>
            <w:r w:rsidRPr="00242B47">
              <w:rPr>
                <w:color w:val="000000"/>
                <w:sz w:val="20"/>
                <w:szCs w:val="20"/>
              </w:rPr>
              <w:t>Expense</w:t>
            </w:r>
          </w:p>
        </w:tc>
      </w:tr>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242B47" w:rsidRDefault="000B5C96" w:rsidP="003F606A">
            <w:pPr>
              <w:spacing w:before="70" w:after="70" w:line="240" w:lineRule="auto"/>
              <w:ind w:left="57" w:right="57"/>
              <w:rPr>
                <w:i/>
                <w:iCs/>
                <w:color w:val="000000"/>
                <w:sz w:val="20"/>
                <w:szCs w:val="20"/>
              </w:rPr>
            </w:pPr>
            <w:r w:rsidRPr="00242B47">
              <w:rPr>
                <w:i/>
                <w:iCs/>
                <w:color w:val="000000"/>
                <w:sz w:val="20"/>
                <w:szCs w:val="20"/>
              </w:rPr>
              <w:t xml:space="preserve"> Administered</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-2,195.0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-3,795.0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-4,080.0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-4,165.0 </w:t>
            </w:r>
          </w:p>
        </w:tc>
        <w:tc>
          <w:tcPr>
            <w:tcW w:w="1172" w:type="dxa"/>
            <w:tcBorders>
              <w:top w:val="single" w:sz="4" w:space="0" w:color="788184"/>
              <w:left w:val="single" w:sz="4" w:space="0" w:color="788184"/>
              <w:bottom w:val="single" w:sz="4" w:space="0" w:color="788184"/>
              <w:right w:val="single" w:sz="4" w:space="0" w:color="788184"/>
            </w:tcBorders>
            <w:shd w:val="clear" w:color="000000" w:fill="FFFFFF"/>
            <w:noWrap/>
            <w:vAlign w:val="bottom"/>
            <w:hideMark/>
          </w:tcPr>
          <w:p w:rsidR="000B5C96" w:rsidRPr="000E3ED9" w:rsidRDefault="000B5C96" w:rsidP="003F606A">
            <w:pPr>
              <w:spacing w:before="70" w:after="70" w:line="240" w:lineRule="auto"/>
              <w:ind w:left="57" w:right="57"/>
              <w:jc w:val="right"/>
              <w:rPr>
                <w:b/>
                <w:i/>
                <w:iCs/>
                <w:color w:val="000000"/>
                <w:sz w:val="20"/>
                <w:szCs w:val="20"/>
              </w:rPr>
            </w:pPr>
            <w:r w:rsidRPr="000E3ED9">
              <w:rPr>
                <w:b/>
                <w:i/>
                <w:iCs/>
                <w:color w:val="000000"/>
                <w:sz w:val="20"/>
                <w:szCs w:val="20"/>
              </w:rPr>
              <w:t xml:space="preserve">-14,235.0 </w:t>
            </w:r>
          </w:p>
        </w:tc>
      </w:tr>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242B47" w:rsidRDefault="000B5C96" w:rsidP="003F606A">
            <w:pPr>
              <w:spacing w:before="70" w:after="70" w:line="240" w:lineRule="auto"/>
              <w:ind w:left="57" w:right="57"/>
              <w:rPr>
                <w:i/>
                <w:iCs/>
                <w:color w:val="000000"/>
                <w:sz w:val="20"/>
                <w:szCs w:val="20"/>
              </w:rPr>
            </w:pPr>
            <w:r w:rsidRPr="00242B47">
              <w:rPr>
                <w:i/>
                <w:iCs/>
                <w:color w:val="000000"/>
                <w:sz w:val="20"/>
                <w:szCs w:val="20"/>
              </w:rPr>
              <w:t xml:space="preserve"> Departmental</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-5.0 </w:t>
            </w:r>
          </w:p>
        </w:tc>
        <w:tc>
          <w:tcPr>
            <w:tcW w:w="1172" w:type="dxa"/>
            <w:tcBorders>
              <w:top w:val="single" w:sz="4" w:space="0" w:color="788184"/>
              <w:left w:val="single" w:sz="4" w:space="0" w:color="788184"/>
              <w:bottom w:val="single" w:sz="4" w:space="0" w:color="788184"/>
              <w:right w:val="single" w:sz="4" w:space="0" w:color="788184"/>
            </w:tcBorders>
            <w:shd w:val="clear" w:color="000000" w:fill="FFFFFF"/>
            <w:noWrap/>
            <w:vAlign w:val="bottom"/>
            <w:hideMark/>
          </w:tcPr>
          <w:p w:rsidR="000B5C96" w:rsidRPr="000E3ED9" w:rsidRDefault="000B5C96" w:rsidP="003F606A">
            <w:pPr>
              <w:spacing w:before="70" w:after="70" w:line="240" w:lineRule="auto"/>
              <w:ind w:left="57" w:right="57"/>
              <w:jc w:val="right"/>
              <w:rPr>
                <w:b/>
                <w:i/>
                <w:iCs/>
                <w:color w:val="000000"/>
                <w:sz w:val="20"/>
                <w:szCs w:val="20"/>
              </w:rPr>
            </w:pPr>
            <w:r w:rsidRPr="000E3ED9">
              <w:rPr>
                <w:b/>
                <w:i/>
                <w:iCs/>
                <w:color w:val="000000"/>
                <w:sz w:val="20"/>
                <w:szCs w:val="20"/>
              </w:rPr>
              <w:t xml:space="preserve">-25.0 </w:t>
            </w:r>
          </w:p>
        </w:tc>
      </w:tr>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242B47" w:rsidRDefault="000B5C96" w:rsidP="003F606A">
            <w:pPr>
              <w:spacing w:before="70" w:after="70" w:line="240" w:lineRule="auto"/>
              <w:ind w:left="57" w:right="57"/>
              <w:rPr>
                <w:b/>
                <w:iCs/>
                <w:color w:val="000000"/>
                <w:sz w:val="20"/>
                <w:szCs w:val="20"/>
              </w:rPr>
            </w:pPr>
            <w:r w:rsidRPr="00242B47">
              <w:rPr>
                <w:b/>
                <w:iCs/>
                <w:color w:val="000000"/>
                <w:sz w:val="20"/>
                <w:szCs w:val="20"/>
              </w:rPr>
              <w:t xml:space="preserve">Expenses - </w:t>
            </w:r>
            <w:r>
              <w:rPr>
                <w:b/>
                <w:iCs/>
                <w:color w:val="000000"/>
                <w:sz w:val="20"/>
                <w:szCs w:val="20"/>
              </w:rPr>
              <w:t>t</w:t>
            </w:r>
            <w:r w:rsidRPr="00242B47">
              <w:rPr>
                <w:b/>
                <w:iCs/>
                <w:color w:val="000000"/>
                <w:sz w:val="20"/>
                <w:szCs w:val="20"/>
              </w:rPr>
              <w:t>otal</w:t>
            </w:r>
          </w:p>
        </w:tc>
        <w:tc>
          <w:tcPr>
            <w:tcW w:w="1171"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0E3ED9" w:rsidRDefault="000B5C96" w:rsidP="003F606A">
            <w:pPr>
              <w:spacing w:before="70" w:after="70" w:line="240" w:lineRule="auto"/>
              <w:ind w:left="57" w:right="57"/>
              <w:jc w:val="right"/>
              <w:rPr>
                <w:b/>
                <w:color w:val="000000"/>
                <w:sz w:val="20"/>
                <w:szCs w:val="20"/>
              </w:rPr>
            </w:pPr>
            <w:r w:rsidRPr="000E3ED9">
              <w:rPr>
                <w:b/>
                <w:color w:val="000000"/>
                <w:sz w:val="20"/>
                <w:szCs w:val="20"/>
              </w:rPr>
              <w:t xml:space="preserve">-2,200.0 </w:t>
            </w:r>
          </w:p>
        </w:tc>
        <w:tc>
          <w:tcPr>
            <w:tcW w:w="1171"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0E3ED9" w:rsidRDefault="000B5C96" w:rsidP="003F606A">
            <w:pPr>
              <w:spacing w:before="70" w:after="70" w:line="240" w:lineRule="auto"/>
              <w:ind w:left="57" w:right="57"/>
              <w:jc w:val="right"/>
              <w:rPr>
                <w:b/>
                <w:color w:val="000000"/>
                <w:sz w:val="20"/>
                <w:szCs w:val="20"/>
              </w:rPr>
            </w:pPr>
            <w:r w:rsidRPr="000E3ED9">
              <w:rPr>
                <w:b/>
                <w:color w:val="000000"/>
                <w:sz w:val="20"/>
                <w:szCs w:val="20"/>
              </w:rPr>
              <w:t xml:space="preserve">-3,800.0 </w:t>
            </w:r>
          </w:p>
        </w:tc>
        <w:tc>
          <w:tcPr>
            <w:tcW w:w="1171"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0E3ED9" w:rsidRDefault="000B5C96" w:rsidP="003F606A">
            <w:pPr>
              <w:spacing w:before="70" w:after="70" w:line="240" w:lineRule="auto"/>
              <w:ind w:left="57" w:right="57"/>
              <w:jc w:val="right"/>
              <w:rPr>
                <w:b/>
                <w:color w:val="000000"/>
                <w:sz w:val="20"/>
                <w:szCs w:val="20"/>
              </w:rPr>
            </w:pPr>
            <w:r w:rsidRPr="000E3ED9">
              <w:rPr>
                <w:b/>
                <w:color w:val="000000"/>
                <w:sz w:val="20"/>
                <w:szCs w:val="20"/>
              </w:rPr>
              <w:t xml:space="preserve">-4,085.0 </w:t>
            </w:r>
          </w:p>
        </w:tc>
        <w:tc>
          <w:tcPr>
            <w:tcW w:w="1171"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0E3ED9" w:rsidRDefault="000B5C96" w:rsidP="003F606A">
            <w:pPr>
              <w:spacing w:before="70" w:after="70" w:line="240" w:lineRule="auto"/>
              <w:ind w:left="57" w:right="57"/>
              <w:jc w:val="right"/>
              <w:rPr>
                <w:b/>
                <w:color w:val="000000"/>
                <w:sz w:val="20"/>
                <w:szCs w:val="20"/>
              </w:rPr>
            </w:pPr>
            <w:r w:rsidRPr="000E3ED9">
              <w:rPr>
                <w:b/>
                <w:color w:val="000000"/>
                <w:sz w:val="20"/>
                <w:szCs w:val="20"/>
              </w:rPr>
              <w:t xml:space="preserve">-4,170.0 </w:t>
            </w:r>
          </w:p>
        </w:tc>
        <w:tc>
          <w:tcPr>
            <w:tcW w:w="1172"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0E3ED9" w:rsidRDefault="000B5C96" w:rsidP="003F606A">
            <w:pPr>
              <w:spacing w:before="70" w:after="70" w:line="240" w:lineRule="auto"/>
              <w:ind w:left="57" w:right="57"/>
              <w:jc w:val="right"/>
              <w:rPr>
                <w:b/>
                <w:color w:val="000000"/>
                <w:sz w:val="20"/>
                <w:szCs w:val="20"/>
              </w:rPr>
            </w:pPr>
            <w:r w:rsidRPr="000E3ED9">
              <w:rPr>
                <w:b/>
                <w:color w:val="000000"/>
                <w:sz w:val="20"/>
                <w:szCs w:val="20"/>
              </w:rPr>
              <w:t xml:space="preserve">-14,260.0 </w:t>
            </w:r>
          </w:p>
        </w:tc>
      </w:tr>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auto" w:fill="D7DDE9"/>
            <w:noWrap/>
            <w:vAlign w:val="bottom"/>
            <w:hideMark/>
          </w:tcPr>
          <w:p w:rsidR="000B5C96" w:rsidRPr="00242B47" w:rsidRDefault="000B5C96" w:rsidP="003F606A">
            <w:pPr>
              <w:spacing w:before="70" w:after="70" w:line="240" w:lineRule="auto"/>
              <w:ind w:left="57" w:right="57"/>
              <w:rPr>
                <w:b/>
                <w:bCs/>
                <w:color w:val="000000"/>
                <w:sz w:val="20"/>
                <w:szCs w:val="20"/>
              </w:rPr>
            </w:pPr>
            <w:r w:rsidRPr="00242B47">
              <w:rPr>
                <w:b/>
                <w:bCs/>
                <w:color w:val="000000"/>
                <w:sz w:val="20"/>
                <w:szCs w:val="20"/>
              </w:rPr>
              <w:t>Total</w:t>
            </w:r>
          </w:p>
        </w:tc>
        <w:tc>
          <w:tcPr>
            <w:tcW w:w="1171" w:type="dxa"/>
            <w:tcBorders>
              <w:top w:val="single" w:sz="4" w:space="0" w:color="788184"/>
              <w:left w:val="single" w:sz="4" w:space="0" w:color="788184"/>
              <w:bottom w:val="single" w:sz="4" w:space="0" w:color="788184"/>
              <w:right w:val="single" w:sz="4" w:space="0" w:color="788184"/>
            </w:tcBorders>
            <w:shd w:val="clear" w:color="auto" w:fill="D7DDE9"/>
            <w:noWrap/>
            <w:vAlign w:val="bottom"/>
            <w:hideMark/>
          </w:tcPr>
          <w:p w:rsidR="000B5C96" w:rsidRPr="000E3ED9" w:rsidRDefault="000B5C96" w:rsidP="003F606A">
            <w:pPr>
              <w:spacing w:before="70" w:after="70" w:line="240" w:lineRule="auto"/>
              <w:ind w:left="57" w:right="57"/>
              <w:jc w:val="right"/>
              <w:rPr>
                <w:b/>
                <w:bCs/>
                <w:color w:val="000000"/>
                <w:sz w:val="20"/>
                <w:szCs w:val="20"/>
              </w:rPr>
            </w:pPr>
            <w:r w:rsidRPr="000E3ED9">
              <w:rPr>
                <w:b/>
                <w:bCs/>
                <w:color w:val="000000"/>
                <w:sz w:val="20"/>
                <w:szCs w:val="20"/>
              </w:rPr>
              <w:t xml:space="preserve">-1,450.0 </w:t>
            </w:r>
          </w:p>
        </w:tc>
        <w:tc>
          <w:tcPr>
            <w:tcW w:w="1171" w:type="dxa"/>
            <w:tcBorders>
              <w:top w:val="single" w:sz="4" w:space="0" w:color="788184"/>
              <w:left w:val="single" w:sz="4" w:space="0" w:color="788184"/>
              <w:bottom w:val="single" w:sz="4" w:space="0" w:color="788184"/>
              <w:right w:val="single" w:sz="4" w:space="0" w:color="788184"/>
            </w:tcBorders>
            <w:shd w:val="clear" w:color="auto" w:fill="D7DDE9"/>
            <w:noWrap/>
            <w:vAlign w:val="bottom"/>
            <w:hideMark/>
          </w:tcPr>
          <w:p w:rsidR="000B5C96" w:rsidRPr="000E3ED9" w:rsidRDefault="000B5C96" w:rsidP="003F606A">
            <w:pPr>
              <w:spacing w:before="70" w:after="70" w:line="240" w:lineRule="auto"/>
              <w:ind w:left="57" w:right="57"/>
              <w:jc w:val="right"/>
              <w:rPr>
                <w:b/>
                <w:bCs/>
                <w:color w:val="000000"/>
                <w:sz w:val="20"/>
                <w:szCs w:val="20"/>
              </w:rPr>
            </w:pPr>
            <w:r w:rsidRPr="000E3ED9">
              <w:rPr>
                <w:b/>
                <w:bCs/>
                <w:color w:val="000000"/>
                <w:sz w:val="20"/>
                <w:szCs w:val="20"/>
              </w:rPr>
              <w:t xml:space="preserve">-2,705.0 </w:t>
            </w:r>
          </w:p>
        </w:tc>
        <w:tc>
          <w:tcPr>
            <w:tcW w:w="1171" w:type="dxa"/>
            <w:tcBorders>
              <w:top w:val="single" w:sz="4" w:space="0" w:color="788184"/>
              <w:left w:val="single" w:sz="4" w:space="0" w:color="788184"/>
              <w:bottom w:val="single" w:sz="4" w:space="0" w:color="788184"/>
              <w:right w:val="single" w:sz="4" w:space="0" w:color="788184"/>
            </w:tcBorders>
            <w:shd w:val="clear" w:color="auto" w:fill="D7DDE9"/>
            <w:noWrap/>
            <w:vAlign w:val="bottom"/>
            <w:hideMark/>
          </w:tcPr>
          <w:p w:rsidR="000B5C96" w:rsidRPr="000E3ED9" w:rsidRDefault="000B5C96" w:rsidP="003F606A">
            <w:pPr>
              <w:spacing w:before="70" w:after="70" w:line="240" w:lineRule="auto"/>
              <w:ind w:left="57" w:right="57"/>
              <w:jc w:val="right"/>
              <w:rPr>
                <w:b/>
                <w:bCs/>
                <w:color w:val="000000"/>
                <w:sz w:val="20"/>
                <w:szCs w:val="20"/>
              </w:rPr>
            </w:pPr>
            <w:r w:rsidRPr="000E3ED9">
              <w:rPr>
                <w:b/>
                <w:bCs/>
                <w:color w:val="000000"/>
                <w:sz w:val="20"/>
                <w:szCs w:val="20"/>
              </w:rPr>
              <w:t xml:space="preserve">-2,970.0 </w:t>
            </w:r>
          </w:p>
        </w:tc>
        <w:tc>
          <w:tcPr>
            <w:tcW w:w="1171" w:type="dxa"/>
            <w:tcBorders>
              <w:top w:val="single" w:sz="4" w:space="0" w:color="788184"/>
              <w:left w:val="single" w:sz="4" w:space="0" w:color="788184"/>
              <w:bottom w:val="single" w:sz="4" w:space="0" w:color="788184"/>
              <w:right w:val="single" w:sz="4" w:space="0" w:color="788184"/>
            </w:tcBorders>
            <w:shd w:val="clear" w:color="auto" w:fill="D7DDE9"/>
            <w:noWrap/>
            <w:vAlign w:val="bottom"/>
            <w:hideMark/>
          </w:tcPr>
          <w:p w:rsidR="000B5C96" w:rsidRPr="000E3ED9" w:rsidRDefault="000B5C96" w:rsidP="003F606A">
            <w:pPr>
              <w:spacing w:before="70" w:after="70" w:line="240" w:lineRule="auto"/>
              <w:ind w:left="57" w:right="57"/>
              <w:jc w:val="right"/>
              <w:rPr>
                <w:b/>
                <w:bCs/>
                <w:color w:val="000000"/>
                <w:sz w:val="20"/>
                <w:szCs w:val="20"/>
              </w:rPr>
            </w:pPr>
            <w:r w:rsidRPr="000E3ED9">
              <w:rPr>
                <w:b/>
                <w:bCs/>
                <w:color w:val="000000"/>
                <w:sz w:val="20"/>
                <w:szCs w:val="20"/>
              </w:rPr>
              <w:t xml:space="preserve">-3,020.0 </w:t>
            </w:r>
          </w:p>
        </w:tc>
        <w:tc>
          <w:tcPr>
            <w:tcW w:w="1172" w:type="dxa"/>
            <w:tcBorders>
              <w:top w:val="single" w:sz="4" w:space="0" w:color="788184"/>
              <w:left w:val="single" w:sz="4" w:space="0" w:color="788184"/>
              <w:bottom w:val="single" w:sz="4" w:space="0" w:color="788184"/>
              <w:right w:val="single" w:sz="4" w:space="0" w:color="788184"/>
            </w:tcBorders>
            <w:shd w:val="clear" w:color="auto" w:fill="D7DDE9"/>
            <w:noWrap/>
            <w:vAlign w:val="bottom"/>
            <w:hideMark/>
          </w:tcPr>
          <w:p w:rsidR="000B5C96" w:rsidRPr="000E3ED9" w:rsidRDefault="000B5C96" w:rsidP="003F606A">
            <w:pPr>
              <w:spacing w:before="70" w:after="70" w:line="240" w:lineRule="auto"/>
              <w:ind w:left="57" w:right="57"/>
              <w:jc w:val="right"/>
              <w:rPr>
                <w:b/>
                <w:bCs/>
                <w:color w:val="000000"/>
                <w:sz w:val="20"/>
                <w:szCs w:val="20"/>
              </w:rPr>
            </w:pPr>
            <w:r w:rsidRPr="000E3ED9">
              <w:rPr>
                <w:b/>
                <w:bCs/>
                <w:color w:val="000000"/>
                <w:sz w:val="20"/>
                <w:szCs w:val="20"/>
              </w:rPr>
              <w:t xml:space="preserve">-10,145.0 </w:t>
            </w:r>
          </w:p>
        </w:tc>
      </w:tr>
    </w:tbl>
    <w:p w:rsidR="000B5C96" w:rsidRPr="00DB3B7E" w:rsidRDefault="000B5C96" w:rsidP="000B6BA7">
      <w:pPr>
        <w:pStyle w:val="Footnotes"/>
        <w:numPr>
          <w:ilvl w:val="0"/>
          <w:numId w:val="353"/>
        </w:numPr>
        <w:ind w:left="284" w:hanging="284"/>
      </w:pPr>
      <w:r w:rsidRPr="00DB3B7E">
        <w:t>A positive number for the fiscal balance indicates an increase in revenue or a decrease in expenses or net capita</w:t>
      </w:r>
      <w:r>
        <w:t xml:space="preserve">l investment in accrual terms.  </w:t>
      </w:r>
      <w:r w:rsidRPr="00DB3B7E">
        <w:t>A negative number for the fiscal balance indicates a decrease in revenue or an increase in expenses or net capital</w:t>
      </w:r>
      <w:r>
        <w:t xml:space="preserve"> investment in accrual terms.</w:t>
      </w:r>
    </w:p>
    <w:p w:rsidR="000B5C96" w:rsidRPr="00073FB3" w:rsidRDefault="000B5C96" w:rsidP="000B5C96">
      <w:pPr>
        <w:pStyle w:val="Footnotes"/>
        <w:numPr>
          <w:ilvl w:val="0"/>
          <w:numId w:val="7"/>
        </w:numPr>
        <w:ind w:left="284" w:hanging="284"/>
        <w:rPr>
          <w:rFonts w:eastAsia="Times New Roman"/>
          <w:lang w:eastAsia="en-AU"/>
        </w:rPr>
      </w:pPr>
      <w:r w:rsidRPr="00DB3B7E">
        <w:t>Figures may not sum to totals due to rounding.</w:t>
      </w:r>
    </w:p>
    <w:p w:rsidR="000B5C96" w:rsidRPr="00E263B5" w:rsidRDefault="000B5C96" w:rsidP="003F606A">
      <w:pPr>
        <w:pStyle w:val="Caption"/>
        <w:rPr>
          <w:vertAlign w:val="superscript"/>
        </w:rPr>
      </w:pPr>
      <w:r w:rsidRPr="00FC5643">
        <w:t xml:space="preserve">Table </w:t>
      </w:r>
      <w:r>
        <w:t>A2</w:t>
      </w:r>
      <w:r w:rsidRPr="00FC5643">
        <w:t xml:space="preserve">: </w:t>
      </w:r>
      <w:r w:rsidRPr="002400B7">
        <w:t>Paid Parental Leave</w:t>
      </w:r>
      <w:r>
        <w:t>—Underlying cash balance</w:t>
      </w:r>
      <w:r w:rsidRPr="00B46F22">
        <w:rPr>
          <w:vertAlign w:val="superscript"/>
        </w:rPr>
        <w:t>(a)</w:t>
      </w:r>
      <w:r>
        <w:rPr>
          <w:vertAlign w:val="superscript"/>
        </w:rPr>
        <w:t>(b)</w:t>
      </w:r>
    </w:p>
    <w:tbl>
      <w:tblPr>
        <w:tblW w:w="8504" w:type="dxa"/>
        <w:jc w:val="center"/>
        <w:tblLayout w:type="fixed"/>
        <w:tblCellMar>
          <w:left w:w="0" w:type="dxa"/>
          <w:right w:w="0" w:type="dxa"/>
        </w:tblCellMar>
        <w:tblLook w:val="04A0" w:firstRow="1" w:lastRow="0" w:firstColumn="1" w:lastColumn="0" w:noHBand="0" w:noVBand="1"/>
      </w:tblPr>
      <w:tblGrid>
        <w:gridCol w:w="2648"/>
        <w:gridCol w:w="1171"/>
        <w:gridCol w:w="1171"/>
        <w:gridCol w:w="1171"/>
        <w:gridCol w:w="1171"/>
        <w:gridCol w:w="1172"/>
      </w:tblGrid>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rPr>
                <w:color w:val="000000"/>
                <w:sz w:val="20"/>
                <w:szCs w:val="20"/>
              </w:rPr>
            </w:pPr>
            <w:r w:rsidRPr="00242B47">
              <w:rPr>
                <w:color w:val="000000"/>
                <w:sz w:val="20"/>
                <w:szCs w:val="20"/>
              </w:rPr>
              <w:t>($m)</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jc w:val="right"/>
              <w:rPr>
                <w:color w:val="000000"/>
                <w:sz w:val="20"/>
                <w:szCs w:val="20"/>
              </w:rPr>
            </w:pPr>
            <w:r w:rsidRPr="00242B47">
              <w:rPr>
                <w:color w:val="000000"/>
                <w:sz w:val="20"/>
                <w:szCs w:val="20"/>
              </w:rPr>
              <w:t xml:space="preserve"> 2016-17 </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jc w:val="right"/>
              <w:rPr>
                <w:color w:val="000000"/>
                <w:sz w:val="20"/>
                <w:szCs w:val="20"/>
              </w:rPr>
            </w:pPr>
            <w:r w:rsidRPr="00242B47">
              <w:rPr>
                <w:color w:val="000000"/>
                <w:sz w:val="20"/>
                <w:szCs w:val="20"/>
              </w:rPr>
              <w:t xml:space="preserve"> 2017-18 </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jc w:val="right"/>
              <w:rPr>
                <w:color w:val="000000"/>
                <w:sz w:val="20"/>
                <w:szCs w:val="20"/>
              </w:rPr>
            </w:pPr>
            <w:r w:rsidRPr="00242B47">
              <w:rPr>
                <w:color w:val="000000"/>
                <w:sz w:val="20"/>
                <w:szCs w:val="20"/>
              </w:rPr>
              <w:t xml:space="preserve"> 2018-19 </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jc w:val="right"/>
              <w:rPr>
                <w:color w:val="000000"/>
                <w:sz w:val="20"/>
                <w:szCs w:val="20"/>
              </w:rPr>
            </w:pPr>
            <w:r w:rsidRPr="00242B47">
              <w:rPr>
                <w:color w:val="000000"/>
                <w:sz w:val="20"/>
                <w:szCs w:val="20"/>
              </w:rPr>
              <w:t xml:space="preserve"> 2019-20 </w:t>
            </w:r>
          </w:p>
        </w:tc>
        <w:tc>
          <w:tcPr>
            <w:tcW w:w="1172"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242B47" w:rsidRDefault="000B5C96" w:rsidP="003F606A">
            <w:pPr>
              <w:spacing w:before="70" w:after="70" w:line="240" w:lineRule="auto"/>
              <w:ind w:left="57" w:right="57"/>
              <w:jc w:val="right"/>
              <w:rPr>
                <w:b/>
                <w:color w:val="000000"/>
                <w:sz w:val="20"/>
                <w:szCs w:val="20"/>
              </w:rPr>
            </w:pPr>
            <w:r w:rsidRPr="00242B47">
              <w:rPr>
                <w:b/>
                <w:color w:val="000000"/>
                <w:sz w:val="20"/>
                <w:szCs w:val="20"/>
              </w:rPr>
              <w:t xml:space="preserve"> Total to 2019-20</w:t>
            </w:r>
          </w:p>
        </w:tc>
      </w:tr>
      <w:tr w:rsidR="000B5C96" w:rsidRPr="00242B47" w:rsidTr="003F606A">
        <w:trPr>
          <w:trHeight w:val="113"/>
          <w:jc w:val="center"/>
        </w:trPr>
        <w:tc>
          <w:tcPr>
            <w:tcW w:w="8504" w:type="dxa"/>
            <w:gridSpan w:val="6"/>
            <w:tcBorders>
              <w:top w:val="single" w:sz="4" w:space="0" w:color="788184"/>
              <w:left w:val="single" w:sz="4" w:space="0" w:color="788184"/>
              <w:bottom w:val="single" w:sz="4" w:space="0" w:color="788184"/>
              <w:right w:val="single" w:sz="4" w:space="0" w:color="788184"/>
            </w:tcBorders>
            <w:shd w:val="clear" w:color="auto" w:fill="E9ECF3"/>
            <w:noWrap/>
            <w:vAlign w:val="bottom"/>
            <w:hideMark/>
          </w:tcPr>
          <w:p w:rsidR="000B5C96" w:rsidRPr="00242B47" w:rsidRDefault="000B5C96" w:rsidP="003F606A">
            <w:pPr>
              <w:spacing w:before="70" w:after="70" w:line="240" w:lineRule="auto"/>
              <w:ind w:left="57" w:right="57"/>
              <w:rPr>
                <w:b/>
                <w:color w:val="000000"/>
                <w:sz w:val="20"/>
                <w:szCs w:val="20"/>
              </w:rPr>
            </w:pPr>
            <w:r w:rsidRPr="00242B47">
              <w:rPr>
                <w:color w:val="000000"/>
                <w:sz w:val="20"/>
                <w:szCs w:val="20"/>
              </w:rPr>
              <w:t>Receipts</w:t>
            </w:r>
          </w:p>
        </w:tc>
      </w:tr>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242B47" w:rsidRDefault="000B5C96" w:rsidP="003F606A">
            <w:pPr>
              <w:spacing w:before="70" w:after="70" w:line="240" w:lineRule="auto"/>
              <w:ind w:left="57" w:right="57"/>
              <w:rPr>
                <w:i/>
                <w:iCs/>
                <w:color w:val="000000"/>
                <w:sz w:val="20"/>
                <w:szCs w:val="20"/>
              </w:rPr>
            </w:pPr>
            <w:r w:rsidRPr="00242B47">
              <w:rPr>
                <w:i/>
                <w:iCs/>
                <w:color w:val="000000"/>
                <w:sz w:val="20"/>
                <w:szCs w:val="20"/>
              </w:rPr>
              <w:t>Administered</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 750.0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 1,095.0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 1,115.0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 1,150.0 </w:t>
            </w:r>
          </w:p>
        </w:tc>
        <w:tc>
          <w:tcPr>
            <w:tcW w:w="1172" w:type="dxa"/>
            <w:tcBorders>
              <w:top w:val="single" w:sz="4" w:space="0" w:color="788184"/>
              <w:left w:val="single" w:sz="4" w:space="0" w:color="788184"/>
              <w:bottom w:val="single" w:sz="4" w:space="0" w:color="788184"/>
              <w:right w:val="single" w:sz="4" w:space="0" w:color="788184"/>
            </w:tcBorders>
            <w:shd w:val="clear" w:color="000000" w:fill="FFFFFF"/>
            <w:noWrap/>
            <w:vAlign w:val="bottom"/>
            <w:hideMark/>
          </w:tcPr>
          <w:p w:rsidR="000B5C96" w:rsidRPr="000E3ED9" w:rsidRDefault="000B5C96" w:rsidP="003F606A">
            <w:pPr>
              <w:spacing w:before="70" w:after="70" w:line="240" w:lineRule="auto"/>
              <w:ind w:left="57" w:right="57"/>
              <w:jc w:val="right"/>
              <w:rPr>
                <w:b/>
                <w:i/>
                <w:iCs/>
                <w:color w:val="000000"/>
                <w:sz w:val="20"/>
                <w:szCs w:val="20"/>
              </w:rPr>
            </w:pPr>
            <w:r w:rsidRPr="000E3ED9">
              <w:rPr>
                <w:i/>
                <w:iCs/>
                <w:color w:val="000000"/>
                <w:sz w:val="20"/>
                <w:szCs w:val="20"/>
              </w:rPr>
              <w:t xml:space="preserve"> </w:t>
            </w:r>
            <w:r w:rsidRPr="000E3ED9">
              <w:rPr>
                <w:b/>
                <w:i/>
                <w:iCs/>
                <w:color w:val="000000"/>
                <w:sz w:val="20"/>
                <w:szCs w:val="20"/>
              </w:rPr>
              <w:t xml:space="preserve">4,115.0 </w:t>
            </w:r>
          </w:p>
        </w:tc>
      </w:tr>
      <w:tr w:rsidR="000B5C96" w:rsidRPr="00242B47" w:rsidTr="003F606A">
        <w:trPr>
          <w:trHeight w:val="113"/>
          <w:jc w:val="center"/>
        </w:trPr>
        <w:tc>
          <w:tcPr>
            <w:tcW w:w="8504" w:type="dxa"/>
            <w:gridSpan w:val="6"/>
            <w:tcBorders>
              <w:top w:val="single" w:sz="4" w:space="0" w:color="788184"/>
              <w:left w:val="single" w:sz="4" w:space="0" w:color="788184"/>
              <w:bottom w:val="single" w:sz="4" w:space="0" w:color="788184"/>
              <w:right w:val="single" w:sz="4" w:space="0" w:color="788184"/>
            </w:tcBorders>
            <w:shd w:val="clear" w:color="auto" w:fill="E9ECF3"/>
            <w:noWrap/>
            <w:vAlign w:val="bottom"/>
            <w:hideMark/>
          </w:tcPr>
          <w:p w:rsidR="000B5C96" w:rsidRPr="00242B47" w:rsidRDefault="000B5C96" w:rsidP="003F606A">
            <w:pPr>
              <w:spacing w:before="70" w:after="70" w:line="240" w:lineRule="auto"/>
              <w:ind w:left="57" w:right="57"/>
              <w:rPr>
                <w:b/>
                <w:color w:val="000000"/>
                <w:sz w:val="20"/>
                <w:szCs w:val="20"/>
              </w:rPr>
            </w:pPr>
            <w:r w:rsidRPr="00242B47">
              <w:rPr>
                <w:color w:val="000000"/>
                <w:sz w:val="20"/>
                <w:szCs w:val="20"/>
              </w:rPr>
              <w:t>Outlays</w:t>
            </w:r>
          </w:p>
        </w:tc>
      </w:tr>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242B47" w:rsidRDefault="000B5C96" w:rsidP="003F606A">
            <w:pPr>
              <w:spacing w:before="70" w:after="70" w:line="240" w:lineRule="auto"/>
              <w:ind w:left="57" w:right="57"/>
              <w:rPr>
                <w:i/>
                <w:iCs/>
                <w:color w:val="000000"/>
                <w:sz w:val="20"/>
                <w:szCs w:val="20"/>
              </w:rPr>
            </w:pPr>
            <w:r w:rsidRPr="00242B47">
              <w:rPr>
                <w:i/>
                <w:iCs/>
                <w:color w:val="000000"/>
                <w:sz w:val="20"/>
                <w:szCs w:val="20"/>
              </w:rPr>
              <w:t>Administered</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-2,240.0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-3,810.0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-4,080.0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-4,165.0 </w:t>
            </w:r>
          </w:p>
        </w:tc>
        <w:tc>
          <w:tcPr>
            <w:tcW w:w="1172" w:type="dxa"/>
            <w:tcBorders>
              <w:top w:val="single" w:sz="4" w:space="0" w:color="788184"/>
              <w:left w:val="single" w:sz="4" w:space="0" w:color="788184"/>
              <w:bottom w:val="single" w:sz="4" w:space="0" w:color="788184"/>
              <w:right w:val="single" w:sz="4" w:space="0" w:color="788184"/>
            </w:tcBorders>
            <w:shd w:val="clear" w:color="000000" w:fill="FFFFFF"/>
            <w:noWrap/>
            <w:vAlign w:val="bottom"/>
            <w:hideMark/>
          </w:tcPr>
          <w:p w:rsidR="000B5C96" w:rsidRPr="000E3ED9" w:rsidRDefault="000B5C96" w:rsidP="003F606A">
            <w:pPr>
              <w:spacing w:before="70" w:after="70" w:line="240" w:lineRule="auto"/>
              <w:ind w:left="57" w:right="57"/>
              <w:jc w:val="right"/>
              <w:rPr>
                <w:b/>
                <w:i/>
                <w:iCs/>
                <w:color w:val="000000"/>
                <w:sz w:val="20"/>
                <w:szCs w:val="20"/>
              </w:rPr>
            </w:pPr>
            <w:r w:rsidRPr="000E3ED9">
              <w:rPr>
                <w:b/>
                <w:i/>
                <w:iCs/>
                <w:color w:val="000000"/>
                <w:sz w:val="20"/>
                <w:szCs w:val="20"/>
              </w:rPr>
              <w:t xml:space="preserve">-14,290.0 </w:t>
            </w:r>
          </w:p>
        </w:tc>
      </w:tr>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242B47" w:rsidRDefault="000B5C96" w:rsidP="003F606A">
            <w:pPr>
              <w:spacing w:before="70" w:after="70" w:line="240" w:lineRule="auto"/>
              <w:ind w:left="57" w:right="57"/>
              <w:rPr>
                <w:i/>
                <w:iCs/>
                <w:color w:val="000000"/>
                <w:sz w:val="20"/>
                <w:szCs w:val="20"/>
              </w:rPr>
            </w:pPr>
            <w:r w:rsidRPr="00242B47">
              <w:rPr>
                <w:i/>
                <w:iCs/>
                <w:color w:val="000000"/>
                <w:sz w:val="20"/>
                <w:szCs w:val="20"/>
              </w:rPr>
              <w:t>Departmental</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-5.0 </w:t>
            </w:r>
          </w:p>
        </w:tc>
        <w:tc>
          <w:tcPr>
            <w:tcW w:w="1171"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E3ED9" w:rsidRDefault="000B5C96" w:rsidP="003F606A">
            <w:pPr>
              <w:spacing w:before="70" w:after="70" w:line="240" w:lineRule="auto"/>
              <w:ind w:left="57" w:right="57"/>
              <w:jc w:val="right"/>
              <w:rPr>
                <w:i/>
                <w:iCs/>
                <w:color w:val="000000"/>
                <w:sz w:val="20"/>
                <w:szCs w:val="20"/>
              </w:rPr>
            </w:pPr>
            <w:r w:rsidRPr="000E3ED9">
              <w:rPr>
                <w:i/>
                <w:iCs/>
                <w:color w:val="000000"/>
                <w:sz w:val="20"/>
                <w:szCs w:val="20"/>
              </w:rPr>
              <w:t xml:space="preserve">-5.0 </w:t>
            </w:r>
          </w:p>
        </w:tc>
        <w:tc>
          <w:tcPr>
            <w:tcW w:w="1172" w:type="dxa"/>
            <w:tcBorders>
              <w:top w:val="single" w:sz="4" w:space="0" w:color="788184"/>
              <w:left w:val="single" w:sz="4" w:space="0" w:color="788184"/>
              <w:bottom w:val="single" w:sz="4" w:space="0" w:color="788184"/>
              <w:right w:val="single" w:sz="4" w:space="0" w:color="788184"/>
            </w:tcBorders>
            <w:shd w:val="clear" w:color="000000" w:fill="FFFFFF"/>
            <w:noWrap/>
            <w:vAlign w:val="bottom"/>
            <w:hideMark/>
          </w:tcPr>
          <w:p w:rsidR="000B5C96" w:rsidRPr="000E3ED9" w:rsidRDefault="000B5C96" w:rsidP="003F606A">
            <w:pPr>
              <w:spacing w:before="70" w:after="70" w:line="240" w:lineRule="auto"/>
              <w:ind w:left="57" w:right="57"/>
              <w:jc w:val="right"/>
              <w:rPr>
                <w:b/>
                <w:i/>
                <w:iCs/>
                <w:color w:val="000000"/>
                <w:sz w:val="20"/>
                <w:szCs w:val="20"/>
              </w:rPr>
            </w:pPr>
            <w:r w:rsidRPr="000E3ED9">
              <w:rPr>
                <w:b/>
                <w:i/>
                <w:iCs/>
                <w:color w:val="000000"/>
                <w:sz w:val="20"/>
                <w:szCs w:val="20"/>
              </w:rPr>
              <w:t xml:space="preserve">-25.0 </w:t>
            </w:r>
          </w:p>
        </w:tc>
      </w:tr>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242B47" w:rsidRDefault="000B5C96" w:rsidP="003F606A">
            <w:pPr>
              <w:spacing w:before="70" w:after="70" w:line="240" w:lineRule="auto"/>
              <w:ind w:left="57" w:right="57"/>
              <w:rPr>
                <w:b/>
                <w:iCs/>
                <w:color w:val="000000"/>
                <w:sz w:val="20"/>
                <w:szCs w:val="20"/>
              </w:rPr>
            </w:pPr>
            <w:r w:rsidRPr="00242B47">
              <w:rPr>
                <w:b/>
                <w:iCs/>
                <w:color w:val="000000"/>
                <w:sz w:val="20"/>
                <w:szCs w:val="20"/>
              </w:rPr>
              <w:t xml:space="preserve">Outlays  - </w:t>
            </w:r>
            <w:r>
              <w:rPr>
                <w:b/>
                <w:iCs/>
                <w:color w:val="000000"/>
                <w:sz w:val="20"/>
                <w:szCs w:val="20"/>
              </w:rPr>
              <w:t>t</w:t>
            </w:r>
            <w:r w:rsidRPr="00242B47">
              <w:rPr>
                <w:b/>
                <w:iCs/>
                <w:color w:val="000000"/>
                <w:sz w:val="20"/>
                <w:szCs w:val="20"/>
              </w:rPr>
              <w:t>otal</w:t>
            </w:r>
          </w:p>
        </w:tc>
        <w:tc>
          <w:tcPr>
            <w:tcW w:w="1171"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0E3ED9" w:rsidRDefault="000B5C96" w:rsidP="003F606A">
            <w:pPr>
              <w:spacing w:before="70" w:after="70" w:line="240" w:lineRule="auto"/>
              <w:ind w:left="57" w:right="57"/>
              <w:jc w:val="right"/>
              <w:rPr>
                <w:b/>
                <w:iCs/>
                <w:color w:val="000000"/>
                <w:sz w:val="20"/>
                <w:szCs w:val="20"/>
              </w:rPr>
            </w:pPr>
            <w:r w:rsidRPr="000E3ED9">
              <w:rPr>
                <w:b/>
                <w:iCs/>
                <w:color w:val="000000"/>
                <w:sz w:val="20"/>
                <w:szCs w:val="20"/>
              </w:rPr>
              <w:t xml:space="preserve">-2,245.0 </w:t>
            </w:r>
          </w:p>
        </w:tc>
        <w:tc>
          <w:tcPr>
            <w:tcW w:w="1171"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0E3ED9" w:rsidRDefault="000B5C96" w:rsidP="003F606A">
            <w:pPr>
              <w:spacing w:before="70" w:after="70" w:line="240" w:lineRule="auto"/>
              <w:ind w:left="57" w:right="57"/>
              <w:jc w:val="right"/>
              <w:rPr>
                <w:b/>
                <w:iCs/>
                <w:color w:val="000000"/>
                <w:sz w:val="20"/>
                <w:szCs w:val="20"/>
              </w:rPr>
            </w:pPr>
            <w:r w:rsidRPr="000E3ED9">
              <w:rPr>
                <w:b/>
                <w:iCs/>
                <w:color w:val="000000"/>
                <w:sz w:val="20"/>
                <w:szCs w:val="20"/>
              </w:rPr>
              <w:t xml:space="preserve">-3,815.0 </w:t>
            </w:r>
          </w:p>
        </w:tc>
        <w:tc>
          <w:tcPr>
            <w:tcW w:w="1171"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0E3ED9" w:rsidRDefault="000B5C96" w:rsidP="003F606A">
            <w:pPr>
              <w:spacing w:before="70" w:after="70" w:line="240" w:lineRule="auto"/>
              <w:ind w:left="57" w:right="57"/>
              <w:jc w:val="right"/>
              <w:rPr>
                <w:b/>
                <w:iCs/>
                <w:color w:val="000000"/>
                <w:sz w:val="20"/>
                <w:szCs w:val="20"/>
              </w:rPr>
            </w:pPr>
            <w:r w:rsidRPr="000E3ED9">
              <w:rPr>
                <w:b/>
                <w:iCs/>
                <w:color w:val="000000"/>
                <w:sz w:val="20"/>
                <w:szCs w:val="20"/>
              </w:rPr>
              <w:t xml:space="preserve">-4,085.0 </w:t>
            </w:r>
          </w:p>
        </w:tc>
        <w:tc>
          <w:tcPr>
            <w:tcW w:w="1171"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0E3ED9" w:rsidRDefault="000B5C96" w:rsidP="003F606A">
            <w:pPr>
              <w:spacing w:before="70" w:after="70" w:line="240" w:lineRule="auto"/>
              <w:ind w:left="57" w:right="57"/>
              <w:jc w:val="right"/>
              <w:rPr>
                <w:b/>
                <w:iCs/>
                <w:color w:val="000000"/>
                <w:sz w:val="20"/>
                <w:szCs w:val="20"/>
              </w:rPr>
            </w:pPr>
            <w:r w:rsidRPr="000E3ED9">
              <w:rPr>
                <w:b/>
                <w:iCs/>
                <w:color w:val="000000"/>
                <w:sz w:val="20"/>
                <w:szCs w:val="20"/>
              </w:rPr>
              <w:t xml:space="preserve">-4,170.0 </w:t>
            </w:r>
          </w:p>
        </w:tc>
        <w:tc>
          <w:tcPr>
            <w:tcW w:w="1172" w:type="dxa"/>
            <w:tcBorders>
              <w:top w:val="single" w:sz="4" w:space="0" w:color="788184"/>
              <w:left w:val="single" w:sz="4" w:space="0" w:color="788184"/>
              <w:bottom w:val="single" w:sz="4" w:space="0" w:color="788184"/>
              <w:right w:val="single" w:sz="4" w:space="0" w:color="788184"/>
            </w:tcBorders>
            <w:shd w:val="clear" w:color="000000" w:fill="FFFFFF"/>
            <w:noWrap/>
            <w:vAlign w:val="bottom"/>
          </w:tcPr>
          <w:p w:rsidR="000B5C96" w:rsidRPr="000E3ED9" w:rsidRDefault="000B5C96" w:rsidP="003F606A">
            <w:pPr>
              <w:spacing w:before="70" w:after="70" w:line="240" w:lineRule="auto"/>
              <w:ind w:left="57" w:right="57"/>
              <w:jc w:val="right"/>
              <w:rPr>
                <w:b/>
                <w:iCs/>
                <w:color w:val="000000"/>
                <w:sz w:val="20"/>
                <w:szCs w:val="20"/>
              </w:rPr>
            </w:pPr>
            <w:r w:rsidRPr="000E3ED9">
              <w:rPr>
                <w:b/>
                <w:iCs/>
                <w:color w:val="000000"/>
                <w:sz w:val="20"/>
                <w:szCs w:val="20"/>
              </w:rPr>
              <w:t xml:space="preserve">-14,315.0 </w:t>
            </w:r>
          </w:p>
        </w:tc>
      </w:tr>
      <w:tr w:rsidR="000B5C96" w:rsidRPr="00242B47" w:rsidTr="003F606A">
        <w:trPr>
          <w:trHeight w:val="113"/>
          <w:jc w:val="center"/>
        </w:trPr>
        <w:tc>
          <w:tcPr>
            <w:tcW w:w="2648" w:type="dxa"/>
            <w:tcBorders>
              <w:top w:val="single" w:sz="4" w:space="0" w:color="788184"/>
              <w:left w:val="single" w:sz="4" w:space="0" w:color="788184"/>
              <w:bottom w:val="single" w:sz="4" w:space="0" w:color="788184"/>
              <w:right w:val="single" w:sz="4" w:space="0" w:color="788184"/>
            </w:tcBorders>
            <w:shd w:val="clear" w:color="000000" w:fill="D7DDE9"/>
            <w:noWrap/>
            <w:vAlign w:val="bottom"/>
            <w:hideMark/>
          </w:tcPr>
          <w:p w:rsidR="000B5C96" w:rsidRPr="00242B47" w:rsidRDefault="000B5C96" w:rsidP="003F606A">
            <w:pPr>
              <w:spacing w:before="70" w:after="70" w:line="240" w:lineRule="auto"/>
              <w:ind w:left="57" w:right="57"/>
              <w:rPr>
                <w:b/>
                <w:bCs/>
                <w:color w:val="000000"/>
                <w:sz w:val="20"/>
                <w:szCs w:val="20"/>
              </w:rPr>
            </w:pPr>
            <w:r w:rsidRPr="00242B47">
              <w:rPr>
                <w:b/>
                <w:bCs/>
                <w:color w:val="000000"/>
                <w:sz w:val="20"/>
                <w:szCs w:val="20"/>
              </w:rPr>
              <w:t>Total</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noWrap/>
            <w:vAlign w:val="bottom"/>
            <w:hideMark/>
          </w:tcPr>
          <w:p w:rsidR="000B5C96" w:rsidRPr="000E3ED9" w:rsidRDefault="000B5C96" w:rsidP="003F606A">
            <w:pPr>
              <w:spacing w:before="70" w:after="70" w:line="240" w:lineRule="auto"/>
              <w:ind w:left="57" w:right="57"/>
              <w:jc w:val="right"/>
              <w:rPr>
                <w:b/>
                <w:iCs/>
                <w:color w:val="000000"/>
                <w:sz w:val="20"/>
                <w:szCs w:val="20"/>
              </w:rPr>
            </w:pPr>
            <w:r w:rsidRPr="000E3ED9">
              <w:rPr>
                <w:b/>
                <w:iCs/>
                <w:color w:val="000000"/>
                <w:sz w:val="20"/>
                <w:szCs w:val="20"/>
              </w:rPr>
              <w:t xml:space="preserve">-1,495.0 </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noWrap/>
            <w:vAlign w:val="bottom"/>
            <w:hideMark/>
          </w:tcPr>
          <w:p w:rsidR="000B5C96" w:rsidRPr="000E3ED9" w:rsidRDefault="000B5C96" w:rsidP="003F606A">
            <w:pPr>
              <w:spacing w:before="70" w:after="70" w:line="240" w:lineRule="auto"/>
              <w:ind w:left="57" w:right="57"/>
              <w:jc w:val="right"/>
              <w:rPr>
                <w:b/>
                <w:iCs/>
                <w:color w:val="000000"/>
                <w:sz w:val="20"/>
                <w:szCs w:val="20"/>
              </w:rPr>
            </w:pPr>
            <w:r w:rsidRPr="000E3ED9">
              <w:rPr>
                <w:b/>
                <w:iCs/>
                <w:color w:val="000000"/>
                <w:sz w:val="20"/>
                <w:szCs w:val="20"/>
              </w:rPr>
              <w:t xml:space="preserve">-2,720.0 </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noWrap/>
            <w:vAlign w:val="bottom"/>
            <w:hideMark/>
          </w:tcPr>
          <w:p w:rsidR="000B5C96" w:rsidRPr="000E3ED9" w:rsidRDefault="000B5C96" w:rsidP="003F606A">
            <w:pPr>
              <w:spacing w:before="70" w:after="70" w:line="240" w:lineRule="auto"/>
              <w:ind w:left="57" w:right="57"/>
              <w:jc w:val="right"/>
              <w:rPr>
                <w:b/>
                <w:iCs/>
                <w:color w:val="000000"/>
                <w:sz w:val="20"/>
                <w:szCs w:val="20"/>
              </w:rPr>
            </w:pPr>
            <w:r w:rsidRPr="000E3ED9">
              <w:rPr>
                <w:b/>
                <w:iCs/>
                <w:color w:val="000000"/>
                <w:sz w:val="20"/>
                <w:szCs w:val="20"/>
              </w:rPr>
              <w:t xml:space="preserve">-2,970.0 </w:t>
            </w:r>
          </w:p>
        </w:tc>
        <w:tc>
          <w:tcPr>
            <w:tcW w:w="1171" w:type="dxa"/>
            <w:tcBorders>
              <w:top w:val="single" w:sz="4" w:space="0" w:color="788184"/>
              <w:left w:val="single" w:sz="4" w:space="0" w:color="788184"/>
              <w:bottom w:val="single" w:sz="4" w:space="0" w:color="788184"/>
              <w:right w:val="single" w:sz="4" w:space="0" w:color="788184"/>
            </w:tcBorders>
            <w:shd w:val="clear" w:color="000000" w:fill="D7DDE9"/>
            <w:noWrap/>
            <w:vAlign w:val="bottom"/>
            <w:hideMark/>
          </w:tcPr>
          <w:p w:rsidR="000B5C96" w:rsidRPr="000E3ED9" w:rsidRDefault="000B5C96" w:rsidP="003F606A">
            <w:pPr>
              <w:spacing w:before="70" w:after="70" w:line="240" w:lineRule="auto"/>
              <w:ind w:left="57" w:right="57"/>
              <w:jc w:val="right"/>
              <w:rPr>
                <w:b/>
                <w:iCs/>
                <w:color w:val="000000"/>
                <w:sz w:val="20"/>
                <w:szCs w:val="20"/>
              </w:rPr>
            </w:pPr>
            <w:r w:rsidRPr="000E3ED9">
              <w:rPr>
                <w:b/>
                <w:iCs/>
                <w:color w:val="000000"/>
                <w:sz w:val="20"/>
                <w:szCs w:val="20"/>
              </w:rPr>
              <w:t xml:space="preserve">-3,020.0 </w:t>
            </w:r>
          </w:p>
        </w:tc>
        <w:tc>
          <w:tcPr>
            <w:tcW w:w="1172" w:type="dxa"/>
            <w:tcBorders>
              <w:top w:val="single" w:sz="4" w:space="0" w:color="788184"/>
              <w:left w:val="single" w:sz="4" w:space="0" w:color="788184"/>
              <w:bottom w:val="single" w:sz="4" w:space="0" w:color="788184"/>
              <w:right w:val="single" w:sz="4" w:space="0" w:color="788184"/>
            </w:tcBorders>
            <w:shd w:val="clear" w:color="000000" w:fill="D7DDE9"/>
            <w:noWrap/>
            <w:vAlign w:val="bottom"/>
            <w:hideMark/>
          </w:tcPr>
          <w:p w:rsidR="000B5C96" w:rsidRPr="000E3ED9" w:rsidRDefault="000B5C96" w:rsidP="003F606A">
            <w:pPr>
              <w:spacing w:before="70" w:after="70" w:line="240" w:lineRule="auto"/>
              <w:ind w:left="57" w:right="57"/>
              <w:jc w:val="right"/>
              <w:rPr>
                <w:b/>
                <w:iCs/>
                <w:color w:val="000000"/>
                <w:sz w:val="20"/>
                <w:szCs w:val="20"/>
              </w:rPr>
            </w:pPr>
            <w:r w:rsidRPr="000E3ED9">
              <w:rPr>
                <w:b/>
                <w:iCs/>
                <w:color w:val="000000"/>
                <w:sz w:val="20"/>
                <w:szCs w:val="20"/>
              </w:rPr>
              <w:t xml:space="preserve">-10,200.0 </w:t>
            </w:r>
          </w:p>
        </w:tc>
      </w:tr>
    </w:tbl>
    <w:p w:rsidR="000B5C96" w:rsidRPr="00DB3B7E" w:rsidRDefault="000B5C96" w:rsidP="000B6BA7">
      <w:pPr>
        <w:pStyle w:val="Footnotes"/>
        <w:numPr>
          <w:ilvl w:val="0"/>
          <w:numId w:val="354"/>
        </w:numPr>
        <w:ind w:left="284" w:hanging="284"/>
      </w:pPr>
      <w:r w:rsidRPr="00DB3B7E">
        <w:t xml:space="preserve">A positive number for the underlying cash balance indicates an increase in receipts or a decrease in outlays or net capital investment in cash terms. </w:t>
      </w:r>
      <w:r>
        <w:t xml:space="preserve"> </w:t>
      </w:r>
      <w:r w:rsidRPr="00DB3B7E">
        <w:t xml:space="preserve">A negative number for the </w:t>
      </w:r>
      <w:r>
        <w:t>underlying cash</w:t>
      </w:r>
      <w:r w:rsidRPr="00DB3B7E">
        <w:t xml:space="preserve"> balance indicates a decrease in receipts or an increase in outlays or net capital investment in cash terms.</w:t>
      </w:r>
    </w:p>
    <w:p w:rsidR="000B5C96" w:rsidRPr="00073FB3" w:rsidRDefault="000B5C96" w:rsidP="000B5C96">
      <w:pPr>
        <w:pStyle w:val="Footnotes"/>
        <w:numPr>
          <w:ilvl w:val="0"/>
          <w:numId w:val="7"/>
        </w:numPr>
        <w:spacing w:before="114" w:after="114"/>
        <w:ind w:left="284" w:hanging="284"/>
        <w:rPr>
          <w:rFonts w:ascii="Calibri" w:eastAsia="Calibri" w:hAnsi="Calibri" w:cs="Times New Roman"/>
        </w:rPr>
      </w:pPr>
      <w:r w:rsidRPr="00DB3B7E">
        <w:t>Figures may not sum to totals due to rounding.</w:t>
      </w:r>
    </w:p>
    <w:p w:rsidR="000B5C96" w:rsidRPr="009C4D5F" w:rsidRDefault="000B5C96" w:rsidP="003F606A">
      <w:pPr>
        <w:pStyle w:val="BodyText"/>
        <w:sectPr w:rsidR="000B5C96" w:rsidRPr="009C4D5F"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43" w:name="_Toc458002001"/>
      <w:bookmarkStart w:id="244" w:name="_Toc458069486"/>
      <w:r>
        <w:t>GRN097: Luxury Lifestyles Tax Rate</w:t>
      </w:r>
      <w:bookmarkEnd w:id="243"/>
      <w:bookmarkEnd w:id="244"/>
    </w:p>
    <w:p w:rsidR="000B5C96" w:rsidRPr="008A0AE1" w:rsidRDefault="000B5C96" w:rsidP="003F606A">
      <w:pPr>
        <w:pStyle w:val="BodyText"/>
      </w:pPr>
      <w:r>
        <w:rPr>
          <w:noProof/>
          <w:lang w:eastAsia="en-AU"/>
        </w:rPr>
        <w:drawing>
          <wp:inline distT="0" distB="0" distL="0" distR="0" wp14:anchorId="2C44812B" wp14:editId="5B1C0EFC">
            <wp:extent cx="2696845" cy="572135"/>
            <wp:effectExtent l="0" t="0" r="8255" b="0"/>
            <wp:docPr id="64" name="Picture 6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Default="000B5C96" w:rsidP="000B5C96">
      <w:pPr>
        <w:pStyle w:val="Heading6"/>
        <w:numPr>
          <w:ilvl w:val="0"/>
          <w:numId w:val="5"/>
        </w:numPr>
        <w:tabs>
          <w:tab w:val="right" w:pos="1418"/>
          <w:tab w:val="right" w:pos="1701"/>
          <w:tab w:val="right" w:pos="1985"/>
        </w:tabs>
      </w:pPr>
      <w:r w:rsidRPr="00002D5D">
        <w:t>Policy costing—</w:t>
      </w:r>
      <w:r>
        <w:t>2016 post-election report</w:t>
      </w:r>
    </w:p>
    <w:tbl>
      <w:tblPr>
        <w:tblStyle w:val="Style1"/>
        <w:tblW w:w="8340" w:type="dxa"/>
        <w:tblLayout w:type="fixed"/>
        <w:tblLook w:val="04A0" w:firstRow="1" w:lastRow="0" w:firstColumn="1" w:lastColumn="0" w:noHBand="0" w:noVBand="1"/>
      </w:tblPr>
      <w:tblGrid>
        <w:gridCol w:w="2943"/>
        <w:gridCol w:w="5397"/>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2943" w:type="dxa"/>
          </w:tcPr>
          <w:p w:rsidR="000B5C96" w:rsidRPr="00EA7F7A" w:rsidRDefault="000B5C96" w:rsidP="003F606A">
            <w:pPr>
              <w:pStyle w:val="PullOutBoxHeading"/>
              <w:rPr>
                <w:b/>
                <w:sz w:val="22"/>
              </w:rPr>
            </w:pPr>
            <w:r w:rsidRPr="00EA7F7A">
              <w:rPr>
                <w:b/>
                <w:sz w:val="22"/>
              </w:rPr>
              <w:t>Name of proposal:</w:t>
            </w:r>
          </w:p>
        </w:tc>
        <w:tc>
          <w:tcPr>
            <w:tcW w:w="5397" w:type="dxa"/>
          </w:tcPr>
          <w:p w:rsidR="000B5C96" w:rsidRPr="00EA7F7A" w:rsidRDefault="000B5C96" w:rsidP="003F606A">
            <w:pPr>
              <w:pStyle w:val="PullOutBoxHeading"/>
              <w:rPr>
                <w:b/>
                <w:sz w:val="22"/>
              </w:rPr>
            </w:pPr>
            <w:r w:rsidRPr="00EA7F7A">
              <w:rPr>
                <w:b/>
                <w:sz w:val="22"/>
              </w:rPr>
              <w:t>Luxury Lifestyles Tax Rate</w:t>
            </w:r>
          </w:p>
        </w:tc>
      </w:tr>
      <w:tr w:rsidR="000B5C96" w:rsidTr="003F606A">
        <w:tc>
          <w:tcPr>
            <w:tcW w:w="2943" w:type="dxa"/>
          </w:tcPr>
          <w:p w:rsidR="000B5C96" w:rsidRDefault="000B5C96" w:rsidP="003F606A">
            <w:pPr>
              <w:pStyle w:val="PullOutBoxBodyText"/>
            </w:pPr>
            <w:r>
              <w:t>Summary of proposal:</w:t>
            </w:r>
          </w:p>
        </w:tc>
        <w:tc>
          <w:tcPr>
            <w:tcW w:w="5397" w:type="dxa"/>
          </w:tcPr>
          <w:p w:rsidR="000B5C96" w:rsidRDefault="000B5C96" w:rsidP="003F606A">
            <w:pPr>
              <w:pStyle w:val="PullOutBoxBodyText"/>
            </w:pPr>
            <w:r>
              <w:t>The proposal would apply a higher rate of 50 per cent tax on the sale of luxury vehicles over $100,000 (indexed annually with the Consumer Price Index (CPI)).</w:t>
            </w:r>
          </w:p>
          <w:p w:rsidR="000B5C96" w:rsidRDefault="000B5C96" w:rsidP="003F606A">
            <w:pPr>
              <w:pStyle w:val="PullOutBoxBodyText"/>
            </w:pPr>
            <w:r>
              <w:t>The existing rates and thresholds for the luxury car tax (LCT) would continue.</w:t>
            </w:r>
          </w:p>
          <w:p w:rsidR="000B5C96" w:rsidRDefault="000B5C96" w:rsidP="003F606A">
            <w:pPr>
              <w:pStyle w:val="PullOutBoxBodyText"/>
            </w:pPr>
            <w:r>
              <w:t>This proposal would not apply to 100 per cent electric vehicles.</w:t>
            </w:r>
          </w:p>
          <w:p w:rsidR="000B5C96" w:rsidRDefault="000B5C96" w:rsidP="003F606A">
            <w:pPr>
              <w:pStyle w:val="PullOutBoxBodyText"/>
            </w:pPr>
            <w:r>
              <w:t>This proposal would have effect from 1 July 2016.</w:t>
            </w:r>
          </w:p>
        </w:tc>
      </w:tr>
      <w:tr w:rsidR="000B5C96" w:rsidTr="003F606A">
        <w:tc>
          <w:tcPr>
            <w:tcW w:w="2943" w:type="dxa"/>
          </w:tcPr>
          <w:p w:rsidR="000B5C96" w:rsidRDefault="000B5C96" w:rsidP="003F606A">
            <w:pPr>
              <w:pStyle w:val="PullOutBoxBodyText"/>
            </w:pPr>
            <w:r>
              <w:t>Party:</w:t>
            </w:r>
          </w:p>
        </w:tc>
        <w:tc>
          <w:tcPr>
            <w:tcW w:w="5397" w:type="dxa"/>
          </w:tcPr>
          <w:p w:rsidR="000B5C96" w:rsidRDefault="000B5C96" w:rsidP="003F606A">
            <w:pPr>
              <w:pStyle w:val="PullOutBoxBodyText"/>
            </w:pPr>
            <w:r>
              <w:t>Australian Greens</w:t>
            </w:r>
          </w:p>
        </w:tc>
      </w:tr>
      <w:tr w:rsidR="000B5C96" w:rsidTr="003F606A">
        <w:tc>
          <w:tcPr>
            <w:tcW w:w="2943" w:type="dxa"/>
          </w:tcPr>
          <w:p w:rsidR="000B5C96" w:rsidRPr="00220BE5" w:rsidRDefault="000B5C96" w:rsidP="003F606A">
            <w:pPr>
              <w:pStyle w:val="PullOutBoxBodyText"/>
            </w:pPr>
            <w:r w:rsidRPr="00220BE5">
              <w:t>Expiry date for the costing:</w:t>
            </w:r>
          </w:p>
        </w:tc>
        <w:tc>
          <w:tcPr>
            <w:tcW w:w="5397" w:type="dxa"/>
          </w:tcPr>
          <w:p w:rsidR="000B5C96" w:rsidRPr="00220BE5" w:rsidRDefault="000B5C96" w:rsidP="003F606A">
            <w:pPr>
              <w:pStyle w:val="PullOutBoxBodyText"/>
            </w:pPr>
            <w:r>
              <w:t>Release of the next economic and fiscal update</w:t>
            </w:r>
          </w:p>
        </w:tc>
      </w:tr>
    </w:tbl>
    <w:p w:rsidR="000B5C96" w:rsidRPr="00002D5D" w:rsidRDefault="000B5C96" w:rsidP="003F606A">
      <w:pPr>
        <w:pStyle w:val="CostingsH7"/>
      </w:pPr>
      <w:r w:rsidRPr="00002D5D">
        <w:t>Costing overview</w:t>
      </w:r>
    </w:p>
    <w:p w:rsidR="000B5C96" w:rsidRDefault="000B5C96" w:rsidP="003F606A">
      <w:pPr>
        <w:pStyle w:val="BodyText"/>
      </w:pPr>
      <w:r w:rsidRPr="00F242A5">
        <w:t>This proposal would be expected to increase the fiscal balance by $</w:t>
      </w:r>
      <w:r>
        <w:t>280</w:t>
      </w:r>
      <w:r w:rsidRPr="00F242A5">
        <w:t xml:space="preserve"> million and increase the underlying cash balance by $</w:t>
      </w:r>
      <w:r>
        <w:t>260</w:t>
      </w:r>
      <w:r w:rsidRPr="00F242A5">
        <w:t xml:space="preserve"> million over the 201</w:t>
      </w:r>
      <w:r>
        <w:t>6</w:t>
      </w:r>
      <w:r w:rsidRPr="00F242A5">
        <w:t>-1</w:t>
      </w:r>
      <w:r>
        <w:t>7</w:t>
      </w:r>
      <w:r w:rsidRPr="00F242A5">
        <w:t xml:space="preserve"> Budget forward estimates period.  </w:t>
      </w:r>
      <w:r>
        <w:t>This impact entirely reflects an increase in revenue.</w:t>
      </w:r>
    </w:p>
    <w:p w:rsidR="000B5C96" w:rsidRDefault="000B5C96" w:rsidP="003F606A">
      <w:pPr>
        <w:pStyle w:val="BodyText"/>
      </w:pPr>
      <w:r>
        <w:t>The impact on the underlying cash balance of this proposal differs from the impact on the fiscal balance because of a difference in timing between when taxpayers become liable for the LCT and when it is paid.</w:t>
      </w:r>
    </w:p>
    <w:p w:rsidR="000B5C96" w:rsidRDefault="000B5C96" w:rsidP="003F606A">
      <w:pPr>
        <w:pStyle w:val="BodyText"/>
      </w:pPr>
      <w:r w:rsidRPr="00F242A5">
        <w:t>This proposal would</w:t>
      </w:r>
      <w:r>
        <w:t xml:space="preserve"> be expected to</w:t>
      </w:r>
      <w:r w:rsidRPr="00F242A5">
        <w:t xml:space="preserve"> have an ongoing impact that extends beyond the</w:t>
      </w:r>
      <w:r>
        <w:t xml:space="preserve"> 2016</w:t>
      </w:r>
      <w:r>
        <w:noBreakHyphen/>
        <w:t>17 Budget</w:t>
      </w:r>
      <w:r w:rsidRPr="00F242A5">
        <w:t xml:space="preserve"> forward estimates period.  </w:t>
      </w:r>
    </w:p>
    <w:p w:rsidR="000B5C96" w:rsidRDefault="000B5C96" w:rsidP="003F606A">
      <w:pPr>
        <w:pStyle w:val="BodyText"/>
      </w:pPr>
      <w:r>
        <w:t>Departmental expenses are not expected to be significant and have not been included in this costing.</w:t>
      </w:r>
    </w:p>
    <w:p w:rsidR="000B5C96" w:rsidRDefault="000B5C96" w:rsidP="003F606A">
      <w:pPr>
        <w:pStyle w:val="BodyText"/>
      </w:pPr>
      <w:r>
        <w:t>This costing is</w:t>
      </w:r>
      <w:r w:rsidRPr="00E12725">
        <w:t xml:space="preserve"> considered to be o</w:t>
      </w:r>
      <w:r w:rsidRPr="00E12725">
        <w:rPr>
          <w:bCs/>
        </w:rPr>
        <w:t xml:space="preserve">f medium to high reliability as </w:t>
      </w:r>
      <w:r w:rsidRPr="00E12725">
        <w:t>the estimates are based on historical data on individual car sales.</w:t>
      </w:r>
      <w:r>
        <w:t xml:space="preserve"> </w:t>
      </w:r>
      <w:r w:rsidRPr="00E12725">
        <w:rPr>
          <w:bCs/>
        </w:rPr>
        <w:t xml:space="preserve"> The estimates are sensitive to </w:t>
      </w:r>
      <w:r w:rsidRPr="00E12725">
        <w:t>assumptions on behavioural responses.</w:t>
      </w:r>
    </w:p>
    <w:p w:rsidR="000B5C96" w:rsidRPr="004C638E" w:rsidRDefault="000B5C96" w:rsidP="003F606A">
      <w:pPr>
        <w:pStyle w:val="Caption"/>
      </w:pPr>
      <w:r w:rsidRPr="004C638E">
        <w:t>Table 1: Financial implications (outturn prices)</w:t>
      </w:r>
      <w:r w:rsidRPr="004C638E">
        <w:rPr>
          <w:vertAlign w:val="superscript"/>
        </w:rPr>
        <w:t>(a)(b)</w:t>
      </w:r>
    </w:p>
    <w:tbl>
      <w:tblPr>
        <w:tblStyle w:val="TableGrid109"/>
        <w:tblW w:w="4993" w:type="pct"/>
        <w:tblLook w:val="04A0" w:firstRow="1" w:lastRow="0" w:firstColumn="1" w:lastColumn="0" w:noHBand="0" w:noVBand="1"/>
      </w:tblPr>
      <w:tblGrid>
        <w:gridCol w:w="2644"/>
        <w:gridCol w:w="1133"/>
        <w:gridCol w:w="1134"/>
        <w:gridCol w:w="1134"/>
        <w:gridCol w:w="1134"/>
        <w:gridCol w:w="1132"/>
      </w:tblGrid>
      <w:tr w:rsidR="000B5C96" w:rsidRPr="004C638E"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4C638E" w:rsidRDefault="000B5C96" w:rsidP="003F606A">
            <w:pPr>
              <w:keepNext/>
              <w:keepLines/>
              <w:spacing w:line="240" w:lineRule="auto"/>
              <w:ind w:left="57" w:right="57"/>
              <w:rPr>
                <w:szCs w:val="20"/>
              </w:rPr>
            </w:pPr>
            <w:r w:rsidRPr="004C638E">
              <w:rPr>
                <w:szCs w:val="20"/>
              </w:rPr>
              <w:t>Impact on ($m)</w:t>
            </w:r>
          </w:p>
        </w:tc>
        <w:tc>
          <w:tcPr>
            <w:tcW w:w="682" w:type="pct"/>
          </w:tcPr>
          <w:p w:rsidR="000B5C96" w:rsidRPr="004C638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C638E">
              <w:rPr>
                <w:szCs w:val="20"/>
              </w:rPr>
              <w:t>2016–17</w:t>
            </w:r>
          </w:p>
        </w:tc>
        <w:tc>
          <w:tcPr>
            <w:tcW w:w="682" w:type="pct"/>
          </w:tcPr>
          <w:p w:rsidR="000B5C96" w:rsidRPr="004C638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C638E">
              <w:rPr>
                <w:szCs w:val="20"/>
              </w:rPr>
              <w:t>2017–18</w:t>
            </w:r>
          </w:p>
        </w:tc>
        <w:tc>
          <w:tcPr>
            <w:tcW w:w="682" w:type="pct"/>
          </w:tcPr>
          <w:p w:rsidR="000B5C96" w:rsidRPr="004C638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C638E">
              <w:rPr>
                <w:szCs w:val="20"/>
              </w:rPr>
              <w:t>2018–19</w:t>
            </w:r>
          </w:p>
        </w:tc>
        <w:tc>
          <w:tcPr>
            <w:tcW w:w="682" w:type="pct"/>
          </w:tcPr>
          <w:p w:rsidR="000B5C96" w:rsidRPr="004C638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C638E">
              <w:rPr>
                <w:szCs w:val="20"/>
              </w:rPr>
              <w:t>2019–20</w:t>
            </w:r>
          </w:p>
        </w:tc>
        <w:tc>
          <w:tcPr>
            <w:tcW w:w="681" w:type="pct"/>
          </w:tcPr>
          <w:p w:rsidR="000B5C96" w:rsidRPr="004C638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C638E">
              <w:rPr>
                <w:b/>
                <w:szCs w:val="20"/>
              </w:rPr>
              <w:t>Total</w:t>
            </w:r>
          </w:p>
        </w:tc>
      </w:tr>
      <w:tr w:rsidR="000B5C96" w:rsidRPr="004C638E"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4C638E" w:rsidRDefault="000B5C96" w:rsidP="003F606A">
            <w:pPr>
              <w:keepNext/>
              <w:keepLines/>
              <w:ind w:left="57" w:right="57"/>
              <w:rPr>
                <w:szCs w:val="20"/>
              </w:rPr>
            </w:pPr>
            <w:r w:rsidRPr="004C638E">
              <w:rPr>
                <w:szCs w:val="20"/>
              </w:rPr>
              <w:t>Fiscal balance</w:t>
            </w:r>
          </w:p>
        </w:tc>
        <w:tc>
          <w:tcPr>
            <w:tcW w:w="682" w:type="pct"/>
          </w:tcPr>
          <w:p w:rsidR="000B5C96" w:rsidRPr="004C638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C638E">
              <w:rPr>
                <w:rFonts w:ascii="Calibri" w:hAnsi="Calibri"/>
              </w:rPr>
              <w:t>70.0</w:t>
            </w:r>
          </w:p>
        </w:tc>
        <w:tc>
          <w:tcPr>
            <w:tcW w:w="682" w:type="pct"/>
          </w:tcPr>
          <w:p w:rsidR="000B5C96" w:rsidRPr="004C638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C638E">
              <w:rPr>
                <w:rFonts w:ascii="Calibri" w:hAnsi="Calibri"/>
              </w:rPr>
              <w:t>70.0</w:t>
            </w:r>
          </w:p>
        </w:tc>
        <w:tc>
          <w:tcPr>
            <w:tcW w:w="682" w:type="pct"/>
          </w:tcPr>
          <w:p w:rsidR="000B5C96" w:rsidRPr="004C638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C638E">
              <w:rPr>
                <w:rFonts w:ascii="Calibri" w:hAnsi="Calibri"/>
              </w:rPr>
              <w:t>70.0</w:t>
            </w:r>
          </w:p>
        </w:tc>
        <w:tc>
          <w:tcPr>
            <w:tcW w:w="682" w:type="pct"/>
          </w:tcPr>
          <w:p w:rsidR="000B5C96" w:rsidRPr="004C638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C638E">
              <w:rPr>
                <w:rFonts w:ascii="Calibri" w:hAnsi="Calibri"/>
              </w:rPr>
              <w:t>70.0</w:t>
            </w:r>
          </w:p>
        </w:tc>
        <w:tc>
          <w:tcPr>
            <w:tcW w:w="681" w:type="pct"/>
          </w:tcPr>
          <w:p w:rsidR="000B5C96" w:rsidRPr="004C638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C638E">
              <w:rPr>
                <w:rFonts w:ascii="Calibri" w:hAnsi="Calibri"/>
                <w:b/>
              </w:rPr>
              <w:t>280.0</w:t>
            </w:r>
          </w:p>
        </w:tc>
      </w:tr>
      <w:tr w:rsidR="000B5C96" w:rsidRPr="004C638E"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4C638E" w:rsidRDefault="000B5C96" w:rsidP="003F606A">
            <w:pPr>
              <w:keepNext/>
              <w:keepLines/>
              <w:ind w:left="57" w:right="57"/>
              <w:rPr>
                <w:szCs w:val="20"/>
              </w:rPr>
            </w:pPr>
            <w:r w:rsidRPr="004C638E">
              <w:rPr>
                <w:szCs w:val="20"/>
              </w:rPr>
              <w:t>Underlying cash balance</w:t>
            </w:r>
          </w:p>
        </w:tc>
        <w:tc>
          <w:tcPr>
            <w:tcW w:w="682" w:type="pct"/>
          </w:tcPr>
          <w:p w:rsidR="000B5C96" w:rsidRPr="004C638E"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C638E">
              <w:rPr>
                <w:rFonts w:ascii="Calibri" w:hAnsi="Calibri"/>
              </w:rPr>
              <w:t>50.0</w:t>
            </w:r>
          </w:p>
        </w:tc>
        <w:tc>
          <w:tcPr>
            <w:tcW w:w="682" w:type="pct"/>
          </w:tcPr>
          <w:p w:rsidR="000B5C96" w:rsidRPr="004C638E"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C638E">
              <w:rPr>
                <w:rFonts w:ascii="Calibri" w:hAnsi="Calibri"/>
              </w:rPr>
              <w:t>70.0</w:t>
            </w:r>
          </w:p>
        </w:tc>
        <w:tc>
          <w:tcPr>
            <w:tcW w:w="682" w:type="pct"/>
          </w:tcPr>
          <w:p w:rsidR="000B5C96" w:rsidRPr="004C638E"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C638E">
              <w:rPr>
                <w:rFonts w:ascii="Calibri" w:hAnsi="Calibri"/>
              </w:rPr>
              <w:t>70.0</w:t>
            </w:r>
          </w:p>
        </w:tc>
        <w:tc>
          <w:tcPr>
            <w:tcW w:w="682" w:type="pct"/>
          </w:tcPr>
          <w:p w:rsidR="000B5C96" w:rsidRPr="004C638E"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C638E">
              <w:rPr>
                <w:rFonts w:ascii="Calibri" w:hAnsi="Calibri"/>
              </w:rPr>
              <w:t>70.0</w:t>
            </w:r>
          </w:p>
        </w:tc>
        <w:tc>
          <w:tcPr>
            <w:tcW w:w="681" w:type="pct"/>
          </w:tcPr>
          <w:p w:rsidR="000B5C96" w:rsidRPr="004C638E"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C638E">
              <w:rPr>
                <w:rFonts w:ascii="Calibri" w:hAnsi="Calibri"/>
                <w:b/>
              </w:rPr>
              <w:t>260.0</w:t>
            </w:r>
          </w:p>
        </w:tc>
      </w:tr>
    </w:tbl>
    <w:p w:rsidR="000B5C96" w:rsidRPr="004C638E" w:rsidRDefault="000B5C96" w:rsidP="000B6BA7">
      <w:pPr>
        <w:pStyle w:val="Footnotes"/>
        <w:numPr>
          <w:ilvl w:val="0"/>
          <w:numId w:val="355"/>
        </w:numPr>
        <w:ind w:left="284" w:hanging="284"/>
      </w:pPr>
      <w:r w:rsidRPr="004C638E">
        <w:t>A positive numb</w:t>
      </w:r>
      <w:r w:rsidR="000B6BA7">
        <w:tab/>
      </w:r>
      <w:r w:rsidR="000B6BA7">
        <w:tab/>
      </w:r>
      <w:r w:rsidRPr="004C638E">
        <w:t>er indicates an increase in the relevant budget balance, a negative number a decrease</w:t>
      </w:r>
      <w:r w:rsidRPr="004C638E" w:rsidDel="0066665A">
        <w:t>.</w:t>
      </w:r>
    </w:p>
    <w:p w:rsidR="000B5C96" w:rsidRPr="004C638E" w:rsidRDefault="000B5C96" w:rsidP="000B5C96">
      <w:pPr>
        <w:pStyle w:val="Footnotes"/>
        <w:numPr>
          <w:ilvl w:val="0"/>
          <w:numId w:val="7"/>
        </w:numPr>
        <w:ind w:left="284" w:hanging="284"/>
      </w:pPr>
      <w:r w:rsidRPr="004C638E">
        <w:t>Figures may not sum to totals due to rounding.</w:t>
      </w:r>
    </w:p>
    <w:p w:rsidR="000B5C96" w:rsidRPr="004C638E" w:rsidRDefault="000B5C96" w:rsidP="003F606A">
      <w:pPr>
        <w:pStyle w:val="CostingsH7"/>
      </w:pPr>
      <w:r w:rsidRPr="004C638E">
        <w:t>Key assumptions</w:t>
      </w:r>
    </w:p>
    <w:p w:rsidR="000B5C96" w:rsidRPr="004C638E" w:rsidRDefault="000B5C96" w:rsidP="000B5C96">
      <w:pPr>
        <w:pStyle w:val="ListBullet"/>
        <w:numPr>
          <w:ilvl w:val="0"/>
          <w:numId w:val="123"/>
        </w:numPr>
        <w:ind w:left="454" w:hanging="454"/>
      </w:pPr>
      <w:r w:rsidRPr="004C638E">
        <w:t xml:space="preserve">Dealers are expected to adjust the price of cars offered for sale where they are close to the $100,000 threshold. </w:t>
      </w:r>
    </w:p>
    <w:p w:rsidR="000B5C96" w:rsidRPr="004C638E" w:rsidRDefault="000B5C96" w:rsidP="000B5C96">
      <w:pPr>
        <w:pStyle w:val="ListBullet"/>
        <w:numPr>
          <w:ilvl w:val="0"/>
          <w:numId w:val="123"/>
        </w:numPr>
        <w:ind w:left="454" w:hanging="454"/>
      </w:pPr>
      <w:r w:rsidRPr="004C638E">
        <w:t>There is expected to be a fall in purchases of cars as a result of applying the LCT.</w:t>
      </w:r>
    </w:p>
    <w:p w:rsidR="000B5C96" w:rsidRPr="004C638E" w:rsidRDefault="000B5C96" w:rsidP="000B5C96">
      <w:pPr>
        <w:pStyle w:val="ListBullet"/>
        <w:numPr>
          <w:ilvl w:val="0"/>
          <w:numId w:val="123"/>
        </w:numPr>
        <w:ind w:left="454" w:hanging="454"/>
      </w:pPr>
      <w:r w:rsidRPr="004C638E">
        <w:t>There is no change in salary packaging arrangements in response to the proposal.</w:t>
      </w:r>
    </w:p>
    <w:p w:rsidR="000B5C96" w:rsidRPr="004C638E" w:rsidRDefault="000B5C96" w:rsidP="000B5C96">
      <w:pPr>
        <w:pStyle w:val="ListBullet"/>
        <w:numPr>
          <w:ilvl w:val="0"/>
          <w:numId w:val="123"/>
        </w:numPr>
        <w:ind w:left="454" w:hanging="454"/>
      </w:pPr>
      <w:r w:rsidRPr="004C638E">
        <w:t>Sales of electric cars above the $100,000 threshold will grow in line with the average global sales growth rate for the past two years over the 2016-17 Budget forward estimates period.</w:t>
      </w:r>
    </w:p>
    <w:p w:rsidR="000B5C96" w:rsidRPr="004C638E" w:rsidRDefault="000B5C96" w:rsidP="003F606A">
      <w:pPr>
        <w:pStyle w:val="CostingsH7"/>
      </w:pPr>
      <w:r w:rsidRPr="004C638E">
        <w:t>Methodology</w:t>
      </w:r>
    </w:p>
    <w:p w:rsidR="000B5C96" w:rsidRPr="004C638E" w:rsidRDefault="000B5C96" w:rsidP="003F606A">
      <w:pPr>
        <w:pStyle w:val="BodyText"/>
      </w:pPr>
      <w:r w:rsidRPr="004C638E">
        <w:t xml:space="preserve">The amount of LCT that would be collected under the proposal was estimated based on data on the number and price of luxury cars sold in Australia, adjusted to take account of expected behavioural responses. </w:t>
      </w:r>
    </w:p>
    <w:p w:rsidR="000B5C96" w:rsidRPr="004C638E" w:rsidRDefault="000B5C96" w:rsidP="003F606A">
      <w:pPr>
        <w:pStyle w:val="BodyText"/>
      </w:pPr>
      <w:r w:rsidRPr="004C638E">
        <w:t>The estimated amount of LCT under the proposal was compared to the forecast amount of LCT (under current policy settings, adjusted to exclude electric cars) in order to estimate the financial impact of this proposal.</w:t>
      </w:r>
    </w:p>
    <w:p w:rsidR="000B5C96" w:rsidRPr="004C638E" w:rsidRDefault="000B5C96" w:rsidP="003F606A">
      <w:pPr>
        <w:pStyle w:val="BodyText"/>
      </w:pPr>
      <w:r w:rsidRPr="004C638E">
        <w:t>Estimates have been rounded to the nearest $10 million.</w:t>
      </w:r>
    </w:p>
    <w:p w:rsidR="000B5C96" w:rsidRPr="004C638E" w:rsidRDefault="000B5C96" w:rsidP="003F606A">
      <w:pPr>
        <w:pStyle w:val="CostingsH7"/>
      </w:pPr>
      <w:r w:rsidRPr="004C638E">
        <w:t>Data sources</w:t>
      </w:r>
    </w:p>
    <w:p w:rsidR="000B5C96" w:rsidRPr="004C638E" w:rsidRDefault="000B5C96" w:rsidP="003F606A">
      <w:pPr>
        <w:pStyle w:val="BodyText"/>
        <w:rPr>
          <w:lang w:eastAsia="en-AU"/>
        </w:rPr>
      </w:pPr>
      <w:r w:rsidRPr="004C638E">
        <w:rPr>
          <w:lang w:eastAsia="en-AU"/>
        </w:rPr>
        <w:t>Historical data on luxury car sales numbers and prices was obtained from the Australian Taxation Office.</w:t>
      </w:r>
    </w:p>
    <w:p w:rsidR="000B5C96" w:rsidRPr="008C5B57" w:rsidRDefault="000B5C96" w:rsidP="003F606A">
      <w:pPr>
        <w:pStyle w:val="BodyText"/>
      </w:pPr>
      <w:r w:rsidRPr="004C638E">
        <w:rPr>
          <w:lang w:eastAsia="en-AU"/>
        </w:rPr>
        <w:t>2016 Pre-election Economic and Fiscal Outlook parameters.</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45" w:name="_Toc458002002"/>
      <w:bookmarkStart w:id="246" w:name="_Toc458069487"/>
      <w:r>
        <w:t>GRN098: Not the time for company tax cuts</w:t>
      </w:r>
      <w:bookmarkEnd w:id="245"/>
      <w:bookmarkEnd w:id="246"/>
    </w:p>
    <w:p w:rsidR="000B5C96" w:rsidRDefault="000B5C96" w:rsidP="003F606A">
      <w:pPr>
        <w:pStyle w:val="BodyText"/>
      </w:pPr>
      <w:r>
        <w:rPr>
          <w:noProof/>
          <w:lang w:eastAsia="en-AU"/>
        </w:rPr>
        <w:drawing>
          <wp:inline distT="0" distB="0" distL="0" distR="0" wp14:anchorId="5E77B482" wp14:editId="3154CCB3">
            <wp:extent cx="2696845" cy="572135"/>
            <wp:effectExtent l="0" t="0" r="8255" b="0"/>
            <wp:docPr id="65" name="Picture 6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A80242" w:rsidRDefault="000B5C96" w:rsidP="000B5C96">
      <w:pPr>
        <w:pStyle w:val="Heading6"/>
        <w:numPr>
          <w:ilvl w:val="0"/>
          <w:numId w:val="5"/>
        </w:numPr>
        <w:tabs>
          <w:tab w:val="right" w:pos="1418"/>
          <w:tab w:val="right" w:pos="1701"/>
          <w:tab w:val="right" w:pos="1985"/>
        </w:tabs>
      </w:pPr>
      <w:r w:rsidRPr="00A80242">
        <w:t>Policy costing—2016 post-election report</w:t>
      </w:r>
    </w:p>
    <w:tbl>
      <w:tblPr>
        <w:tblStyle w:val="Style116"/>
        <w:tblW w:w="8340" w:type="dxa"/>
        <w:tblLook w:val="04A0" w:firstRow="1" w:lastRow="0" w:firstColumn="1" w:lastColumn="0" w:noHBand="0" w:noVBand="1"/>
      </w:tblPr>
      <w:tblGrid>
        <w:gridCol w:w="3005"/>
        <w:gridCol w:w="5335"/>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3005" w:type="dxa"/>
          </w:tcPr>
          <w:p w:rsidR="000B5C96" w:rsidRPr="00EA7F7A" w:rsidRDefault="000B5C96" w:rsidP="003F606A">
            <w:pPr>
              <w:pStyle w:val="PullOutBoxHeading"/>
              <w:rPr>
                <w:b/>
                <w:sz w:val="22"/>
              </w:rPr>
            </w:pPr>
            <w:r w:rsidRPr="00EA7F7A">
              <w:rPr>
                <w:b/>
                <w:sz w:val="22"/>
              </w:rPr>
              <w:t>Name of proposal:</w:t>
            </w:r>
          </w:p>
        </w:tc>
        <w:tc>
          <w:tcPr>
            <w:tcW w:w="5335" w:type="dxa"/>
          </w:tcPr>
          <w:p w:rsidR="000B5C96" w:rsidRPr="00EA7F7A" w:rsidRDefault="000B5C96" w:rsidP="003F606A">
            <w:pPr>
              <w:pStyle w:val="PullOutBoxHeading"/>
              <w:rPr>
                <w:b/>
                <w:sz w:val="22"/>
              </w:rPr>
            </w:pPr>
            <w:r w:rsidRPr="00EA7F7A">
              <w:rPr>
                <w:b/>
                <w:sz w:val="22"/>
              </w:rPr>
              <w:t>Not the time for company tax cuts</w:t>
            </w:r>
          </w:p>
        </w:tc>
      </w:tr>
      <w:tr w:rsidR="000B5C96" w:rsidRPr="00A80242" w:rsidTr="003F606A">
        <w:tc>
          <w:tcPr>
            <w:tcW w:w="3005" w:type="dxa"/>
          </w:tcPr>
          <w:p w:rsidR="000B5C96" w:rsidRPr="00A80242" w:rsidRDefault="000B5C96" w:rsidP="003F606A">
            <w:pPr>
              <w:pStyle w:val="PullOutBoxBodyText"/>
            </w:pPr>
            <w:r w:rsidRPr="00A80242">
              <w:t>Summary of proposal:</w:t>
            </w:r>
          </w:p>
        </w:tc>
        <w:tc>
          <w:tcPr>
            <w:tcW w:w="5335" w:type="dxa"/>
          </w:tcPr>
          <w:p w:rsidR="000B5C96" w:rsidRPr="00A80242" w:rsidRDefault="000B5C96" w:rsidP="003F606A">
            <w:pPr>
              <w:pStyle w:val="PullOutBoxBodyText"/>
            </w:pPr>
            <w:r w:rsidRPr="00A80242">
              <w:t>The proposal would fully reverse the following measures from the 2016-17 Budget:</w:t>
            </w:r>
          </w:p>
          <w:p w:rsidR="000B5C96" w:rsidRPr="00E830D1" w:rsidRDefault="000B5C96" w:rsidP="000B5C96">
            <w:pPr>
              <w:pStyle w:val="PullOutBoxBullet"/>
              <w:numPr>
                <w:ilvl w:val="0"/>
                <w:numId w:val="2"/>
              </w:numPr>
              <w:ind w:left="397"/>
              <w:rPr>
                <w:i/>
                <w:lang w:eastAsia="en-AU"/>
              </w:rPr>
            </w:pPr>
            <w:r w:rsidRPr="00E830D1">
              <w:rPr>
                <w:i/>
                <w:lang w:eastAsia="en-AU"/>
              </w:rPr>
              <w:t>Ten Year Enterprise Tax Plan — increase the small business entity turnover threshold</w:t>
            </w:r>
          </w:p>
          <w:p w:rsidR="000B5C96" w:rsidRPr="00A80242" w:rsidRDefault="000B5C96" w:rsidP="000B5C96">
            <w:pPr>
              <w:pStyle w:val="PullOutBoxBullet"/>
              <w:numPr>
                <w:ilvl w:val="0"/>
                <w:numId w:val="2"/>
              </w:numPr>
              <w:ind w:left="397"/>
              <w:rPr>
                <w:lang w:eastAsia="en-AU"/>
              </w:rPr>
            </w:pPr>
            <w:r w:rsidRPr="00E830D1">
              <w:rPr>
                <w:i/>
                <w:lang w:eastAsia="en-AU"/>
              </w:rPr>
              <w:t>Ten Year Enterprise Tax Plan — reducing the company tax</w:t>
            </w:r>
            <w:r w:rsidRPr="00E830D1">
              <w:rPr>
                <w:i/>
                <w:iCs/>
                <w:lang w:eastAsia="en-AU"/>
              </w:rPr>
              <w:t xml:space="preserve"> rate to 25 per cent.</w:t>
            </w:r>
          </w:p>
        </w:tc>
      </w:tr>
      <w:tr w:rsidR="000B5C96" w:rsidRPr="00A80242" w:rsidTr="003F606A">
        <w:tc>
          <w:tcPr>
            <w:tcW w:w="3005" w:type="dxa"/>
          </w:tcPr>
          <w:p w:rsidR="000B5C96" w:rsidRPr="00A80242" w:rsidRDefault="000B5C96" w:rsidP="003F606A">
            <w:pPr>
              <w:pStyle w:val="PullOutBoxBodyText"/>
            </w:pPr>
            <w:r w:rsidRPr="00A80242">
              <w:t>Party:</w:t>
            </w:r>
          </w:p>
        </w:tc>
        <w:tc>
          <w:tcPr>
            <w:tcW w:w="5335" w:type="dxa"/>
          </w:tcPr>
          <w:p w:rsidR="000B5C96" w:rsidRPr="00A80242" w:rsidRDefault="000B5C96" w:rsidP="003F606A">
            <w:pPr>
              <w:pStyle w:val="PullOutBoxBodyText"/>
            </w:pPr>
            <w:r w:rsidRPr="00A80242">
              <w:t>Australian Greens</w:t>
            </w:r>
          </w:p>
        </w:tc>
      </w:tr>
      <w:tr w:rsidR="000B5C96" w:rsidRPr="00A80242" w:rsidTr="003F606A">
        <w:tc>
          <w:tcPr>
            <w:tcW w:w="3005" w:type="dxa"/>
          </w:tcPr>
          <w:p w:rsidR="000B5C96" w:rsidRPr="00A80242" w:rsidRDefault="000B5C96" w:rsidP="003F606A">
            <w:pPr>
              <w:pStyle w:val="PullOutBoxBodyText"/>
            </w:pPr>
            <w:r w:rsidRPr="00A80242">
              <w:t>Expiry date for the costing:</w:t>
            </w:r>
          </w:p>
        </w:tc>
        <w:tc>
          <w:tcPr>
            <w:tcW w:w="5335" w:type="dxa"/>
          </w:tcPr>
          <w:p w:rsidR="000B5C96" w:rsidRPr="00A80242" w:rsidRDefault="000B5C96" w:rsidP="003F606A">
            <w:pPr>
              <w:pStyle w:val="PullOutBoxBodyText"/>
            </w:pPr>
            <w:r w:rsidRPr="00A80242">
              <w:t>Release of the next economic and fiscal update</w:t>
            </w:r>
          </w:p>
        </w:tc>
      </w:tr>
    </w:tbl>
    <w:p w:rsidR="000B5C96" w:rsidRPr="00A80242" w:rsidRDefault="000B5C96" w:rsidP="003F606A">
      <w:pPr>
        <w:pStyle w:val="CostingsH7"/>
      </w:pPr>
      <w:r w:rsidRPr="00A80242">
        <w:t>Costing overview</w:t>
      </w:r>
    </w:p>
    <w:p w:rsidR="000B5C96" w:rsidRPr="00A80242" w:rsidRDefault="000B5C96" w:rsidP="003F606A">
      <w:pPr>
        <w:pStyle w:val="BodyText"/>
      </w:pPr>
      <w:r w:rsidRPr="00A80242">
        <w:t>This proposal would be expected to increase the fiscal balance by $4,830 million and increase the underlying cash balance by $4,845 million over the 2016-17 Budget forward estimates period.  The fiscal balance impact of this proposal reflects an increase in revenue of $4,845</w:t>
      </w:r>
      <w:r>
        <w:t> </w:t>
      </w:r>
      <w:r w:rsidRPr="00A80242">
        <w:t>million and an increase in expenses of $15 million.</w:t>
      </w:r>
    </w:p>
    <w:p w:rsidR="000B5C96" w:rsidRPr="00A80242" w:rsidRDefault="000B5C96" w:rsidP="003F606A">
      <w:pPr>
        <w:pStyle w:val="BodyText"/>
      </w:pPr>
      <w:r w:rsidRPr="00A80242">
        <w:t>This proposal would have an ongoing impact that extends beyond the forward estimates period.  The financial impact would be expected to increase sharply towards the end of the period to 2026-27 as, under the measures proposed to be reversed, the company tax rate reduces further to 25 per cent and the company tax rate cut is extended to apply to all companies.</w:t>
      </w:r>
    </w:p>
    <w:p w:rsidR="000B5C96" w:rsidRPr="00A80242" w:rsidRDefault="000B5C96" w:rsidP="003F606A">
      <w:pPr>
        <w:pStyle w:val="BodyText"/>
      </w:pPr>
      <w:r w:rsidRPr="00A80242">
        <w:t xml:space="preserve">Detailed financial implications over the period to 2026-27 are provided at </w:t>
      </w:r>
      <w:r w:rsidRPr="00A80242">
        <w:rPr>
          <w:u w:val="single"/>
        </w:rPr>
        <w:t>Attachment A</w:t>
      </w:r>
      <w:r w:rsidRPr="00A80242">
        <w:t xml:space="preserve">.  </w:t>
      </w:r>
    </w:p>
    <w:p w:rsidR="000B5C96" w:rsidRPr="00A80242" w:rsidRDefault="000B5C96" w:rsidP="003F606A">
      <w:pPr>
        <w:pStyle w:val="BodyText"/>
      </w:pPr>
      <w:r w:rsidRPr="00A80242">
        <w:t>This proposal would not be expected to have any departmental costs as no departmental funding was provided in the original 2016-17 Budget measures.</w:t>
      </w:r>
    </w:p>
    <w:p w:rsidR="000B5C96" w:rsidRPr="00A80242" w:rsidRDefault="000B5C96" w:rsidP="003F606A">
      <w:pPr>
        <w:pStyle w:val="BodyText"/>
        <w:rPr>
          <w:rFonts w:eastAsia="Times New Roman"/>
          <w:lang w:eastAsia="en-AU"/>
        </w:rPr>
      </w:pPr>
      <w:r w:rsidRPr="00A80242">
        <w:rPr>
          <w:rFonts w:eastAsia="Times New Roman"/>
          <w:lang w:eastAsia="en-AU"/>
        </w:rPr>
        <w:t xml:space="preserve">The underlying cash balance impact differs from the fiscal balance impact because increasing the small business entity threshold would allow more businesses to remit quarterly Goods and Services Tax (GST) instalments, increasing the amount of GST receipts that would be received in the year after they are recognised as tax revenue.   </w:t>
      </w:r>
    </w:p>
    <w:p w:rsidR="000B5C96" w:rsidRPr="00A80242" w:rsidRDefault="000B5C96" w:rsidP="003F606A">
      <w:pPr>
        <w:pStyle w:val="BodyText"/>
      </w:pPr>
      <w:r w:rsidRPr="00A80242">
        <w:t>The costing is considered to be of high reliability over the forward estimates period as it reverses the impact of 2016-17 Budget measures.  Over the medium term to 2026-27 the costing is considered to be of low to medium reliability as it relies on several assumptions about the behavioural response of affected companies to the proposals.  The reliability of the costing decreases the further into the future the estimates are projected.</w:t>
      </w:r>
    </w:p>
    <w:p w:rsidR="000B5C96" w:rsidRPr="00A80242" w:rsidRDefault="000B5C96" w:rsidP="003F606A">
      <w:pPr>
        <w:pStyle w:val="BodyText"/>
      </w:pPr>
      <w:r w:rsidRPr="00A80242">
        <w:t>The budget papers note that the cut to company tax is expected to increase Gross Domestic Product (GDP) growth over time.  The costings do not include allowance for any such ‘further economic impacts’ from reversing the tax cut measure.</w:t>
      </w:r>
    </w:p>
    <w:p w:rsidR="000B5C96" w:rsidRPr="00A80242" w:rsidRDefault="000B5C96" w:rsidP="003F606A">
      <w:pPr>
        <w:pStyle w:val="Caption"/>
      </w:pPr>
      <w:r w:rsidRPr="00A80242">
        <w:t>Table 1: Financial implications (outturn prices)</w:t>
      </w:r>
      <w:r w:rsidRPr="00A80242">
        <w:rPr>
          <w:vertAlign w:val="superscript"/>
        </w:rPr>
        <w:t>(a)(b)</w:t>
      </w:r>
    </w:p>
    <w:tbl>
      <w:tblPr>
        <w:tblStyle w:val="TableGrid110"/>
        <w:tblW w:w="4993" w:type="pct"/>
        <w:tblLook w:val="04A0" w:firstRow="1" w:lastRow="0" w:firstColumn="1" w:lastColumn="0" w:noHBand="0" w:noVBand="1"/>
      </w:tblPr>
      <w:tblGrid>
        <w:gridCol w:w="2645"/>
        <w:gridCol w:w="1134"/>
        <w:gridCol w:w="1133"/>
        <w:gridCol w:w="1133"/>
        <w:gridCol w:w="1133"/>
        <w:gridCol w:w="1132"/>
      </w:tblGrid>
      <w:tr w:rsidR="000B5C96" w:rsidRPr="00A80242"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A80242" w:rsidRDefault="000B5C96" w:rsidP="003F606A">
            <w:pPr>
              <w:keepNext/>
              <w:keepLines/>
              <w:spacing w:line="240" w:lineRule="auto"/>
              <w:ind w:left="57" w:right="57"/>
              <w:rPr>
                <w:szCs w:val="20"/>
              </w:rPr>
            </w:pPr>
            <w:r w:rsidRPr="00A80242">
              <w:rPr>
                <w:szCs w:val="20"/>
              </w:rPr>
              <w:t>Impact on ($m)</w:t>
            </w:r>
          </w:p>
        </w:tc>
        <w:tc>
          <w:tcPr>
            <w:tcW w:w="682" w:type="pct"/>
          </w:tcPr>
          <w:p w:rsidR="000B5C96" w:rsidRPr="00A8024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80242">
              <w:rPr>
                <w:szCs w:val="20"/>
              </w:rPr>
              <w:t>2016–17</w:t>
            </w:r>
          </w:p>
        </w:tc>
        <w:tc>
          <w:tcPr>
            <w:tcW w:w="682" w:type="pct"/>
          </w:tcPr>
          <w:p w:rsidR="000B5C96" w:rsidRPr="00A8024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80242">
              <w:rPr>
                <w:szCs w:val="20"/>
              </w:rPr>
              <w:t>2017–18</w:t>
            </w:r>
          </w:p>
        </w:tc>
        <w:tc>
          <w:tcPr>
            <w:tcW w:w="682" w:type="pct"/>
          </w:tcPr>
          <w:p w:rsidR="000B5C96" w:rsidRPr="00A8024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A80242">
              <w:rPr>
                <w:szCs w:val="20"/>
              </w:rPr>
              <w:t>2018–19</w:t>
            </w:r>
          </w:p>
        </w:tc>
        <w:tc>
          <w:tcPr>
            <w:tcW w:w="682" w:type="pct"/>
          </w:tcPr>
          <w:p w:rsidR="000B5C96" w:rsidRPr="00A8024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A80242">
              <w:rPr>
                <w:szCs w:val="20"/>
              </w:rPr>
              <w:t>2019–20</w:t>
            </w:r>
          </w:p>
        </w:tc>
        <w:tc>
          <w:tcPr>
            <w:tcW w:w="681" w:type="pct"/>
          </w:tcPr>
          <w:p w:rsidR="000B5C96" w:rsidRPr="00A8024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A80242">
              <w:rPr>
                <w:b/>
                <w:szCs w:val="20"/>
              </w:rPr>
              <w:t>Total</w:t>
            </w:r>
          </w:p>
        </w:tc>
      </w:tr>
      <w:tr w:rsidR="000B5C96" w:rsidRPr="00A80242"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A80242" w:rsidRDefault="000B5C96" w:rsidP="003F606A">
            <w:pPr>
              <w:keepNext/>
              <w:keepLines/>
              <w:ind w:left="57" w:right="57"/>
              <w:rPr>
                <w:szCs w:val="20"/>
              </w:rPr>
            </w:pPr>
            <w:r w:rsidRPr="00A80242">
              <w:rPr>
                <w:szCs w:val="20"/>
              </w:rPr>
              <w:t>Fiscal balance</w:t>
            </w:r>
          </w:p>
        </w:tc>
        <w:tc>
          <w:tcPr>
            <w:tcW w:w="682" w:type="pct"/>
          </w:tcPr>
          <w:p w:rsidR="000B5C96" w:rsidRPr="00A8024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80242">
              <w:rPr>
                <w:rFonts w:ascii="Calibri" w:hAnsi="Calibri"/>
              </w:rPr>
              <w:t>680.0</w:t>
            </w:r>
          </w:p>
        </w:tc>
        <w:tc>
          <w:tcPr>
            <w:tcW w:w="682" w:type="pct"/>
          </w:tcPr>
          <w:p w:rsidR="000B5C96" w:rsidRPr="00A8024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80242">
              <w:rPr>
                <w:rFonts w:ascii="Calibri" w:hAnsi="Calibri"/>
              </w:rPr>
              <w:t>1,200.0</w:t>
            </w:r>
          </w:p>
        </w:tc>
        <w:tc>
          <w:tcPr>
            <w:tcW w:w="682" w:type="pct"/>
          </w:tcPr>
          <w:p w:rsidR="000B5C96" w:rsidRPr="00A8024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80242">
              <w:rPr>
                <w:rFonts w:ascii="Calibri" w:hAnsi="Calibri"/>
              </w:rPr>
              <w:t>1,350.0</w:t>
            </w:r>
          </w:p>
        </w:tc>
        <w:tc>
          <w:tcPr>
            <w:tcW w:w="682" w:type="pct"/>
          </w:tcPr>
          <w:p w:rsidR="000B5C96" w:rsidRPr="00A8024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80242">
              <w:rPr>
                <w:rFonts w:ascii="Calibri" w:hAnsi="Calibri"/>
              </w:rPr>
              <w:t>1,600.0</w:t>
            </w:r>
          </w:p>
        </w:tc>
        <w:tc>
          <w:tcPr>
            <w:tcW w:w="681" w:type="pct"/>
          </w:tcPr>
          <w:p w:rsidR="000B5C96" w:rsidRPr="00A80242"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A80242">
              <w:rPr>
                <w:rFonts w:ascii="Calibri" w:hAnsi="Calibri"/>
                <w:b/>
              </w:rPr>
              <w:t>4,830.0</w:t>
            </w:r>
          </w:p>
        </w:tc>
      </w:tr>
      <w:tr w:rsidR="000B5C96" w:rsidRPr="00A80242"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A80242" w:rsidRDefault="000B5C96" w:rsidP="003F606A">
            <w:pPr>
              <w:keepNext/>
              <w:keepLines/>
              <w:ind w:left="57" w:right="57"/>
              <w:rPr>
                <w:szCs w:val="20"/>
              </w:rPr>
            </w:pPr>
            <w:r w:rsidRPr="00A80242">
              <w:rPr>
                <w:szCs w:val="20"/>
              </w:rPr>
              <w:t>Underlying cash balance</w:t>
            </w:r>
          </w:p>
        </w:tc>
        <w:tc>
          <w:tcPr>
            <w:tcW w:w="682"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695.0</w:t>
            </w:r>
          </w:p>
        </w:tc>
        <w:tc>
          <w:tcPr>
            <w:tcW w:w="682"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1,200.0</w:t>
            </w:r>
          </w:p>
        </w:tc>
        <w:tc>
          <w:tcPr>
            <w:tcW w:w="682"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1,350.0</w:t>
            </w:r>
          </w:p>
        </w:tc>
        <w:tc>
          <w:tcPr>
            <w:tcW w:w="682"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1,600.0</w:t>
            </w:r>
          </w:p>
        </w:tc>
        <w:tc>
          <w:tcPr>
            <w:tcW w:w="681"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4,845.0</w:t>
            </w:r>
          </w:p>
        </w:tc>
      </w:tr>
    </w:tbl>
    <w:p w:rsidR="000B5C96" w:rsidRDefault="000B5C96" w:rsidP="000B6BA7">
      <w:pPr>
        <w:pStyle w:val="Footnotes"/>
        <w:numPr>
          <w:ilvl w:val="0"/>
          <w:numId w:val="356"/>
        </w:numPr>
        <w:ind w:left="284" w:hanging="284"/>
      </w:pPr>
      <w:r w:rsidRPr="00A80242">
        <w:t>A positive number indicates an increase in the relevant budget balance, a negative number a decrease.</w:t>
      </w:r>
    </w:p>
    <w:p w:rsidR="000B5C96" w:rsidRPr="00A80242" w:rsidRDefault="000B5C96" w:rsidP="000B5C96">
      <w:pPr>
        <w:pStyle w:val="Footnotes"/>
        <w:numPr>
          <w:ilvl w:val="0"/>
          <w:numId w:val="7"/>
        </w:numPr>
        <w:ind w:left="284" w:hanging="284"/>
      </w:pPr>
      <w:r>
        <w:t>Figures may not sum to totals due to rounding.</w:t>
      </w:r>
    </w:p>
    <w:p w:rsidR="000B5C96" w:rsidRPr="00A80242" w:rsidRDefault="000B5C96" w:rsidP="003F606A">
      <w:pPr>
        <w:pStyle w:val="CostingsH7"/>
      </w:pPr>
      <w:r w:rsidRPr="00A80242">
        <w:t>Key assumptions</w:t>
      </w:r>
    </w:p>
    <w:p w:rsidR="000B5C96" w:rsidRPr="00A80242" w:rsidRDefault="000B5C96" w:rsidP="003F606A">
      <w:pPr>
        <w:pStyle w:val="BodyText"/>
        <w:rPr>
          <w:lang w:eastAsia="en-AU"/>
        </w:rPr>
      </w:pPr>
      <w:r w:rsidRPr="00A80242">
        <w:rPr>
          <w:lang w:eastAsia="en-AU"/>
        </w:rPr>
        <w:t>The estimate of the financial impacts of the company tax rate cut includes an estimated claw</w:t>
      </w:r>
      <w:r w:rsidRPr="00A80242">
        <w:rPr>
          <w:lang w:eastAsia="en-AU"/>
        </w:rPr>
        <w:noBreakHyphen/>
        <w:t>back due to dividend imputation.  This estimate assumes that companies continue to pay the same proportion of their after-tax income as dividends.</w:t>
      </w:r>
    </w:p>
    <w:p w:rsidR="000B5C96" w:rsidRPr="00A80242" w:rsidRDefault="000B5C96" w:rsidP="003F606A">
      <w:pPr>
        <w:pStyle w:val="CostingsH7"/>
      </w:pPr>
      <w:r w:rsidRPr="00A80242">
        <w:t>Methodology</w:t>
      </w:r>
    </w:p>
    <w:p w:rsidR="000B5C96" w:rsidRPr="00A80242" w:rsidRDefault="000B5C96" w:rsidP="003F606A">
      <w:pPr>
        <w:pStyle w:val="BodyText"/>
      </w:pPr>
      <w:r w:rsidRPr="00A80242">
        <w:t xml:space="preserve">The impact of this proposal has been estimated by fully reversing the financial impact of the measures from the 2016-17 Budget.  The details of the elements of the measures, and medium term estimates, are Parliamentary Budget Office estimates.  </w:t>
      </w:r>
    </w:p>
    <w:p w:rsidR="000B5C96" w:rsidRPr="00A80242" w:rsidRDefault="000B5C96" w:rsidP="003F606A">
      <w:pPr>
        <w:pStyle w:val="CostingsH7"/>
      </w:pPr>
      <w:r w:rsidRPr="00A80242">
        <w:t>Data sources</w:t>
      </w:r>
    </w:p>
    <w:p w:rsidR="000B5C96" w:rsidRPr="00A80242" w:rsidRDefault="000B5C96" w:rsidP="003F606A">
      <w:pPr>
        <w:pStyle w:val="BodyText"/>
        <w:rPr>
          <w:lang w:eastAsia="en-AU"/>
        </w:rPr>
      </w:pPr>
      <w:r w:rsidRPr="00A80242">
        <w:rPr>
          <w:lang w:eastAsia="en-AU"/>
        </w:rPr>
        <w:t>Budget 2016-17</w:t>
      </w:r>
    </w:p>
    <w:p w:rsidR="000B5C96" w:rsidRPr="00A80242" w:rsidRDefault="000B5C96" w:rsidP="003F606A">
      <w:pPr>
        <w:pStyle w:val="BodyText"/>
        <w:rPr>
          <w:lang w:eastAsia="en-AU"/>
        </w:rPr>
        <w:sectPr w:rsidR="000B5C96" w:rsidRPr="00A80242" w:rsidSect="003F606A">
          <w:headerReference w:type="even" r:id="rId664"/>
          <w:headerReference w:type="default" r:id="rId665"/>
          <w:footerReference w:type="even" r:id="rId666"/>
          <w:footerReference w:type="default" r:id="rId667"/>
          <w:headerReference w:type="first" r:id="rId668"/>
          <w:footerReference w:type="first" r:id="rId669"/>
          <w:pgSz w:w="11906" w:h="16838"/>
          <w:pgMar w:top="1361" w:right="1797" w:bottom="1474" w:left="1797" w:header="283" w:footer="454" w:gutter="0"/>
          <w:cols w:space="708"/>
          <w:docGrid w:linePitch="360"/>
        </w:sectPr>
      </w:pPr>
      <w:r w:rsidRPr="00A80242">
        <w:rPr>
          <w:lang w:eastAsia="en-AU"/>
        </w:rPr>
        <w:t>Australian Taxation Office company tax return data 2005-06 to 2013-14</w:t>
      </w:r>
    </w:p>
    <w:p w:rsidR="000B5C96" w:rsidRPr="00A80242" w:rsidRDefault="000B5C96" w:rsidP="000B5C96">
      <w:pPr>
        <w:pStyle w:val="Heading6"/>
        <w:numPr>
          <w:ilvl w:val="0"/>
          <w:numId w:val="5"/>
        </w:numPr>
        <w:tabs>
          <w:tab w:val="right" w:pos="1418"/>
          <w:tab w:val="right" w:pos="1701"/>
          <w:tab w:val="right" w:pos="1985"/>
        </w:tabs>
      </w:pPr>
      <w:r w:rsidRPr="00A80242">
        <w:t>Attachment A: Not the time for company tax cuts—financial implications</w:t>
      </w:r>
    </w:p>
    <w:p w:rsidR="000B5C96" w:rsidRPr="00A80242" w:rsidRDefault="000B5C96" w:rsidP="003F606A">
      <w:pPr>
        <w:pStyle w:val="Caption"/>
      </w:pPr>
      <w:r w:rsidRPr="00A80242">
        <w:t>Table A1: Not the time for company tax cuts—Fiscal balance</w:t>
      </w:r>
      <w:r w:rsidRPr="00A80242">
        <w:rPr>
          <w:vertAlign w:val="superscript"/>
        </w:rPr>
        <w:t>(a)(b)</w:t>
      </w:r>
    </w:p>
    <w:tbl>
      <w:tblPr>
        <w:tblStyle w:val="TableGrid111"/>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A80242" w:rsidRDefault="000B5C96" w:rsidP="003F606A">
            <w:pPr>
              <w:keepNext/>
              <w:keepLines/>
              <w:ind w:left="57" w:right="57"/>
            </w:pPr>
            <w:r w:rsidRPr="00A80242">
              <w:t>($m)</w:t>
            </w:r>
          </w:p>
        </w:tc>
        <w:tc>
          <w:tcPr>
            <w:tcW w:w="326"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2016–17</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2017–18</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2018–19</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2019–20</w:t>
            </w:r>
          </w:p>
        </w:tc>
        <w:tc>
          <w:tcPr>
            <w:tcW w:w="327"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Total to 2019–20</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2020–21</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2021–22</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2022–23</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2023–24</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2024–25</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2025–26</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2026–27</w:t>
            </w:r>
          </w:p>
        </w:tc>
        <w:tc>
          <w:tcPr>
            <w:tcW w:w="326"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Total to 2026–27</w:t>
            </w:r>
          </w:p>
        </w:tc>
      </w:tr>
      <w:tr w:rsidR="000B5C96" w:rsidRPr="00A80242"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B5C96" w:rsidRPr="00A80242" w:rsidRDefault="000B5C96" w:rsidP="003F606A">
            <w:pPr>
              <w:keepNext/>
              <w:keepLines/>
              <w:ind w:left="57" w:right="57"/>
              <w:rPr>
                <w:b/>
              </w:rPr>
            </w:pPr>
            <w:r w:rsidRPr="00A80242">
              <w:rPr>
                <w:b/>
              </w:rPr>
              <w:t>Fiscal balance</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A80242" w:rsidRDefault="000B5C96" w:rsidP="003F606A">
            <w:pPr>
              <w:ind w:left="57" w:right="57"/>
              <w:rPr>
                <w:b/>
                <w:color w:val="000000"/>
                <w:szCs w:val="20"/>
              </w:rPr>
            </w:pPr>
            <w:r w:rsidRPr="00A80242">
              <w:rPr>
                <w:b/>
                <w:szCs w:val="20"/>
              </w:rPr>
              <w:t>Revenue</w:t>
            </w:r>
          </w:p>
        </w:tc>
        <w:tc>
          <w:tcPr>
            <w:tcW w:w="326"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695.0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1,200.0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1,350.0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1,600.0</w:t>
            </w:r>
          </w:p>
        </w:tc>
        <w:tc>
          <w:tcPr>
            <w:tcW w:w="327"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4,845.0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1,950.0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2,300.0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2,700.0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6,450.0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7,700.0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10,900.0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14,250.0</w:t>
            </w:r>
          </w:p>
        </w:tc>
        <w:tc>
          <w:tcPr>
            <w:tcW w:w="326"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51,095.0</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A80242" w:rsidRDefault="000B5C96" w:rsidP="003F606A">
            <w:pPr>
              <w:ind w:left="57" w:right="57"/>
              <w:rPr>
                <w:szCs w:val="20"/>
              </w:rPr>
            </w:pPr>
            <w:r w:rsidRPr="00A80242">
              <w:rPr>
                <w:szCs w:val="20"/>
              </w:rPr>
              <w:t>Reverse small business entity threshold</w:t>
            </w:r>
          </w:p>
        </w:tc>
        <w:tc>
          <w:tcPr>
            <w:tcW w:w="326"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295.0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700.0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550.0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650.0</w:t>
            </w:r>
          </w:p>
        </w:tc>
        <w:tc>
          <w:tcPr>
            <w:tcW w:w="327"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A80242">
              <w:rPr>
                <w:rFonts w:ascii="Calibri" w:hAnsi="Calibri"/>
                <w:b/>
                <w:i/>
                <w:color w:val="000000"/>
                <w:szCs w:val="20"/>
              </w:rPr>
              <w:t>2,195.0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650.0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700.0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700.0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750.0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800.0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800.0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850.0</w:t>
            </w:r>
          </w:p>
        </w:tc>
        <w:tc>
          <w:tcPr>
            <w:tcW w:w="326"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A80242">
              <w:rPr>
                <w:rFonts w:ascii="Calibri" w:hAnsi="Calibri"/>
                <w:b/>
                <w:i/>
                <w:color w:val="000000"/>
                <w:szCs w:val="20"/>
              </w:rPr>
              <w:t>7,445.0</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A80242" w:rsidRDefault="000B5C96" w:rsidP="003F606A">
            <w:pPr>
              <w:ind w:left="57" w:right="57"/>
              <w:rPr>
                <w:szCs w:val="20"/>
              </w:rPr>
            </w:pPr>
            <w:r w:rsidRPr="00A80242">
              <w:rPr>
                <w:szCs w:val="20"/>
              </w:rPr>
              <w:t>Reverse company tax rate cut</w:t>
            </w:r>
          </w:p>
        </w:tc>
        <w:tc>
          <w:tcPr>
            <w:tcW w:w="326"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400.0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500.0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800.0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950.0</w:t>
            </w:r>
          </w:p>
        </w:tc>
        <w:tc>
          <w:tcPr>
            <w:tcW w:w="327"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A80242">
              <w:rPr>
                <w:rFonts w:ascii="Calibri" w:hAnsi="Calibri"/>
                <w:b/>
                <w:i/>
              </w:rPr>
              <w:t>2,650.0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1,300.0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1,600.0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2,000.0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5,700.0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6,900.0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10,100.0</w:t>
            </w:r>
          </w:p>
        </w:tc>
        <w:tc>
          <w:tcPr>
            <w:tcW w:w="325"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13,400.0</w:t>
            </w:r>
          </w:p>
        </w:tc>
        <w:tc>
          <w:tcPr>
            <w:tcW w:w="326" w:type="pct"/>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A80242">
              <w:rPr>
                <w:rFonts w:ascii="Calibri" w:hAnsi="Calibri"/>
                <w:b/>
                <w:i/>
              </w:rPr>
              <w:t>43,650.0</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A80242" w:rsidRDefault="000B5C96" w:rsidP="003F606A">
            <w:pPr>
              <w:ind w:left="57" w:right="57"/>
              <w:rPr>
                <w:b/>
                <w:szCs w:val="20"/>
              </w:rPr>
            </w:pPr>
            <w:r w:rsidRPr="00A80242">
              <w:rPr>
                <w:b/>
                <w:szCs w:val="20"/>
              </w:rPr>
              <w:t>Expenses</w:t>
            </w:r>
          </w:p>
        </w:tc>
        <w:tc>
          <w:tcPr>
            <w:tcW w:w="326"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-15.0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7"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-15.0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6"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-15.0</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A80242" w:rsidRDefault="000B5C96" w:rsidP="003F606A">
            <w:pPr>
              <w:ind w:left="57" w:right="57"/>
              <w:rPr>
                <w:b/>
                <w:szCs w:val="20"/>
              </w:rPr>
            </w:pPr>
            <w:r w:rsidRPr="00A80242">
              <w:rPr>
                <w:szCs w:val="20"/>
              </w:rPr>
              <w:t>Reverse small business entity threshold</w:t>
            </w:r>
          </w:p>
        </w:tc>
        <w:tc>
          <w:tcPr>
            <w:tcW w:w="326"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-15.0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7"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A80242">
              <w:rPr>
                <w:rFonts w:ascii="Calibri" w:hAnsi="Calibri"/>
                <w:b/>
                <w:i/>
                <w:color w:val="000000"/>
                <w:szCs w:val="20"/>
              </w:rPr>
              <w:t>-15.0</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6" w:type="pct"/>
          </w:tcPr>
          <w:p w:rsidR="000B5C96" w:rsidRPr="00A80242" w:rsidDel="00A80E30"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A80242">
              <w:rPr>
                <w:rFonts w:ascii="Calibri" w:hAnsi="Calibri"/>
                <w:b/>
                <w:i/>
                <w:color w:val="000000"/>
                <w:szCs w:val="20"/>
              </w:rPr>
              <w:t>-15.0</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A80242" w:rsidRDefault="000B5C96" w:rsidP="003F606A">
            <w:pPr>
              <w:ind w:left="57" w:right="57"/>
              <w:rPr>
                <w:b/>
                <w:color w:val="000000"/>
                <w:szCs w:val="20"/>
              </w:rPr>
            </w:pPr>
            <w:r w:rsidRPr="00A80242">
              <w:rPr>
                <w:b/>
                <w:szCs w:val="20"/>
              </w:rPr>
              <w:t>Total</w:t>
            </w:r>
          </w:p>
        </w:tc>
        <w:tc>
          <w:tcPr>
            <w:tcW w:w="326"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680.0</w:t>
            </w:r>
          </w:p>
        </w:tc>
        <w:tc>
          <w:tcPr>
            <w:tcW w:w="325"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1,200.0</w:t>
            </w:r>
          </w:p>
        </w:tc>
        <w:tc>
          <w:tcPr>
            <w:tcW w:w="325"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1,350.0</w:t>
            </w:r>
          </w:p>
        </w:tc>
        <w:tc>
          <w:tcPr>
            <w:tcW w:w="325"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1,600.0</w:t>
            </w:r>
          </w:p>
        </w:tc>
        <w:tc>
          <w:tcPr>
            <w:tcW w:w="327"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4,830.0</w:t>
            </w:r>
          </w:p>
        </w:tc>
        <w:tc>
          <w:tcPr>
            <w:tcW w:w="325"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1,950.0</w:t>
            </w:r>
          </w:p>
        </w:tc>
        <w:tc>
          <w:tcPr>
            <w:tcW w:w="325"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2,300.0</w:t>
            </w:r>
          </w:p>
        </w:tc>
        <w:tc>
          <w:tcPr>
            <w:tcW w:w="325"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2,700.0</w:t>
            </w:r>
          </w:p>
        </w:tc>
        <w:tc>
          <w:tcPr>
            <w:tcW w:w="325"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6,450.0</w:t>
            </w:r>
          </w:p>
        </w:tc>
        <w:tc>
          <w:tcPr>
            <w:tcW w:w="325"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7,700.0</w:t>
            </w:r>
          </w:p>
        </w:tc>
        <w:tc>
          <w:tcPr>
            <w:tcW w:w="325"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10,900.0</w:t>
            </w:r>
          </w:p>
        </w:tc>
        <w:tc>
          <w:tcPr>
            <w:tcW w:w="325"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14,250.0</w:t>
            </w:r>
          </w:p>
        </w:tc>
        <w:tc>
          <w:tcPr>
            <w:tcW w:w="326" w:type="pct"/>
            <w:shd w:val="clear" w:color="auto" w:fill="E9ECF3"/>
          </w:tcPr>
          <w:p w:rsidR="000B5C96" w:rsidRPr="00A80242" w:rsidRDefault="000B5C96" w:rsidP="003F606A">
            <w:pPr>
              <w:jc w:val="right"/>
              <w:cnfStyle w:val="000000000000" w:firstRow="0" w:lastRow="0" w:firstColumn="0" w:lastColumn="0" w:oddVBand="0" w:evenVBand="0" w:oddHBand="0" w:evenHBand="0" w:firstRowFirstColumn="0" w:firstRowLastColumn="0" w:lastRowFirstColumn="0" w:lastRowLastColumn="0"/>
              <w:rPr>
                <w:rFonts w:ascii="Calibri" w:hAnsi="Calibri"/>
                <w:b/>
                <w:szCs w:val="20"/>
              </w:rPr>
            </w:pPr>
            <w:r w:rsidRPr="00A80242">
              <w:rPr>
                <w:rFonts w:ascii="Calibri" w:hAnsi="Calibri"/>
                <w:b/>
                <w:bCs/>
                <w:color w:val="000000"/>
                <w:szCs w:val="20"/>
              </w:rPr>
              <w:t>51,080.0</w:t>
            </w:r>
          </w:p>
        </w:tc>
      </w:tr>
    </w:tbl>
    <w:p w:rsidR="000B5C96" w:rsidRDefault="000B5C96" w:rsidP="000B6BA7">
      <w:pPr>
        <w:pStyle w:val="Footnotes"/>
        <w:numPr>
          <w:ilvl w:val="0"/>
          <w:numId w:val="357"/>
        </w:numPr>
        <w:ind w:left="284" w:hanging="284"/>
      </w:pPr>
      <w:r w:rsidRPr="00A80242">
        <w:t xml:space="preserve">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 </w:t>
      </w:r>
    </w:p>
    <w:p w:rsidR="000B5C96" w:rsidRPr="00A80242" w:rsidRDefault="000B5C96" w:rsidP="000B5C96">
      <w:pPr>
        <w:pStyle w:val="Footnotes"/>
        <w:numPr>
          <w:ilvl w:val="0"/>
          <w:numId w:val="7"/>
        </w:numPr>
        <w:ind w:left="284" w:hanging="284"/>
      </w:pPr>
      <w:r w:rsidRPr="00A80242">
        <w:t>Figures may not sum to totals due to rounding.</w:t>
      </w:r>
    </w:p>
    <w:p w:rsidR="000B5C96" w:rsidRPr="00A80242" w:rsidRDefault="000B5C96" w:rsidP="003F606A">
      <w:pPr>
        <w:pStyle w:val="Footnotes"/>
        <w:numPr>
          <w:ilvl w:val="0"/>
          <w:numId w:val="0"/>
        </w:numPr>
        <w:ind w:left="284" w:hanging="284"/>
      </w:pPr>
      <w:r w:rsidRPr="00A80242">
        <w:t>..</w:t>
      </w:r>
      <w:r>
        <w:tab/>
      </w:r>
      <w:r w:rsidRPr="00A80242">
        <w:tab/>
        <w:t>Not zero but rounded to zero</w:t>
      </w:r>
    </w:p>
    <w:p w:rsidR="000B5C96" w:rsidRPr="00A80242" w:rsidRDefault="000B5C96" w:rsidP="003F606A">
      <w:pPr>
        <w:pStyle w:val="Caption"/>
      </w:pPr>
      <w:r w:rsidRPr="00A80242">
        <w:t>Table A2: Not the time for company tax cuts—Underlying cash balance</w:t>
      </w:r>
      <w:r w:rsidRPr="00A80242">
        <w:rPr>
          <w:vertAlign w:val="superscript"/>
        </w:rPr>
        <w:t>(a)(b)</w:t>
      </w:r>
    </w:p>
    <w:tbl>
      <w:tblPr>
        <w:tblStyle w:val="TableGrid112"/>
        <w:tblW w:w="4948" w:type="pct"/>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0B5C96" w:rsidRPr="00A80242" w:rsidRDefault="000B5C96" w:rsidP="003F606A">
            <w:pPr>
              <w:keepNext/>
              <w:keepLines/>
              <w:ind w:left="57" w:right="57"/>
            </w:pPr>
            <w:r w:rsidRPr="00A80242">
              <w:t>($m)</w:t>
            </w:r>
          </w:p>
        </w:tc>
        <w:tc>
          <w:tcPr>
            <w:tcW w:w="326"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2016–17</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2017–18</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2018–19</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2019–20</w:t>
            </w:r>
          </w:p>
        </w:tc>
        <w:tc>
          <w:tcPr>
            <w:tcW w:w="327"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Total to 2019–20</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2020–21</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2021–22</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2022–23</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2023–24</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2024–25</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2025–26</w:t>
            </w:r>
          </w:p>
        </w:tc>
        <w:tc>
          <w:tcPr>
            <w:tcW w:w="325"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A80242">
              <w:rPr>
                <w:rFonts w:ascii="Calibri" w:hAnsi="Calibri"/>
              </w:rPr>
              <w:t>2026–27</w:t>
            </w:r>
          </w:p>
        </w:tc>
        <w:tc>
          <w:tcPr>
            <w:tcW w:w="326" w:type="pct"/>
            <w:shd w:val="clear" w:color="auto" w:fill="D7DDE9"/>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Total to 2026–27</w:t>
            </w:r>
          </w:p>
        </w:tc>
      </w:tr>
      <w:tr w:rsidR="000B5C96" w:rsidRPr="00A80242" w:rsidTr="003F606A">
        <w:tblPrEx>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788184"/>
              <w:left w:val="single" w:sz="4" w:space="0" w:color="788184"/>
              <w:bottom w:val="single" w:sz="4" w:space="0" w:color="788184"/>
              <w:right w:val="single" w:sz="4" w:space="0" w:color="788184"/>
            </w:tcBorders>
            <w:shd w:val="clear" w:color="auto" w:fill="E9ECF3"/>
          </w:tcPr>
          <w:p w:rsidR="000B5C96" w:rsidRPr="00A80242" w:rsidRDefault="000B5C96" w:rsidP="003F606A">
            <w:pPr>
              <w:keepNext/>
              <w:keepLines/>
              <w:ind w:left="57" w:right="57"/>
              <w:rPr>
                <w:b/>
              </w:rPr>
            </w:pPr>
            <w:r w:rsidRPr="00A80242">
              <w:rPr>
                <w:b/>
              </w:rPr>
              <w:t>Underlying cash balance</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A80242" w:rsidRDefault="000B5C96" w:rsidP="003F606A">
            <w:pPr>
              <w:keepNext/>
              <w:keepLines/>
              <w:ind w:left="57" w:right="57"/>
              <w:rPr>
                <w:b/>
              </w:rPr>
            </w:pPr>
            <w:r w:rsidRPr="00A80242">
              <w:rPr>
                <w:b/>
              </w:rPr>
              <w:t>Receipts</w:t>
            </w:r>
          </w:p>
        </w:tc>
        <w:tc>
          <w:tcPr>
            <w:tcW w:w="326"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710.0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1,200.0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1,350.0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1,600.0</w:t>
            </w:r>
          </w:p>
        </w:tc>
        <w:tc>
          <w:tcPr>
            <w:tcW w:w="327"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4,860.0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1,950.0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2,300.0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2,700.0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6,450.0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7,700.0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10,900.0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14,250.0</w:t>
            </w:r>
          </w:p>
        </w:tc>
        <w:tc>
          <w:tcPr>
            <w:tcW w:w="326"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51,110.0</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A80242" w:rsidRDefault="000B5C96" w:rsidP="003F606A">
            <w:pPr>
              <w:keepNext/>
              <w:keepLines/>
              <w:ind w:left="57" w:right="57"/>
              <w:rPr>
                <w:szCs w:val="20"/>
              </w:rPr>
            </w:pPr>
            <w:r w:rsidRPr="00A80242">
              <w:rPr>
                <w:szCs w:val="20"/>
              </w:rPr>
              <w:t>Reverse small business entity threshold</w:t>
            </w:r>
          </w:p>
        </w:tc>
        <w:tc>
          <w:tcPr>
            <w:tcW w:w="326"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310.0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700.0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550.0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650.0</w:t>
            </w:r>
          </w:p>
        </w:tc>
        <w:tc>
          <w:tcPr>
            <w:tcW w:w="327"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A80242">
              <w:rPr>
                <w:rFonts w:ascii="Calibri" w:hAnsi="Calibri"/>
                <w:b/>
                <w:i/>
              </w:rPr>
              <w:t>2,210.0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650.0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700.0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700.0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750.0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800.0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800.0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850.0</w:t>
            </w:r>
          </w:p>
        </w:tc>
        <w:tc>
          <w:tcPr>
            <w:tcW w:w="326"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A80242">
              <w:rPr>
                <w:rFonts w:ascii="Calibri" w:hAnsi="Calibri"/>
                <w:b/>
                <w:i/>
              </w:rPr>
              <w:t>7,460.0</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A80242" w:rsidRDefault="000B5C96" w:rsidP="003F606A">
            <w:pPr>
              <w:keepNext/>
              <w:keepLines/>
              <w:ind w:left="57" w:right="57"/>
              <w:rPr>
                <w:szCs w:val="20"/>
              </w:rPr>
            </w:pPr>
            <w:r w:rsidRPr="00A80242">
              <w:rPr>
                <w:szCs w:val="20"/>
              </w:rPr>
              <w:t>Reverse company tax rate cut</w:t>
            </w:r>
          </w:p>
        </w:tc>
        <w:tc>
          <w:tcPr>
            <w:tcW w:w="326"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400.0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500.0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800.0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950.0</w:t>
            </w:r>
          </w:p>
        </w:tc>
        <w:tc>
          <w:tcPr>
            <w:tcW w:w="327"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A80242">
              <w:rPr>
                <w:rFonts w:ascii="Calibri" w:hAnsi="Calibri"/>
                <w:b/>
                <w:i/>
              </w:rPr>
              <w:t>2,650.0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1,300.0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1,600.0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2,000.0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5,700.0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6,900.0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10,100.0</w:t>
            </w:r>
          </w:p>
        </w:tc>
        <w:tc>
          <w:tcPr>
            <w:tcW w:w="325"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rPr>
            </w:pPr>
            <w:r w:rsidRPr="00A80242">
              <w:rPr>
                <w:rFonts w:ascii="Calibri" w:hAnsi="Calibri"/>
                <w:i/>
              </w:rPr>
              <w:t>13,400.0</w:t>
            </w:r>
          </w:p>
        </w:tc>
        <w:tc>
          <w:tcPr>
            <w:tcW w:w="326" w:type="pct"/>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rPr>
            </w:pPr>
            <w:r w:rsidRPr="00A80242">
              <w:rPr>
                <w:rFonts w:ascii="Calibri" w:hAnsi="Calibri"/>
                <w:b/>
                <w:i/>
              </w:rPr>
              <w:t>43,650.0</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A80242" w:rsidRDefault="000B5C96" w:rsidP="003F606A">
            <w:pPr>
              <w:keepNext/>
              <w:keepLines/>
              <w:ind w:left="57" w:right="57"/>
              <w:rPr>
                <w:b/>
              </w:rPr>
            </w:pPr>
            <w:r w:rsidRPr="00A80242">
              <w:rPr>
                <w:b/>
              </w:rPr>
              <w:t>Outlays</w:t>
            </w:r>
          </w:p>
        </w:tc>
        <w:tc>
          <w:tcPr>
            <w:tcW w:w="326"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-15.0</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7"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-15.0</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w:t>
            </w:r>
          </w:p>
        </w:tc>
        <w:tc>
          <w:tcPr>
            <w:tcW w:w="326"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Cs w:val="20"/>
              </w:rPr>
            </w:pPr>
            <w:r w:rsidRPr="00A80242">
              <w:rPr>
                <w:rFonts w:ascii="Calibri" w:hAnsi="Calibri"/>
                <w:b/>
                <w:color w:val="000000"/>
                <w:szCs w:val="20"/>
              </w:rPr>
              <w:t>-15.0</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tcPr>
          <w:p w:rsidR="000B5C96" w:rsidRPr="00A80242" w:rsidRDefault="000B5C96" w:rsidP="003F606A">
            <w:pPr>
              <w:keepNext/>
              <w:keepLines/>
              <w:ind w:left="57" w:right="57"/>
              <w:rPr>
                <w:b/>
              </w:rPr>
            </w:pPr>
            <w:r w:rsidRPr="00A80242">
              <w:rPr>
                <w:szCs w:val="20"/>
              </w:rPr>
              <w:t>Reverse small business entity threshold</w:t>
            </w:r>
          </w:p>
        </w:tc>
        <w:tc>
          <w:tcPr>
            <w:tcW w:w="326"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-15.0</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7"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A80242">
              <w:rPr>
                <w:rFonts w:ascii="Calibri" w:hAnsi="Calibri"/>
                <w:b/>
                <w:i/>
                <w:color w:val="000000"/>
                <w:szCs w:val="20"/>
              </w:rPr>
              <w:t>-15.0</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5"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Cs w:val="20"/>
              </w:rPr>
            </w:pPr>
            <w:r w:rsidRPr="00A80242">
              <w:rPr>
                <w:rFonts w:ascii="Calibri" w:hAnsi="Calibri"/>
                <w:i/>
                <w:color w:val="000000"/>
                <w:szCs w:val="20"/>
              </w:rPr>
              <w:t>..</w:t>
            </w:r>
          </w:p>
        </w:tc>
        <w:tc>
          <w:tcPr>
            <w:tcW w:w="326" w:type="pct"/>
          </w:tcPr>
          <w:p w:rsidR="000B5C96" w:rsidRPr="00A80242" w:rsidDel="00A80E30"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0000"/>
                <w:szCs w:val="20"/>
              </w:rPr>
            </w:pPr>
            <w:r w:rsidRPr="00A80242">
              <w:rPr>
                <w:rFonts w:ascii="Calibri" w:hAnsi="Calibri"/>
                <w:b/>
                <w:i/>
                <w:color w:val="000000"/>
                <w:szCs w:val="20"/>
              </w:rPr>
              <w:t>-15.0</w:t>
            </w:r>
          </w:p>
        </w:tc>
      </w:tr>
      <w:tr w:rsidR="000B5C96" w:rsidRPr="00A80242" w:rsidTr="003F606A">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E9ECF3"/>
          </w:tcPr>
          <w:p w:rsidR="000B5C96" w:rsidRPr="00A80242" w:rsidRDefault="000B5C96" w:rsidP="003F606A">
            <w:pPr>
              <w:keepNext/>
              <w:keepLines/>
              <w:ind w:left="57" w:right="57"/>
              <w:rPr>
                <w:b/>
              </w:rPr>
            </w:pPr>
            <w:r w:rsidRPr="00A80242">
              <w:rPr>
                <w:b/>
              </w:rPr>
              <w:t>Total</w:t>
            </w:r>
          </w:p>
        </w:tc>
        <w:tc>
          <w:tcPr>
            <w:tcW w:w="326"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695.0</w:t>
            </w:r>
          </w:p>
        </w:tc>
        <w:tc>
          <w:tcPr>
            <w:tcW w:w="325"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1,200.0</w:t>
            </w:r>
          </w:p>
        </w:tc>
        <w:tc>
          <w:tcPr>
            <w:tcW w:w="325"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1,350.0</w:t>
            </w:r>
          </w:p>
        </w:tc>
        <w:tc>
          <w:tcPr>
            <w:tcW w:w="325"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1,600.0</w:t>
            </w:r>
          </w:p>
        </w:tc>
        <w:tc>
          <w:tcPr>
            <w:tcW w:w="327"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4,845.0</w:t>
            </w:r>
          </w:p>
        </w:tc>
        <w:tc>
          <w:tcPr>
            <w:tcW w:w="325"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1,950.0</w:t>
            </w:r>
          </w:p>
        </w:tc>
        <w:tc>
          <w:tcPr>
            <w:tcW w:w="325"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2,300.0</w:t>
            </w:r>
          </w:p>
        </w:tc>
        <w:tc>
          <w:tcPr>
            <w:tcW w:w="325"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2,700.0</w:t>
            </w:r>
          </w:p>
        </w:tc>
        <w:tc>
          <w:tcPr>
            <w:tcW w:w="325"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6,450.0</w:t>
            </w:r>
          </w:p>
        </w:tc>
        <w:tc>
          <w:tcPr>
            <w:tcW w:w="325"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7,700.0</w:t>
            </w:r>
          </w:p>
        </w:tc>
        <w:tc>
          <w:tcPr>
            <w:tcW w:w="325"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10,900.0</w:t>
            </w:r>
          </w:p>
        </w:tc>
        <w:tc>
          <w:tcPr>
            <w:tcW w:w="325"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14,250.0</w:t>
            </w:r>
          </w:p>
        </w:tc>
        <w:tc>
          <w:tcPr>
            <w:tcW w:w="326" w:type="pct"/>
            <w:shd w:val="clear" w:color="auto" w:fill="E9ECF3"/>
          </w:tcPr>
          <w:p w:rsidR="000B5C96" w:rsidRPr="00A80242" w:rsidRDefault="000B5C96" w:rsidP="003F606A">
            <w:pPr>
              <w:keepNext/>
              <w:keepLines/>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A80242">
              <w:rPr>
                <w:rFonts w:ascii="Calibri" w:hAnsi="Calibri"/>
                <w:b/>
              </w:rPr>
              <w:t>51,095.0</w:t>
            </w:r>
          </w:p>
        </w:tc>
      </w:tr>
    </w:tbl>
    <w:p w:rsidR="000B5C96" w:rsidRDefault="000B5C96" w:rsidP="000B6BA7">
      <w:pPr>
        <w:pStyle w:val="Footnotes"/>
        <w:keepNext/>
        <w:keepLines/>
        <w:numPr>
          <w:ilvl w:val="0"/>
          <w:numId w:val="358"/>
        </w:numPr>
        <w:ind w:left="284" w:hanging="284"/>
      </w:pPr>
      <w:r w:rsidRPr="00A80242">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A80242" w:rsidRDefault="000B5C96" w:rsidP="000B5C96">
      <w:pPr>
        <w:pStyle w:val="Footnotes"/>
        <w:keepNext/>
        <w:keepLines/>
        <w:numPr>
          <w:ilvl w:val="0"/>
          <w:numId w:val="7"/>
        </w:numPr>
        <w:ind w:left="284" w:hanging="284"/>
      </w:pPr>
      <w:r w:rsidRPr="00A80242">
        <w:t>Figures may not sum to totals due to rounding.</w:t>
      </w:r>
    </w:p>
    <w:p w:rsidR="000B5C96" w:rsidRPr="00A80242" w:rsidRDefault="000B5C96" w:rsidP="003F606A">
      <w:pPr>
        <w:pStyle w:val="Footnotes"/>
        <w:numPr>
          <w:ilvl w:val="0"/>
          <w:numId w:val="0"/>
        </w:numPr>
        <w:ind w:left="284" w:hanging="284"/>
      </w:pPr>
      <w:r w:rsidRPr="00A80242">
        <w:t>..</w:t>
      </w:r>
      <w:r>
        <w:tab/>
      </w:r>
      <w:r w:rsidRPr="00A80242">
        <w:tab/>
        <w:t>Not zero but rounded to zero</w:t>
      </w:r>
    </w:p>
    <w:p w:rsidR="000B5C96" w:rsidRDefault="000B5C96" w:rsidP="000B5C96">
      <w:pPr>
        <w:pStyle w:val="Footnotes"/>
        <w:numPr>
          <w:ilvl w:val="0"/>
          <w:numId w:val="7"/>
        </w:numPr>
        <w:ind w:left="284" w:hanging="284"/>
        <w:sectPr w:rsidR="000B5C96" w:rsidSect="003F606A">
          <w:headerReference w:type="even" r:id="rId670"/>
          <w:headerReference w:type="default" r:id="rId671"/>
          <w:footerReference w:type="even" r:id="rId672"/>
          <w:footerReference w:type="default" r:id="rId673"/>
          <w:pgSz w:w="16839" w:h="11907" w:orient="landscape" w:code="9"/>
          <w:pgMar w:top="1361" w:right="1797" w:bottom="1474" w:left="1797" w:header="283" w:footer="454" w:gutter="0"/>
          <w:cols w:space="708"/>
          <w:docGrid w:linePitch="360"/>
        </w:sectPr>
      </w:pPr>
    </w:p>
    <w:p w:rsidR="000B5C96" w:rsidRDefault="000B5C96" w:rsidP="003F606A">
      <w:pPr>
        <w:pStyle w:val="Heading5"/>
      </w:pPr>
      <w:bookmarkStart w:id="247" w:name="_Toc458002003"/>
      <w:bookmarkStart w:id="248" w:name="_Toc458069488"/>
      <w:r>
        <w:t>GRN099: Restoring Family Tax Benefit Cuts</w:t>
      </w:r>
      <w:bookmarkEnd w:id="247"/>
      <w:bookmarkEnd w:id="248"/>
    </w:p>
    <w:p w:rsidR="000B5C96" w:rsidRPr="008A0AE1" w:rsidRDefault="000B5C96" w:rsidP="003F606A">
      <w:pPr>
        <w:pStyle w:val="BodyText"/>
      </w:pPr>
      <w:r>
        <w:rPr>
          <w:noProof/>
          <w:lang w:eastAsia="en-AU"/>
        </w:rPr>
        <w:drawing>
          <wp:inline distT="0" distB="0" distL="0" distR="0" wp14:anchorId="1D3DB0F7" wp14:editId="62BAC793">
            <wp:extent cx="2696845" cy="572135"/>
            <wp:effectExtent l="0" t="0" r="8255" b="0"/>
            <wp:docPr id="66" name="Picture 6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FC20B6" w:rsidRDefault="000B5C96" w:rsidP="000B5C96">
      <w:pPr>
        <w:pStyle w:val="Heading6"/>
        <w:numPr>
          <w:ilvl w:val="0"/>
          <w:numId w:val="5"/>
        </w:numPr>
        <w:tabs>
          <w:tab w:val="right" w:pos="1418"/>
          <w:tab w:val="right" w:pos="1701"/>
          <w:tab w:val="right" w:pos="1985"/>
        </w:tabs>
      </w:pPr>
      <w:r w:rsidRPr="00FC20B6">
        <w:t>Policy costing—2016 post-election report</w:t>
      </w:r>
    </w:p>
    <w:tbl>
      <w:tblPr>
        <w:tblStyle w:val="Style117"/>
        <w:tblW w:w="5000" w:type="pct"/>
        <w:tblLook w:val="04A0" w:firstRow="1" w:lastRow="0" w:firstColumn="1" w:lastColumn="0" w:noHBand="0" w:noVBand="1"/>
      </w:tblPr>
      <w:tblGrid>
        <w:gridCol w:w="2661"/>
        <w:gridCol w:w="5867"/>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560" w:type="pct"/>
          </w:tcPr>
          <w:p w:rsidR="000B5C96" w:rsidRPr="00EA7F7A" w:rsidRDefault="000B5C96" w:rsidP="003F606A">
            <w:pPr>
              <w:pStyle w:val="PullOutBoxHeading"/>
              <w:rPr>
                <w:b/>
              </w:rPr>
            </w:pPr>
            <w:r w:rsidRPr="00EA7F7A">
              <w:rPr>
                <w:b/>
              </w:rPr>
              <w:t>Name of proposal:</w:t>
            </w:r>
          </w:p>
        </w:tc>
        <w:tc>
          <w:tcPr>
            <w:tcW w:w="3440" w:type="pct"/>
          </w:tcPr>
          <w:p w:rsidR="000B5C96" w:rsidRPr="00EA7F7A" w:rsidRDefault="000B5C96" w:rsidP="003F606A">
            <w:pPr>
              <w:pStyle w:val="PullOutBoxHeading"/>
              <w:rPr>
                <w:b/>
              </w:rPr>
            </w:pPr>
            <w:r w:rsidRPr="00EA7F7A">
              <w:rPr>
                <w:b/>
              </w:rPr>
              <w:t>Restoring Family Tax Benefit Cuts</w:t>
            </w:r>
          </w:p>
        </w:tc>
      </w:tr>
      <w:tr w:rsidR="000B5C96" w:rsidRPr="00FC20B6" w:rsidTr="003F606A">
        <w:tc>
          <w:tcPr>
            <w:tcW w:w="1560" w:type="pct"/>
          </w:tcPr>
          <w:p w:rsidR="000B5C96" w:rsidRPr="00FC20B6" w:rsidRDefault="000B5C96" w:rsidP="003F606A">
            <w:pPr>
              <w:spacing w:before="114" w:after="114"/>
              <w:ind w:left="57" w:right="57"/>
              <w:rPr>
                <w:rFonts w:eastAsia="Calibri" w:cs="Times New Roman"/>
              </w:rPr>
            </w:pPr>
            <w:r w:rsidRPr="00FC20B6">
              <w:rPr>
                <w:rFonts w:eastAsia="Calibri" w:cs="Times New Roman"/>
              </w:rPr>
              <w:t>Summary of proposal:</w:t>
            </w:r>
          </w:p>
        </w:tc>
        <w:tc>
          <w:tcPr>
            <w:tcW w:w="3440" w:type="pct"/>
          </w:tcPr>
          <w:p w:rsidR="000B5C96" w:rsidRPr="00FC20B6" w:rsidRDefault="000B5C96" w:rsidP="003F606A">
            <w:pPr>
              <w:pStyle w:val="PullOutBoxBodyText"/>
            </w:pPr>
            <w:r w:rsidRPr="00FC20B6">
              <w:t>This proposal would reverse:</w:t>
            </w:r>
          </w:p>
          <w:p w:rsidR="000B5C96" w:rsidRPr="00D0746E" w:rsidRDefault="000B5C96" w:rsidP="000B5C96">
            <w:pPr>
              <w:pStyle w:val="PullOutBoxBullet"/>
              <w:numPr>
                <w:ilvl w:val="0"/>
                <w:numId w:val="2"/>
              </w:numPr>
              <w:ind w:left="397"/>
              <w:rPr>
                <w:lang w:eastAsia="en-AU"/>
              </w:rPr>
            </w:pPr>
            <w:r w:rsidRPr="00D0746E">
              <w:rPr>
                <w:lang w:eastAsia="en-AU"/>
              </w:rPr>
              <w:t>unlegislated Family Tax Benefit (FTB) measures as at 22 February 2016</w:t>
            </w:r>
          </w:p>
          <w:p w:rsidR="000B5C96" w:rsidRPr="00D0746E" w:rsidRDefault="000B5C96" w:rsidP="000B5C96">
            <w:pPr>
              <w:pStyle w:val="PullOutBoxBullet"/>
              <w:numPr>
                <w:ilvl w:val="0"/>
                <w:numId w:val="2"/>
              </w:numPr>
              <w:ind w:left="397"/>
              <w:rPr>
                <w:lang w:eastAsia="en-AU"/>
              </w:rPr>
            </w:pPr>
            <w:r w:rsidRPr="00D0746E">
              <w:rPr>
                <w:lang w:eastAsia="en-AU"/>
              </w:rPr>
              <w:t xml:space="preserve">unlegislated FTB measures announced since 22 February 2016 </w:t>
            </w:r>
          </w:p>
          <w:p w:rsidR="000B5C96" w:rsidRPr="00D0746E" w:rsidRDefault="000B5C96" w:rsidP="000B5C96">
            <w:pPr>
              <w:pStyle w:val="PullOutBoxBullet"/>
              <w:numPr>
                <w:ilvl w:val="0"/>
                <w:numId w:val="2"/>
              </w:numPr>
              <w:ind w:left="397"/>
              <w:rPr>
                <w:lang w:eastAsia="en-AU"/>
              </w:rPr>
            </w:pPr>
            <w:r w:rsidRPr="00D0746E">
              <w:rPr>
                <w:lang w:eastAsia="en-AU"/>
              </w:rPr>
              <w:t>legislated FTB measures in the following Acts:</w:t>
            </w:r>
          </w:p>
          <w:p w:rsidR="000B5C96" w:rsidRPr="00D0746E" w:rsidRDefault="000B5C96" w:rsidP="000B5C96">
            <w:pPr>
              <w:pStyle w:val="PullOutBoxBullet2"/>
              <w:numPr>
                <w:ilvl w:val="1"/>
                <w:numId w:val="2"/>
              </w:numPr>
              <w:ind w:left="737"/>
              <w:rPr>
                <w:lang w:eastAsia="en-AU"/>
              </w:rPr>
            </w:pPr>
            <w:r w:rsidRPr="00D0746E">
              <w:rPr>
                <w:lang w:eastAsia="en-AU"/>
              </w:rPr>
              <w:t>Social Services and Other Legislation Amendment Act 2013</w:t>
            </w:r>
          </w:p>
          <w:p w:rsidR="000B5C96" w:rsidRPr="00D0746E" w:rsidRDefault="000B5C96" w:rsidP="000B5C96">
            <w:pPr>
              <w:pStyle w:val="PullOutBoxBullet2"/>
              <w:numPr>
                <w:ilvl w:val="1"/>
                <w:numId w:val="2"/>
              </w:numPr>
              <w:ind w:left="737"/>
              <w:rPr>
                <w:lang w:eastAsia="en-AU"/>
              </w:rPr>
            </w:pPr>
            <w:r w:rsidRPr="00D0746E">
              <w:rPr>
                <w:lang w:eastAsia="en-AU"/>
              </w:rPr>
              <w:t>Social Services and Other Legislation Amendment (2014 Budget Measures No. 6) Act 2014</w:t>
            </w:r>
          </w:p>
          <w:p w:rsidR="000B5C96" w:rsidRPr="00D0746E" w:rsidRDefault="000B5C96" w:rsidP="000B5C96">
            <w:pPr>
              <w:pStyle w:val="PullOutBoxBullet2"/>
              <w:numPr>
                <w:ilvl w:val="1"/>
                <w:numId w:val="2"/>
              </w:numPr>
              <w:ind w:left="737"/>
              <w:rPr>
                <w:lang w:eastAsia="en-AU"/>
              </w:rPr>
            </w:pPr>
            <w:r w:rsidRPr="00D0746E">
              <w:rPr>
                <w:lang w:eastAsia="en-AU"/>
              </w:rPr>
              <w:t>Social Services Legislation Amendment (Family Payments Structural Reform and Participation Measures) Act 2015</w:t>
            </w:r>
          </w:p>
          <w:p w:rsidR="000B5C96" w:rsidRPr="00D0746E" w:rsidRDefault="000B5C96" w:rsidP="000B5C96">
            <w:pPr>
              <w:pStyle w:val="PullOutBoxBullet2"/>
              <w:numPr>
                <w:ilvl w:val="1"/>
                <w:numId w:val="2"/>
              </w:numPr>
              <w:ind w:left="737"/>
              <w:rPr>
                <w:lang w:eastAsia="en-AU"/>
              </w:rPr>
            </w:pPr>
            <w:r w:rsidRPr="00D0746E">
              <w:rPr>
                <w:lang w:eastAsia="en-AU"/>
              </w:rPr>
              <w:t>Social Services Legislation Amendment (Family Measures) Act 2015.</w:t>
            </w:r>
          </w:p>
          <w:p w:rsidR="000B5C96" w:rsidRPr="00FC20B6" w:rsidRDefault="000B5C96" w:rsidP="003F606A">
            <w:pPr>
              <w:pStyle w:val="PullOutBoxBodyText"/>
            </w:pPr>
            <w:r w:rsidRPr="00FC20B6">
              <w:t xml:space="preserve">Specific measures being reversed are detailed at </w:t>
            </w:r>
            <w:r w:rsidRPr="00FC20B6">
              <w:rPr>
                <w:u w:val="single"/>
              </w:rPr>
              <w:t>Attachment A</w:t>
            </w:r>
            <w:r w:rsidRPr="00FC20B6">
              <w:t>.</w:t>
            </w:r>
          </w:p>
          <w:p w:rsidR="000B5C96" w:rsidRPr="00FC20B6" w:rsidRDefault="000B5C96" w:rsidP="003F606A">
            <w:pPr>
              <w:pStyle w:val="PullOutBoxBodyText"/>
              <w:rPr>
                <w:rFonts w:eastAsia="Times New Roman"/>
                <w:lang w:eastAsia="en-AU"/>
              </w:rPr>
            </w:pPr>
            <w:r w:rsidRPr="00FC20B6">
              <w:rPr>
                <w:rFonts w:eastAsia="Times New Roman"/>
                <w:lang w:eastAsia="en-AU"/>
              </w:rPr>
              <w:t>The proposal would have effect from 1 September 2016.</w:t>
            </w:r>
          </w:p>
        </w:tc>
      </w:tr>
      <w:tr w:rsidR="000B5C96" w:rsidRPr="00FC20B6" w:rsidTr="003F606A">
        <w:tc>
          <w:tcPr>
            <w:tcW w:w="1560" w:type="pct"/>
          </w:tcPr>
          <w:p w:rsidR="000B5C96" w:rsidRPr="00FC20B6" w:rsidRDefault="000B5C96" w:rsidP="003F606A">
            <w:pPr>
              <w:pStyle w:val="PullOutBoxBodyText"/>
            </w:pPr>
            <w:r w:rsidRPr="00FC20B6">
              <w:t>Party:</w:t>
            </w:r>
          </w:p>
        </w:tc>
        <w:tc>
          <w:tcPr>
            <w:tcW w:w="3440" w:type="pct"/>
          </w:tcPr>
          <w:p w:rsidR="000B5C96" w:rsidRPr="00FC20B6" w:rsidRDefault="000B5C96" w:rsidP="003F606A">
            <w:pPr>
              <w:pStyle w:val="PullOutBoxBodyText"/>
            </w:pPr>
            <w:r w:rsidRPr="00FC20B6">
              <w:t>Australian Greens</w:t>
            </w:r>
          </w:p>
        </w:tc>
      </w:tr>
      <w:tr w:rsidR="000B5C96" w:rsidRPr="00FC20B6" w:rsidTr="003F606A">
        <w:tc>
          <w:tcPr>
            <w:tcW w:w="1560" w:type="pct"/>
          </w:tcPr>
          <w:p w:rsidR="000B5C96" w:rsidRPr="00FC20B6" w:rsidRDefault="000B5C96" w:rsidP="003F606A">
            <w:pPr>
              <w:pStyle w:val="PullOutBoxBodyText"/>
            </w:pPr>
            <w:r w:rsidRPr="00FC20B6">
              <w:t>Expiry date for the costing:</w:t>
            </w:r>
          </w:p>
        </w:tc>
        <w:tc>
          <w:tcPr>
            <w:tcW w:w="3440" w:type="pct"/>
          </w:tcPr>
          <w:p w:rsidR="000B5C96" w:rsidRPr="00FC20B6" w:rsidRDefault="000B5C96" w:rsidP="003F606A">
            <w:pPr>
              <w:pStyle w:val="PullOutBoxBodyText"/>
            </w:pPr>
            <w:r w:rsidRPr="00FC20B6">
              <w:t>Release of the next economic and fiscal update</w:t>
            </w:r>
          </w:p>
        </w:tc>
      </w:tr>
    </w:tbl>
    <w:p w:rsidR="000B5C96" w:rsidRPr="00FC20B6" w:rsidRDefault="000B5C96" w:rsidP="003F606A">
      <w:pPr>
        <w:pStyle w:val="CostingsH7"/>
      </w:pPr>
      <w:r w:rsidRPr="00FC20B6">
        <w:t>Costing overview</w:t>
      </w:r>
    </w:p>
    <w:p w:rsidR="000B5C96" w:rsidRPr="00FC20B6" w:rsidRDefault="000B5C96" w:rsidP="003F606A">
      <w:pPr>
        <w:pStyle w:val="BodyText"/>
      </w:pPr>
      <w:r w:rsidRPr="00FC20B6">
        <w:t xml:space="preserve">This proposal would be expected to decrease the fiscal balance by $9,635.0 million and decrease the underlying cash balance by $7,290.0 million over the 2016-17 Budget forward estimates period.  The fiscal balance financial implications are due to an increase in administered expenses of $9,555.0 million and an increase in departmental expenses of $80.0 million over this period. </w:t>
      </w:r>
    </w:p>
    <w:p w:rsidR="000B5C96" w:rsidRPr="00FC20B6" w:rsidRDefault="000B5C96" w:rsidP="003F606A">
      <w:pPr>
        <w:pStyle w:val="BodyText"/>
      </w:pPr>
      <w:r w:rsidRPr="00FC20B6">
        <w:t>A breakdown of the financial implications of each component over the 2016</w:t>
      </w:r>
      <w:r w:rsidRPr="00FC20B6">
        <w:noBreakHyphen/>
        <w:t xml:space="preserve">17 Budget forward estimates period is at </w:t>
      </w:r>
      <w:r w:rsidRPr="00FC20B6">
        <w:rPr>
          <w:u w:val="single"/>
        </w:rPr>
        <w:t>Attachment B</w:t>
      </w:r>
      <w:r w:rsidRPr="00FC20B6">
        <w:t>.</w:t>
      </w:r>
    </w:p>
    <w:p w:rsidR="000B5C96" w:rsidRPr="00FC20B6" w:rsidRDefault="000B5C96" w:rsidP="003F606A">
      <w:pPr>
        <w:pStyle w:val="BodyText"/>
      </w:pPr>
      <w:r w:rsidRPr="00FC20B6">
        <w:t>The financial implications for the underlying cash balance differ from the implications for the fiscal balance because a proportion of FTB payments are made after the end of the financial year in which they are accrued.</w:t>
      </w:r>
    </w:p>
    <w:p w:rsidR="000B5C96" w:rsidRPr="00FC20B6" w:rsidRDefault="000B5C96" w:rsidP="003F606A">
      <w:pPr>
        <w:pStyle w:val="BodyText"/>
        <w:rPr>
          <w:lang w:eastAsia="en-AU"/>
        </w:rPr>
      </w:pPr>
      <w:r w:rsidRPr="00FC20B6">
        <w:rPr>
          <w:lang w:eastAsia="en-AU"/>
        </w:rPr>
        <w:t>This costing includes departmental funding for the Department of Human Services (DHS) associated with processing payments to a higher number of recipients.</w:t>
      </w:r>
    </w:p>
    <w:p w:rsidR="000B5C96" w:rsidRPr="00FC20B6" w:rsidRDefault="000B5C96" w:rsidP="003F606A">
      <w:pPr>
        <w:pStyle w:val="BodyText"/>
      </w:pPr>
      <w:r w:rsidRPr="00FC20B6">
        <w:t xml:space="preserve">The proposal would have ongoing financial implications that extend beyond the 2016-17 Budget forward estimates period. </w:t>
      </w:r>
    </w:p>
    <w:p w:rsidR="000B5C96" w:rsidRPr="00FC20B6" w:rsidRDefault="000B5C96" w:rsidP="003F606A">
      <w:pPr>
        <w:pStyle w:val="BodyText"/>
      </w:pPr>
      <w:r w:rsidRPr="00FC20B6">
        <w:t>The costing is considered to be of medium reliability.  While the estimates are based on unit record data of FTB recipients, there are some data gaps regarding payment rates of particular recipient types and interactions between proposed measures.  Estimates would also be sensitive to changes in wage growth and demographic factors.</w:t>
      </w:r>
    </w:p>
    <w:p w:rsidR="000B5C96" w:rsidRPr="00FC20B6" w:rsidRDefault="000B5C96" w:rsidP="003F606A">
      <w:pPr>
        <w:pStyle w:val="Caption"/>
      </w:pPr>
      <w:r w:rsidRPr="00FC20B6">
        <w:t>Table 1: Financial implications (outturn prices)</w:t>
      </w:r>
      <w:r w:rsidRPr="00FC20B6">
        <w:rPr>
          <w:vertAlign w:val="superscript"/>
        </w:rPr>
        <w:t>(a)(b)</w:t>
      </w:r>
    </w:p>
    <w:tbl>
      <w:tblPr>
        <w:tblStyle w:val="TableGrid113"/>
        <w:tblW w:w="4993" w:type="pct"/>
        <w:tblLook w:val="04A0" w:firstRow="1" w:lastRow="0" w:firstColumn="1" w:lastColumn="0" w:noHBand="0" w:noVBand="1"/>
      </w:tblPr>
      <w:tblGrid>
        <w:gridCol w:w="2645"/>
        <w:gridCol w:w="1134"/>
        <w:gridCol w:w="1133"/>
        <w:gridCol w:w="1133"/>
        <w:gridCol w:w="1133"/>
        <w:gridCol w:w="1132"/>
      </w:tblGrid>
      <w:tr w:rsidR="000B5C96" w:rsidRPr="00FC20B6" w:rsidTr="003F6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tcPr>
          <w:p w:rsidR="000B5C96" w:rsidRPr="00FC20B6" w:rsidRDefault="000B5C96" w:rsidP="003F606A">
            <w:pPr>
              <w:keepNext/>
              <w:keepLines/>
              <w:spacing w:line="240" w:lineRule="auto"/>
              <w:ind w:left="57" w:right="57"/>
              <w:rPr>
                <w:szCs w:val="20"/>
              </w:rPr>
            </w:pPr>
            <w:r w:rsidRPr="00FC20B6">
              <w:rPr>
                <w:szCs w:val="20"/>
              </w:rPr>
              <w:t>Impact on ($m)</w:t>
            </w:r>
          </w:p>
        </w:tc>
        <w:tc>
          <w:tcPr>
            <w:tcW w:w="682" w:type="pct"/>
          </w:tcPr>
          <w:p w:rsidR="000B5C96" w:rsidRPr="00FC20B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C20B6">
              <w:rPr>
                <w:szCs w:val="20"/>
              </w:rPr>
              <w:t>2016–17</w:t>
            </w:r>
          </w:p>
        </w:tc>
        <w:tc>
          <w:tcPr>
            <w:tcW w:w="682" w:type="pct"/>
          </w:tcPr>
          <w:p w:rsidR="000B5C96" w:rsidRPr="00FC20B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C20B6">
              <w:rPr>
                <w:szCs w:val="20"/>
              </w:rPr>
              <w:t>2017–18</w:t>
            </w:r>
          </w:p>
        </w:tc>
        <w:tc>
          <w:tcPr>
            <w:tcW w:w="682" w:type="pct"/>
          </w:tcPr>
          <w:p w:rsidR="000B5C96" w:rsidRPr="00FC20B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FC20B6">
              <w:rPr>
                <w:szCs w:val="20"/>
              </w:rPr>
              <w:t>2018–19</w:t>
            </w:r>
          </w:p>
        </w:tc>
        <w:tc>
          <w:tcPr>
            <w:tcW w:w="682" w:type="pct"/>
          </w:tcPr>
          <w:p w:rsidR="000B5C96" w:rsidRPr="00FC20B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FC20B6">
              <w:rPr>
                <w:szCs w:val="20"/>
              </w:rPr>
              <w:t>2019–20</w:t>
            </w:r>
          </w:p>
        </w:tc>
        <w:tc>
          <w:tcPr>
            <w:tcW w:w="681" w:type="pct"/>
          </w:tcPr>
          <w:p w:rsidR="000B5C96" w:rsidRPr="00FC20B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FC20B6">
              <w:rPr>
                <w:b/>
                <w:szCs w:val="20"/>
              </w:rPr>
              <w:t>Total</w:t>
            </w:r>
          </w:p>
        </w:tc>
      </w:tr>
      <w:tr w:rsidR="000B5C96" w:rsidRPr="00FC20B6" w:rsidTr="003F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FC20B6" w:rsidRDefault="000B5C96" w:rsidP="003F606A">
            <w:pPr>
              <w:keepNext/>
              <w:keepLines/>
              <w:spacing w:line="240" w:lineRule="auto"/>
              <w:ind w:left="57" w:right="57"/>
              <w:rPr>
                <w:szCs w:val="20"/>
              </w:rPr>
            </w:pPr>
            <w:r w:rsidRPr="00FC20B6">
              <w:rPr>
                <w:szCs w:val="20"/>
              </w:rPr>
              <w:t>Fiscal balance</w:t>
            </w:r>
          </w:p>
        </w:tc>
        <w:tc>
          <w:tcPr>
            <w:tcW w:w="682" w:type="pct"/>
          </w:tcPr>
          <w:p w:rsidR="000B5C96" w:rsidRPr="00FC20B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C20B6">
              <w:rPr>
                <w:rFonts w:ascii="Calibri" w:hAnsi="Calibri"/>
                <w:sz w:val="20"/>
                <w:szCs w:val="20"/>
              </w:rPr>
              <w:t>-1,235.0</w:t>
            </w:r>
          </w:p>
        </w:tc>
        <w:tc>
          <w:tcPr>
            <w:tcW w:w="682" w:type="pct"/>
          </w:tcPr>
          <w:p w:rsidR="000B5C96" w:rsidRPr="00FC20B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C20B6">
              <w:rPr>
                <w:rFonts w:ascii="Calibri" w:hAnsi="Calibri"/>
                <w:sz w:val="20"/>
                <w:szCs w:val="20"/>
              </w:rPr>
              <w:t>-2,575.0</w:t>
            </w:r>
          </w:p>
        </w:tc>
        <w:tc>
          <w:tcPr>
            <w:tcW w:w="682" w:type="pct"/>
          </w:tcPr>
          <w:p w:rsidR="000B5C96" w:rsidRPr="00FC20B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C20B6">
              <w:rPr>
                <w:rFonts w:ascii="Calibri" w:hAnsi="Calibri"/>
                <w:sz w:val="20"/>
                <w:szCs w:val="20"/>
              </w:rPr>
              <w:t>-2,895.0</w:t>
            </w:r>
          </w:p>
        </w:tc>
        <w:tc>
          <w:tcPr>
            <w:tcW w:w="682" w:type="pct"/>
          </w:tcPr>
          <w:p w:rsidR="000B5C96" w:rsidRPr="00FC20B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C20B6">
              <w:rPr>
                <w:rFonts w:ascii="Calibri" w:hAnsi="Calibri"/>
                <w:sz w:val="20"/>
                <w:szCs w:val="20"/>
              </w:rPr>
              <w:t>-2,930.0</w:t>
            </w:r>
          </w:p>
        </w:tc>
        <w:tc>
          <w:tcPr>
            <w:tcW w:w="681" w:type="pct"/>
          </w:tcPr>
          <w:p w:rsidR="000B5C96" w:rsidRPr="00FC20B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FC20B6">
              <w:rPr>
                <w:rFonts w:ascii="Calibri" w:hAnsi="Calibri"/>
                <w:b/>
                <w:sz w:val="20"/>
                <w:szCs w:val="20"/>
              </w:rPr>
              <w:t>-9,635.0</w:t>
            </w:r>
          </w:p>
        </w:tc>
      </w:tr>
      <w:tr w:rsidR="000B5C96" w:rsidRPr="00FC20B6" w:rsidTr="003F6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tcPr>
          <w:p w:rsidR="000B5C96" w:rsidRPr="00FC20B6" w:rsidRDefault="000B5C96" w:rsidP="003F606A">
            <w:pPr>
              <w:keepNext/>
              <w:keepLines/>
              <w:spacing w:line="240" w:lineRule="auto"/>
              <w:ind w:left="57" w:right="57"/>
              <w:rPr>
                <w:szCs w:val="20"/>
              </w:rPr>
            </w:pPr>
            <w:r w:rsidRPr="00FC20B6">
              <w:rPr>
                <w:szCs w:val="20"/>
              </w:rPr>
              <w:t>Underlying cash balance</w:t>
            </w:r>
          </w:p>
        </w:tc>
        <w:tc>
          <w:tcPr>
            <w:tcW w:w="682" w:type="pct"/>
          </w:tcPr>
          <w:p w:rsidR="000B5C96" w:rsidRPr="00FC20B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FC20B6">
              <w:rPr>
                <w:szCs w:val="20"/>
              </w:rPr>
              <w:t>-690.0</w:t>
            </w:r>
          </w:p>
        </w:tc>
        <w:tc>
          <w:tcPr>
            <w:tcW w:w="682" w:type="pct"/>
          </w:tcPr>
          <w:p w:rsidR="000B5C96" w:rsidRPr="00FC20B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FC20B6">
              <w:rPr>
                <w:szCs w:val="20"/>
              </w:rPr>
              <w:t>-1,620.0</w:t>
            </w:r>
          </w:p>
        </w:tc>
        <w:tc>
          <w:tcPr>
            <w:tcW w:w="682" w:type="pct"/>
          </w:tcPr>
          <w:p w:rsidR="000B5C96" w:rsidRPr="00FC20B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FC20B6">
              <w:rPr>
                <w:szCs w:val="20"/>
              </w:rPr>
              <w:t>-2,070.0</w:t>
            </w:r>
          </w:p>
        </w:tc>
        <w:tc>
          <w:tcPr>
            <w:tcW w:w="682" w:type="pct"/>
          </w:tcPr>
          <w:p w:rsidR="000B5C96" w:rsidRPr="00FC20B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FC20B6">
              <w:rPr>
                <w:szCs w:val="20"/>
              </w:rPr>
              <w:t>-2,915.0</w:t>
            </w:r>
          </w:p>
        </w:tc>
        <w:tc>
          <w:tcPr>
            <w:tcW w:w="681" w:type="pct"/>
          </w:tcPr>
          <w:p w:rsidR="000B5C96" w:rsidRPr="00FC20B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FC20B6">
              <w:rPr>
                <w:b/>
                <w:szCs w:val="20"/>
              </w:rPr>
              <w:t>-7,290.0</w:t>
            </w:r>
          </w:p>
        </w:tc>
      </w:tr>
    </w:tbl>
    <w:p w:rsidR="000B5C96" w:rsidRPr="003D01ED" w:rsidRDefault="000B5C96" w:rsidP="00555964">
      <w:pPr>
        <w:pStyle w:val="Footnotes"/>
        <w:numPr>
          <w:ilvl w:val="0"/>
          <w:numId w:val="359"/>
        </w:numPr>
        <w:ind w:left="284" w:hanging="284"/>
      </w:pPr>
      <w:r w:rsidRPr="003D01ED">
        <w:t xml:space="preserve">A positive number indicates an increase in the relevant budget balance, a negative number a decrease. </w:t>
      </w:r>
    </w:p>
    <w:p w:rsidR="000B5C96" w:rsidRPr="003D01ED" w:rsidRDefault="000B5C96" w:rsidP="000B5C96">
      <w:pPr>
        <w:pStyle w:val="Footnotes"/>
        <w:numPr>
          <w:ilvl w:val="0"/>
          <w:numId w:val="7"/>
        </w:numPr>
        <w:ind w:left="284" w:hanging="284"/>
      </w:pPr>
      <w:r w:rsidRPr="003D01ED">
        <w:t>Figures may not sum to totals due to rounding.</w:t>
      </w:r>
    </w:p>
    <w:p w:rsidR="000B5C96" w:rsidRPr="00FC20B6" w:rsidRDefault="000B5C96" w:rsidP="003F606A">
      <w:pPr>
        <w:pStyle w:val="CostingsH7"/>
      </w:pPr>
      <w:r w:rsidRPr="00FC20B6">
        <w:t>Key assumptions</w:t>
      </w:r>
    </w:p>
    <w:p w:rsidR="000B5C96" w:rsidRPr="00FC20B6" w:rsidRDefault="000B5C96" w:rsidP="003F606A">
      <w:pPr>
        <w:pStyle w:val="BodyText"/>
      </w:pPr>
      <w:r w:rsidRPr="00FC20B6">
        <w:t>The Parliamentary Budget Office has assumed that the legislation required to reverse those measures that have already been legislated could be passed in sufficient time to give effect to a 1 September 2016 implementation date.</w:t>
      </w:r>
    </w:p>
    <w:p w:rsidR="000B5C96" w:rsidRPr="00FC20B6" w:rsidRDefault="000B5C96" w:rsidP="003F606A">
      <w:pPr>
        <w:pStyle w:val="CostingsH7"/>
      </w:pPr>
      <w:r w:rsidRPr="00FC20B6">
        <w:t>Methodology</w:t>
      </w:r>
    </w:p>
    <w:p w:rsidR="000B5C96" w:rsidRPr="00FC20B6" w:rsidRDefault="000B5C96" w:rsidP="003F606A">
      <w:pPr>
        <w:pStyle w:val="BodyText"/>
      </w:pPr>
      <w:r w:rsidRPr="00FC20B6">
        <w:t>The change in expenditure on government payments for each year until 2019</w:t>
      </w:r>
      <w:r w:rsidRPr="00FC20B6">
        <w:noBreakHyphen/>
        <w:t xml:space="preserve">20 was estimated using the Policy and Evaluation Model (PoEM) of the Australian personal income tax and transfer system, a micro-simulation model that is based on government administrative data.  The forward estimates were then projected over the medium term to account for growth in payment rates and population.  The financial implications of health related expenses were calculated based on the number of Family Tax Benefit – Part A children affected by the proposal.    </w:t>
      </w:r>
    </w:p>
    <w:p w:rsidR="000B5C96" w:rsidRPr="00FC20B6" w:rsidRDefault="000B5C96" w:rsidP="003F606A">
      <w:pPr>
        <w:pStyle w:val="BodyText"/>
      </w:pPr>
      <w:r w:rsidRPr="00FC20B6">
        <w:t xml:space="preserve">Departmental savings were calculated by multiplying the DHS unit cost of processing FTB claims by the change in the number of families receiving FTB as a result of the proposal.  </w:t>
      </w:r>
    </w:p>
    <w:p w:rsidR="000B5C96" w:rsidRPr="00FC20B6" w:rsidRDefault="000B5C96" w:rsidP="003F606A">
      <w:pPr>
        <w:pStyle w:val="BodyText"/>
      </w:pPr>
      <w:r w:rsidRPr="00FC20B6">
        <w:t>Annual estimates and totals have been rounded to the nearest $5 million.</w:t>
      </w:r>
    </w:p>
    <w:p w:rsidR="000B5C96" w:rsidRPr="00FC20B6" w:rsidRDefault="000B5C96" w:rsidP="003F606A">
      <w:pPr>
        <w:pStyle w:val="CostingsH7"/>
      </w:pPr>
      <w:r w:rsidRPr="00FC20B6">
        <w:t>Data sources</w:t>
      </w:r>
    </w:p>
    <w:p w:rsidR="000B5C96" w:rsidRPr="00FC20B6" w:rsidRDefault="000B5C96" w:rsidP="003F606A">
      <w:pPr>
        <w:pStyle w:val="BodyText"/>
      </w:pPr>
      <w:r w:rsidRPr="00FC20B6">
        <w:t>Department of Social Services (DSS) Policy Evaluation Model (PoEM) and administrative data of income support recipients.</w:t>
      </w:r>
    </w:p>
    <w:p w:rsidR="000B5C96" w:rsidRPr="00FC20B6" w:rsidRDefault="000B5C96" w:rsidP="003F606A">
      <w:pPr>
        <w:pStyle w:val="BodyText"/>
      </w:pPr>
      <w:r w:rsidRPr="00FC20B6">
        <w:t>DSS provided population projections and measure models.</w:t>
      </w:r>
    </w:p>
    <w:p w:rsidR="000B5C96" w:rsidRPr="00FC20B6" w:rsidRDefault="000B5C96" w:rsidP="003F606A">
      <w:pPr>
        <w:pStyle w:val="BodyText"/>
      </w:pPr>
      <w:r w:rsidRPr="00FC20B6">
        <w:t>DHS funding model of unit prices.</w:t>
      </w:r>
    </w:p>
    <w:p w:rsidR="000B5C96" w:rsidRPr="00FC20B6" w:rsidRDefault="000B5C96" w:rsidP="003F606A">
      <w:pPr>
        <w:pStyle w:val="BodyText"/>
        <w:rPr>
          <w:highlight w:val="yellow"/>
        </w:rPr>
        <w:sectPr w:rsidR="000B5C96" w:rsidRPr="00FC20B6" w:rsidSect="003F606A">
          <w:headerReference w:type="even" r:id="rId674"/>
          <w:headerReference w:type="default" r:id="rId675"/>
          <w:footerReference w:type="even" r:id="rId676"/>
          <w:footerReference w:type="default" r:id="rId677"/>
          <w:headerReference w:type="first" r:id="rId678"/>
          <w:footerReference w:type="first" r:id="rId679"/>
          <w:pgSz w:w="11906" w:h="16838"/>
          <w:pgMar w:top="1361" w:right="1797" w:bottom="1474" w:left="1797" w:header="283" w:footer="454" w:gutter="0"/>
          <w:cols w:space="708"/>
          <w:docGrid w:linePitch="360"/>
        </w:sectPr>
      </w:pPr>
    </w:p>
    <w:p w:rsidR="000B5C96" w:rsidRPr="00FC6579" w:rsidRDefault="000B5C96" w:rsidP="000B5C96">
      <w:pPr>
        <w:pStyle w:val="Heading6"/>
        <w:numPr>
          <w:ilvl w:val="0"/>
          <w:numId w:val="5"/>
        </w:numPr>
        <w:tabs>
          <w:tab w:val="right" w:pos="1418"/>
          <w:tab w:val="right" w:pos="1701"/>
          <w:tab w:val="right" w:pos="1985"/>
        </w:tabs>
      </w:pPr>
      <w:r>
        <w:t>Attachment A</w:t>
      </w:r>
      <w:r w:rsidRPr="00FC6579">
        <w:t>:</w:t>
      </w:r>
      <w:r>
        <w:t xml:space="preserve"> </w:t>
      </w:r>
      <w:r w:rsidRPr="006E66A8">
        <w:t>Re</w:t>
      </w:r>
      <w:r>
        <w:t>storing Family Tax Benefit Cuts—measures to be reversed under this proposal</w:t>
      </w:r>
    </w:p>
    <w:p w:rsidR="000B5C96" w:rsidRDefault="000B5C96" w:rsidP="003F606A">
      <w:pPr>
        <w:pStyle w:val="BodyText"/>
      </w:pPr>
      <w:r>
        <w:t>This proposal would reverse:</w:t>
      </w:r>
    </w:p>
    <w:p w:rsidR="000B5C96" w:rsidRDefault="000B5C96" w:rsidP="000B5C96">
      <w:pPr>
        <w:pStyle w:val="ListBullet"/>
        <w:numPr>
          <w:ilvl w:val="0"/>
          <w:numId w:val="123"/>
        </w:numPr>
        <w:ind w:left="454" w:hanging="454"/>
      </w:pPr>
      <w:r>
        <w:t>unlegislated Family Tax Benefit (FTB) measures as at 22 February 2016</w:t>
      </w:r>
    </w:p>
    <w:p w:rsidR="000B5C96" w:rsidRDefault="000B5C96" w:rsidP="000B5C96">
      <w:pPr>
        <w:pStyle w:val="ListBullet2"/>
        <w:numPr>
          <w:ilvl w:val="0"/>
          <w:numId w:val="124"/>
        </w:numPr>
        <w:ind w:left="908" w:hanging="454"/>
      </w:pPr>
      <w:r>
        <w:tab/>
        <w:t>Phasing out the Family Tax Benefit – Part A (FTB-A) and Family Tax Benefit – Part B (FTB-B) end of year supplements.</w:t>
      </w:r>
    </w:p>
    <w:p w:rsidR="000B5C96" w:rsidRDefault="000B5C96" w:rsidP="000B5C96">
      <w:pPr>
        <w:pStyle w:val="ListBullet2"/>
        <w:numPr>
          <w:ilvl w:val="0"/>
          <w:numId w:val="124"/>
        </w:numPr>
        <w:ind w:left="908" w:hanging="454"/>
      </w:pPr>
      <w:r>
        <w:tab/>
        <w:t>Increasing rates of FTB-A and associated youth payments.</w:t>
      </w:r>
    </w:p>
    <w:p w:rsidR="000B5C96" w:rsidRDefault="000B5C96" w:rsidP="000B5C96">
      <w:pPr>
        <w:pStyle w:val="ListBullet2"/>
        <w:numPr>
          <w:ilvl w:val="0"/>
          <w:numId w:val="124"/>
        </w:numPr>
        <w:ind w:left="908" w:hanging="454"/>
      </w:pPr>
      <w:r>
        <w:tab/>
        <w:t>Increasing the rate of FTB-B for families with a child under one and reducing the rate of FTB-B for single parents with a youngest child aged 13 to 16.</w:t>
      </w:r>
    </w:p>
    <w:p w:rsidR="000B5C96" w:rsidRDefault="000B5C96" w:rsidP="000B5C96">
      <w:pPr>
        <w:pStyle w:val="ListBullet2"/>
        <w:numPr>
          <w:ilvl w:val="0"/>
          <w:numId w:val="124"/>
        </w:numPr>
        <w:ind w:left="908" w:hanging="454"/>
      </w:pPr>
      <w:r>
        <w:tab/>
        <w:t>Pausing indexation of the FTB-A higher income free threshold.</w:t>
      </w:r>
    </w:p>
    <w:p w:rsidR="000B5C96" w:rsidRDefault="000B5C96" w:rsidP="000B5C96">
      <w:pPr>
        <w:pStyle w:val="ListBullet2"/>
        <w:numPr>
          <w:ilvl w:val="0"/>
          <w:numId w:val="124"/>
        </w:numPr>
        <w:ind w:left="908" w:hanging="454"/>
      </w:pPr>
      <w:r>
        <w:tab/>
        <w:t>Adjusting the treatment of fringe benefits for income testing of FTB and associated youth payments.</w:t>
      </w:r>
    </w:p>
    <w:p w:rsidR="000B5C96" w:rsidRDefault="000B5C96" w:rsidP="000B5C96">
      <w:pPr>
        <w:pStyle w:val="ListBullet"/>
        <w:numPr>
          <w:ilvl w:val="0"/>
          <w:numId w:val="123"/>
        </w:numPr>
        <w:ind w:left="454" w:hanging="454"/>
      </w:pPr>
      <w:r>
        <w:t xml:space="preserve">unlegislated FTB measures announced since 22 February 2016 </w:t>
      </w:r>
    </w:p>
    <w:p w:rsidR="000B5C96" w:rsidRDefault="000B5C96" w:rsidP="000B5C96">
      <w:pPr>
        <w:pStyle w:val="ListBullet2"/>
        <w:numPr>
          <w:ilvl w:val="0"/>
          <w:numId w:val="124"/>
        </w:numPr>
        <w:ind w:left="908" w:hanging="454"/>
      </w:pPr>
      <w:r>
        <w:tab/>
        <w:t>Removing the Energy Supplement for new FTB entrants.</w:t>
      </w:r>
    </w:p>
    <w:p w:rsidR="000B5C96" w:rsidRDefault="000B5C96" w:rsidP="000B5C96">
      <w:pPr>
        <w:pStyle w:val="ListBullet"/>
        <w:numPr>
          <w:ilvl w:val="0"/>
          <w:numId w:val="123"/>
        </w:numPr>
        <w:ind w:left="454" w:hanging="454"/>
      </w:pPr>
      <w:r>
        <w:t>legislated FTB measures in the following Acts:</w:t>
      </w:r>
    </w:p>
    <w:p w:rsidR="000B5C96" w:rsidRPr="003B6561" w:rsidRDefault="000B5C96" w:rsidP="000B5C96">
      <w:pPr>
        <w:pStyle w:val="ListBullet2"/>
        <w:numPr>
          <w:ilvl w:val="0"/>
          <w:numId w:val="124"/>
        </w:numPr>
        <w:ind w:left="908" w:hanging="454"/>
        <w:rPr>
          <w:i/>
        </w:rPr>
      </w:pPr>
      <w:r w:rsidRPr="0025621B">
        <w:tab/>
      </w:r>
      <w:r w:rsidRPr="003B6561">
        <w:rPr>
          <w:i/>
        </w:rPr>
        <w:t>Social Services and Other Legislation Amendment Act 2013</w:t>
      </w:r>
    </w:p>
    <w:p w:rsidR="000B5C96" w:rsidRPr="00DF7B8B" w:rsidRDefault="000B5C96" w:rsidP="000B5C96">
      <w:pPr>
        <w:pStyle w:val="ListBullet3"/>
        <w:keepLines w:val="0"/>
        <w:numPr>
          <w:ilvl w:val="0"/>
          <w:numId w:val="4"/>
        </w:numPr>
        <w:tabs>
          <w:tab w:val="left" w:pos="907"/>
          <w:tab w:val="left" w:pos="1361"/>
        </w:tabs>
        <w:ind w:left="1361" w:hanging="454"/>
      </w:pPr>
      <w:r w:rsidRPr="00DF7B8B">
        <w:t>Changes to the calendar timing for how FTB-A is calculated for families with teenagers aged 16 to19.</w:t>
      </w:r>
    </w:p>
    <w:p w:rsidR="000B5C96" w:rsidRPr="00DF7B8B" w:rsidRDefault="000B5C96" w:rsidP="000B5C96">
      <w:pPr>
        <w:pStyle w:val="ListBullet3"/>
        <w:keepLines w:val="0"/>
        <w:numPr>
          <w:ilvl w:val="0"/>
          <w:numId w:val="4"/>
        </w:numPr>
        <w:tabs>
          <w:tab w:val="left" w:pos="907"/>
          <w:tab w:val="left" w:pos="1361"/>
        </w:tabs>
        <w:ind w:left="1361" w:hanging="454"/>
      </w:pPr>
      <w:r w:rsidRPr="00DF7B8B">
        <w:t xml:space="preserve">Extending the freeze on indexation of the FTB-B primary earner income limit. </w:t>
      </w:r>
    </w:p>
    <w:p w:rsidR="000B5C96" w:rsidRPr="00DF7B8B" w:rsidRDefault="000B5C96" w:rsidP="000B5C96">
      <w:pPr>
        <w:pStyle w:val="ListBullet3"/>
        <w:keepLines w:val="0"/>
        <w:numPr>
          <w:ilvl w:val="0"/>
          <w:numId w:val="4"/>
        </w:numPr>
        <w:tabs>
          <w:tab w:val="left" w:pos="907"/>
          <w:tab w:val="left" w:pos="1361"/>
        </w:tabs>
        <w:ind w:left="1361" w:hanging="454"/>
      </w:pPr>
      <w:r w:rsidRPr="00DF7B8B">
        <w:t>Extending the freeze on the FTB-A and FTB-B supplements.</w:t>
      </w:r>
    </w:p>
    <w:p w:rsidR="000B5C96" w:rsidRPr="0025621B" w:rsidRDefault="000B5C96" w:rsidP="000B5C96">
      <w:pPr>
        <w:pStyle w:val="Bullet2"/>
        <w:ind w:left="908" w:hanging="454"/>
        <w:rPr>
          <w:i/>
        </w:rPr>
      </w:pPr>
      <w:r w:rsidRPr="00DF7B8B">
        <w:rPr>
          <w:rFonts w:eastAsiaTheme="minorHAnsi" w:cstheme="minorBidi"/>
          <w:lang w:eastAsia="en-US"/>
        </w:rPr>
        <w:tab/>
        <w:t>Social Services and Other Legislation Amendment (2014 Budget Measures No. 6)</w:t>
      </w:r>
      <w:r w:rsidRPr="0025621B">
        <w:rPr>
          <w:i/>
        </w:rPr>
        <w:t xml:space="preserve"> Act 2014</w:t>
      </w:r>
    </w:p>
    <w:p w:rsidR="000B5C96" w:rsidRPr="0025621B" w:rsidRDefault="000B5C96" w:rsidP="000B5C96">
      <w:pPr>
        <w:pStyle w:val="ListBullet3"/>
        <w:keepLines w:val="0"/>
        <w:numPr>
          <w:ilvl w:val="0"/>
          <w:numId w:val="4"/>
        </w:numPr>
        <w:tabs>
          <w:tab w:val="left" w:pos="907"/>
          <w:tab w:val="left" w:pos="1361"/>
        </w:tabs>
        <w:ind w:left="1361" w:hanging="454"/>
      </w:pPr>
      <w:r w:rsidRPr="0025621B">
        <w:t xml:space="preserve">Limiting FTB-A large family supplement. </w:t>
      </w:r>
    </w:p>
    <w:p w:rsidR="000B5C96" w:rsidRPr="0025621B" w:rsidRDefault="000B5C96" w:rsidP="000B5C96">
      <w:pPr>
        <w:pStyle w:val="ListBullet3"/>
        <w:keepLines w:val="0"/>
        <w:numPr>
          <w:ilvl w:val="0"/>
          <w:numId w:val="4"/>
        </w:numPr>
        <w:tabs>
          <w:tab w:val="left" w:pos="907"/>
          <w:tab w:val="left" w:pos="1361"/>
        </w:tabs>
        <w:ind w:left="1361" w:hanging="454"/>
      </w:pPr>
      <w:r w:rsidRPr="0025621B">
        <w:t>Removing the per-child add-on to the FTB-A higher income free area.</w:t>
      </w:r>
    </w:p>
    <w:p w:rsidR="000B5C96" w:rsidRPr="0025621B" w:rsidRDefault="000B5C96" w:rsidP="000B5C96">
      <w:pPr>
        <w:pStyle w:val="ListBullet3"/>
        <w:keepLines w:val="0"/>
        <w:numPr>
          <w:ilvl w:val="0"/>
          <w:numId w:val="4"/>
        </w:numPr>
        <w:tabs>
          <w:tab w:val="left" w:pos="907"/>
          <w:tab w:val="left" w:pos="1361"/>
        </w:tabs>
        <w:ind w:left="1361" w:hanging="454"/>
      </w:pPr>
      <w:r w:rsidRPr="0025621B">
        <w:t>Reducing the primary earner income limit.</w:t>
      </w:r>
    </w:p>
    <w:p w:rsidR="000B5C96" w:rsidRPr="0025621B" w:rsidRDefault="000B5C96" w:rsidP="000B5C96">
      <w:pPr>
        <w:pStyle w:val="ListBullet3"/>
        <w:keepLines w:val="0"/>
        <w:numPr>
          <w:ilvl w:val="0"/>
          <w:numId w:val="4"/>
        </w:numPr>
        <w:tabs>
          <w:tab w:val="left" w:pos="907"/>
          <w:tab w:val="left" w:pos="1361"/>
        </w:tabs>
        <w:ind w:left="1361" w:hanging="454"/>
      </w:pPr>
      <w:r w:rsidRPr="0025621B">
        <w:t>Ceasing indexation on the energy supplement.</w:t>
      </w:r>
    </w:p>
    <w:p w:rsidR="000B5C96" w:rsidRPr="0025621B" w:rsidRDefault="000B5C96" w:rsidP="000B5C96">
      <w:pPr>
        <w:pStyle w:val="Bullet2"/>
        <w:ind w:left="908" w:hanging="454"/>
        <w:rPr>
          <w:i/>
        </w:rPr>
      </w:pPr>
      <w:r w:rsidRPr="00DF7B8B">
        <w:rPr>
          <w:rFonts w:eastAsiaTheme="minorHAnsi" w:cstheme="minorBidi"/>
          <w:lang w:eastAsia="en-US"/>
        </w:rPr>
        <w:t>Social Services Legislation Amendment (Family Payments Structural Reform and</w:t>
      </w:r>
      <w:r w:rsidRPr="0025621B">
        <w:rPr>
          <w:i/>
        </w:rPr>
        <w:t xml:space="preserve"> Participation Measures) Act 2015</w:t>
      </w:r>
    </w:p>
    <w:p w:rsidR="000B5C96" w:rsidRPr="0025621B" w:rsidRDefault="000B5C96" w:rsidP="000B5C96">
      <w:pPr>
        <w:pStyle w:val="Bullet3"/>
        <w:numPr>
          <w:ilvl w:val="2"/>
          <w:numId w:val="4"/>
        </w:numPr>
        <w:tabs>
          <w:tab w:val="clear" w:pos="624"/>
          <w:tab w:val="left" w:pos="907"/>
          <w:tab w:val="left" w:pos="1361"/>
        </w:tabs>
        <w:ind w:left="1361" w:right="0" w:hanging="454"/>
      </w:pPr>
      <w:r w:rsidRPr="0025621B">
        <w:t>Removing eligibility for FTB-B for coupled parents with youngest children aged 13</w:t>
      </w:r>
      <w:r>
        <w:t> </w:t>
      </w:r>
      <w:r w:rsidRPr="0025621B">
        <w:t>years and over.</w:t>
      </w:r>
    </w:p>
    <w:p w:rsidR="000B5C96" w:rsidRPr="003B6561" w:rsidRDefault="000B5C96" w:rsidP="000B5C96">
      <w:pPr>
        <w:pStyle w:val="ListBullet2"/>
        <w:numPr>
          <w:ilvl w:val="0"/>
          <w:numId w:val="124"/>
        </w:numPr>
        <w:ind w:left="908" w:hanging="454"/>
        <w:rPr>
          <w:i/>
        </w:rPr>
      </w:pPr>
      <w:r w:rsidRPr="003B6561">
        <w:rPr>
          <w:i/>
        </w:rPr>
        <w:tab/>
        <w:t>Social Services Legislation Amendment (Family Measures) Act 2015</w:t>
      </w:r>
    </w:p>
    <w:p w:rsidR="000B5C96" w:rsidRPr="0025621B" w:rsidRDefault="000B5C96" w:rsidP="000B5C96">
      <w:pPr>
        <w:pStyle w:val="ListBullet3"/>
        <w:keepLines w:val="0"/>
        <w:numPr>
          <w:ilvl w:val="0"/>
          <w:numId w:val="4"/>
        </w:numPr>
        <w:tabs>
          <w:tab w:val="left" w:pos="907"/>
          <w:tab w:val="left" w:pos="1361"/>
        </w:tabs>
        <w:ind w:left="1361" w:hanging="454"/>
      </w:pPr>
      <w:r w:rsidRPr="0025621B">
        <w:t>Removing FTB-A large family supplement.</w:t>
      </w:r>
    </w:p>
    <w:p w:rsidR="000B5C96" w:rsidRPr="009D6523" w:rsidRDefault="000B5C96" w:rsidP="000B5C96">
      <w:pPr>
        <w:pStyle w:val="ListBullet3"/>
        <w:keepLines w:val="0"/>
        <w:numPr>
          <w:ilvl w:val="0"/>
          <w:numId w:val="4"/>
        </w:numPr>
        <w:tabs>
          <w:tab w:val="left" w:pos="907"/>
          <w:tab w:val="left" w:pos="1361"/>
        </w:tabs>
        <w:ind w:left="1361" w:hanging="454"/>
      </w:pPr>
      <w:r w:rsidRPr="009D6523">
        <w:t>Reducing to six weeks the portability period of FTB-A.</w:t>
      </w:r>
    </w:p>
    <w:p w:rsidR="000B5C96" w:rsidRPr="00754E50" w:rsidRDefault="000B5C96" w:rsidP="000B5C96">
      <w:pPr>
        <w:pStyle w:val="ListBullet3"/>
        <w:keepLines w:val="0"/>
        <w:numPr>
          <w:ilvl w:val="0"/>
          <w:numId w:val="4"/>
        </w:numPr>
        <w:tabs>
          <w:tab w:val="left" w:pos="907"/>
          <w:tab w:val="left" w:pos="1361"/>
        </w:tabs>
        <w:ind w:left="1361" w:hanging="454"/>
        <w:sectPr w:rsidR="000B5C96" w:rsidRPr="00754E50" w:rsidSect="003F606A">
          <w:headerReference w:type="even" r:id="rId680"/>
          <w:headerReference w:type="default" r:id="rId681"/>
          <w:footerReference w:type="even" r:id="rId682"/>
          <w:footerReference w:type="default" r:id="rId683"/>
          <w:headerReference w:type="first" r:id="rId684"/>
          <w:footerReference w:type="first" r:id="rId685"/>
          <w:pgSz w:w="11906" w:h="16838"/>
          <w:pgMar w:top="1361" w:right="1797" w:bottom="1474" w:left="1797" w:header="283" w:footer="454" w:gutter="0"/>
          <w:cols w:space="708"/>
          <w:docGrid w:linePitch="360"/>
        </w:sectPr>
      </w:pPr>
    </w:p>
    <w:p w:rsidR="000B5C96" w:rsidRPr="003D01ED" w:rsidRDefault="000B5C96" w:rsidP="000B5C96">
      <w:pPr>
        <w:pStyle w:val="Heading6"/>
        <w:numPr>
          <w:ilvl w:val="0"/>
          <w:numId w:val="5"/>
        </w:numPr>
        <w:tabs>
          <w:tab w:val="right" w:pos="1418"/>
          <w:tab w:val="right" w:pos="1701"/>
          <w:tab w:val="right" w:pos="1985"/>
        </w:tabs>
      </w:pPr>
      <w:r w:rsidRPr="003D01ED">
        <w:t>Attachment B: Restoring Family Tax Benefit Cuts—financial implications</w:t>
      </w:r>
    </w:p>
    <w:p w:rsidR="000B5C96" w:rsidRPr="003D01ED" w:rsidRDefault="000B5C96" w:rsidP="003F606A">
      <w:pPr>
        <w:pStyle w:val="Caption"/>
        <w:rPr>
          <w:vertAlign w:val="superscript"/>
        </w:rPr>
      </w:pPr>
      <w:r w:rsidRPr="003D01ED">
        <w:t>Table B1: Restoring Family Tax Benefit cuts—Fiscal balance</w:t>
      </w:r>
      <w:r w:rsidRPr="003D01ED">
        <w:rPr>
          <w:vertAlign w:val="superscript"/>
        </w:rPr>
        <w:t>(a)(b)</w:t>
      </w:r>
    </w:p>
    <w:tbl>
      <w:tblPr>
        <w:tblStyle w:val="TableGrid114"/>
        <w:tblW w:w="4993" w:type="pct"/>
        <w:tblLook w:val="0680" w:firstRow="0" w:lastRow="0" w:firstColumn="1" w:lastColumn="0" w:noHBand="1" w:noVBand="1"/>
      </w:tblPr>
      <w:tblGrid>
        <w:gridCol w:w="2644"/>
        <w:gridCol w:w="1133"/>
        <w:gridCol w:w="1134"/>
        <w:gridCol w:w="1134"/>
        <w:gridCol w:w="1134"/>
        <w:gridCol w:w="1132"/>
      </w:tblGrid>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1591" w:type="pct"/>
            <w:shd w:val="clear" w:color="auto" w:fill="D7DDE9"/>
          </w:tcPr>
          <w:p w:rsidR="000B5C96" w:rsidRPr="003D01ED" w:rsidRDefault="000B5C96" w:rsidP="003F606A">
            <w:pPr>
              <w:keepNext/>
              <w:keepLines/>
              <w:spacing w:line="240" w:lineRule="auto"/>
              <w:ind w:left="57" w:right="57"/>
              <w:rPr>
                <w:szCs w:val="20"/>
              </w:rPr>
            </w:pPr>
            <w:r w:rsidRPr="003D01ED">
              <w:rPr>
                <w:szCs w:val="20"/>
              </w:rPr>
              <w:t>($m)</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D01ED">
              <w:rPr>
                <w:rFonts w:ascii="Calibri" w:hAnsi="Calibri"/>
                <w:sz w:val="20"/>
                <w:szCs w:val="20"/>
              </w:rPr>
              <w:t>2016–17</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D01ED">
              <w:rPr>
                <w:rFonts w:ascii="Calibri" w:hAnsi="Calibri"/>
                <w:sz w:val="20"/>
                <w:szCs w:val="20"/>
              </w:rPr>
              <w:t>2017–18</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D01ED">
              <w:rPr>
                <w:rFonts w:ascii="Calibri" w:hAnsi="Calibri"/>
                <w:sz w:val="20"/>
                <w:szCs w:val="20"/>
              </w:rPr>
              <w:t>2018–19</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D01ED">
              <w:rPr>
                <w:rFonts w:ascii="Calibri" w:hAnsi="Calibri"/>
                <w:sz w:val="20"/>
                <w:szCs w:val="20"/>
              </w:rPr>
              <w:t>2019–20</w:t>
            </w:r>
          </w:p>
        </w:tc>
        <w:tc>
          <w:tcPr>
            <w:tcW w:w="682" w:type="pct"/>
            <w:tcBorders>
              <w:right w:val="single" w:sz="4" w:space="0" w:color="auto"/>
            </w:tcBorders>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3D01ED">
              <w:rPr>
                <w:rFonts w:ascii="Calibri" w:hAnsi="Calibri"/>
                <w:b/>
                <w:sz w:val="20"/>
                <w:szCs w:val="20"/>
              </w:rPr>
              <w:t>Total to 2019–20</w:t>
            </w:r>
          </w:p>
        </w:tc>
      </w:tr>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right w:val="single" w:sz="4" w:space="0" w:color="auto"/>
            </w:tcBorders>
            <w:shd w:val="clear" w:color="auto" w:fill="E9ECF3"/>
          </w:tcPr>
          <w:p w:rsidR="000B5C96" w:rsidRPr="003D01ED" w:rsidRDefault="000B5C96" w:rsidP="003F606A">
            <w:pPr>
              <w:keepNext/>
              <w:keepLines/>
              <w:spacing w:line="240" w:lineRule="auto"/>
              <w:ind w:left="57" w:right="57"/>
              <w:rPr>
                <w:b/>
                <w:szCs w:val="20"/>
              </w:rPr>
            </w:pPr>
            <w:r w:rsidRPr="003D01ED">
              <w:rPr>
                <w:b/>
                <w:szCs w:val="20"/>
              </w:rPr>
              <w:t>Administered</w:t>
            </w:r>
          </w:p>
        </w:tc>
      </w:tr>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Family Tax Benefit - Part A</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-685.0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-1,740.0</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-1,915.0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-1,940.0 </w:t>
            </w:r>
          </w:p>
        </w:tc>
        <w:tc>
          <w:tcPr>
            <w:tcW w:w="682" w:type="pct"/>
            <w:tcBorders>
              <w:right w:val="single" w:sz="4" w:space="0" w:color="auto"/>
            </w:tcBorders>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3D01ED">
              <w:rPr>
                <w:rFonts w:ascii="Calibri" w:hAnsi="Calibri"/>
                <w:b/>
                <w:i/>
                <w:sz w:val="20"/>
                <w:szCs w:val="20"/>
              </w:rPr>
              <w:t xml:space="preserve">-6,280.0 </w:t>
            </w:r>
          </w:p>
        </w:tc>
      </w:tr>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Family Tax Benefit - Part B</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-520.0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-775.0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-915.0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-925.0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3D01ED">
              <w:rPr>
                <w:rFonts w:ascii="Calibri" w:hAnsi="Calibri"/>
                <w:b/>
                <w:i/>
                <w:sz w:val="20"/>
                <w:szCs w:val="20"/>
              </w:rPr>
              <w:t xml:space="preserve">-3,135.0 </w:t>
            </w:r>
          </w:p>
        </w:tc>
      </w:tr>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Disability Support Pension</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3D01ED">
              <w:rPr>
                <w:rFonts w:ascii="Calibri" w:hAnsi="Calibri"/>
                <w:b/>
                <w:i/>
                <w:sz w:val="20"/>
                <w:szCs w:val="20"/>
              </w:rPr>
              <w:t xml:space="preserve"> 5.0 </w:t>
            </w:r>
          </w:p>
        </w:tc>
      </w:tr>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Special Benefit</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3D01ED">
              <w:rPr>
                <w:rFonts w:ascii="Calibri" w:hAnsi="Calibri"/>
                <w:b/>
                <w:i/>
                <w:sz w:val="20"/>
                <w:szCs w:val="20"/>
              </w:rPr>
              <w:t xml:space="preserve"> .. </w:t>
            </w:r>
          </w:p>
        </w:tc>
      </w:tr>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Youth Allowance - Other</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3D01ED">
              <w:rPr>
                <w:rFonts w:ascii="Calibri" w:hAnsi="Calibri"/>
                <w:b/>
                <w:i/>
                <w:sz w:val="20"/>
                <w:szCs w:val="20"/>
              </w:rPr>
              <w:t xml:space="preserve"> .. </w:t>
            </w:r>
          </w:p>
        </w:tc>
      </w:tr>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Youth Allowance - Student</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3D01ED">
              <w:rPr>
                <w:rFonts w:ascii="Calibri" w:hAnsi="Calibri"/>
                <w:b/>
                <w:i/>
                <w:sz w:val="20"/>
                <w:szCs w:val="20"/>
              </w:rPr>
              <w:t xml:space="preserve">-5.0 </w:t>
            </w:r>
          </w:p>
        </w:tc>
      </w:tr>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Health related expenses</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-15.0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-40.0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-45.0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-45.0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3D01ED">
              <w:rPr>
                <w:rFonts w:ascii="Calibri" w:hAnsi="Calibri"/>
                <w:b/>
                <w:i/>
                <w:sz w:val="20"/>
                <w:szCs w:val="20"/>
              </w:rPr>
              <w:t xml:space="preserve">-140.0 </w:t>
            </w:r>
          </w:p>
        </w:tc>
      </w:tr>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tcPr>
          <w:p w:rsidR="000B5C96" w:rsidRPr="003D01ED" w:rsidRDefault="000B5C96" w:rsidP="003F606A">
            <w:pPr>
              <w:keepNext/>
              <w:keepLines/>
              <w:spacing w:line="240" w:lineRule="auto"/>
              <w:ind w:left="57" w:right="57"/>
              <w:rPr>
                <w:b/>
                <w:szCs w:val="20"/>
              </w:rPr>
            </w:pPr>
            <w:r w:rsidRPr="003D01ED">
              <w:rPr>
                <w:b/>
                <w:szCs w:val="20"/>
              </w:rPr>
              <w:t>Total - administered</w:t>
            </w:r>
          </w:p>
        </w:tc>
        <w:tc>
          <w:tcPr>
            <w:tcW w:w="682" w:type="pct"/>
            <w:shd w:val="clear" w:color="auto" w:fill="auto"/>
            <w:vAlign w:val="bottom"/>
          </w:tcPr>
          <w:p w:rsidR="000B5C96" w:rsidRPr="003D01ED"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0"/>
                <w:szCs w:val="20"/>
              </w:rPr>
            </w:pPr>
            <w:r w:rsidRPr="003D01ED">
              <w:rPr>
                <w:rFonts w:ascii="Calibri" w:hAnsi="Calibri"/>
                <w:b/>
                <w:iCs/>
                <w:color w:val="000000"/>
                <w:sz w:val="20"/>
                <w:szCs w:val="20"/>
              </w:rPr>
              <w:t xml:space="preserve">-1,220.0 </w:t>
            </w:r>
          </w:p>
        </w:tc>
        <w:tc>
          <w:tcPr>
            <w:tcW w:w="682" w:type="pct"/>
            <w:shd w:val="clear" w:color="auto" w:fill="auto"/>
            <w:vAlign w:val="bottom"/>
          </w:tcPr>
          <w:p w:rsidR="000B5C96" w:rsidRPr="003D01ED"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0"/>
                <w:szCs w:val="20"/>
              </w:rPr>
            </w:pPr>
            <w:r w:rsidRPr="003D01ED">
              <w:rPr>
                <w:rFonts w:ascii="Calibri" w:hAnsi="Calibri"/>
                <w:b/>
                <w:iCs/>
                <w:color w:val="000000"/>
                <w:sz w:val="20"/>
                <w:szCs w:val="20"/>
              </w:rPr>
              <w:t xml:space="preserve">-2,555.0 </w:t>
            </w:r>
          </w:p>
        </w:tc>
        <w:tc>
          <w:tcPr>
            <w:tcW w:w="682" w:type="pct"/>
            <w:shd w:val="clear" w:color="auto" w:fill="auto"/>
            <w:vAlign w:val="bottom"/>
          </w:tcPr>
          <w:p w:rsidR="000B5C96" w:rsidRPr="003D01ED"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0"/>
                <w:szCs w:val="20"/>
              </w:rPr>
            </w:pPr>
            <w:r w:rsidRPr="003D01ED">
              <w:rPr>
                <w:rFonts w:ascii="Calibri" w:hAnsi="Calibri"/>
                <w:b/>
                <w:iCs/>
                <w:color w:val="000000"/>
                <w:sz w:val="20"/>
                <w:szCs w:val="20"/>
              </w:rPr>
              <w:t xml:space="preserve">-2,875.0 </w:t>
            </w:r>
          </w:p>
        </w:tc>
        <w:tc>
          <w:tcPr>
            <w:tcW w:w="682" w:type="pct"/>
            <w:shd w:val="clear" w:color="auto" w:fill="auto"/>
            <w:vAlign w:val="bottom"/>
          </w:tcPr>
          <w:p w:rsidR="000B5C96" w:rsidRPr="003D01ED"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0"/>
                <w:szCs w:val="20"/>
              </w:rPr>
            </w:pPr>
            <w:r w:rsidRPr="003D01ED">
              <w:rPr>
                <w:rFonts w:ascii="Calibri" w:hAnsi="Calibri"/>
                <w:b/>
                <w:iCs/>
                <w:color w:val="000000"/>
                <w:sz w:val="20"/>
                <w:szCs w:val="20"/>
              </w:rPr>
              <w:t xml:space="preserve">-2,910.0 </w:t>
            </w:r>
          </w:p>
        </w:tc>
        <w:tc>
          <w:tcPr>
            <w:tcW w:w="682" w:type="pct"/>
            <w:shd w:val="clear" w:color="auto" w:fill="auto"/>
            <w:vAlign w:val="bottom"/>
          </w:tcPr>
          <w:p w:rsidR="000B5C96" w:rsidRPr="003D01ED"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0"/>
                <w:szCs w:val="20"/>
              </w:rPr>
            </w:pPr>
            <w:r w:rsidRPr="003D01ED">
              <w:rPr>
                <w:rFonts w:ascii="Calibri" w:hAnsi="Calibri"/>
                <w:b/>
                <w:iCs/>
                <w:color w:val="000000"/>
                <w:sz w:val="20"/>
                <w:szCs w:val="20"/>
              </w:rPr>
              <w:t xml:space="preserve">-9,555.0 </w:t>
            </w:r>
          </w:p>
        </w:tc>
      </w:tr>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Departmental (DHS)</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-15.0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-20.0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-20.0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3D01ED">
              <w:rPr>
                <w:rFonts w:ascii="Calibri" w:hAnsi="Calibri"/>
                <w:i/>
                <w:sz w:val="20"/>
                <w:szCs w:val="20"/>
              </w:rPr>
              <w:t xml:space="preserve">-20.0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3D01ED">
              <w:rPr>
                <w:rFonts w:ascii="Calibri" w:hAnsi="Calibri"/>
                <w:b/>
                <w:i/>
                <w:sz w:val="20"/>
                <w:szCs w:val="20"/>
              </w:rPr>
              <w:t xml:space="preserve">-80.0 </w:t>
            </w:r>
          </w:p>
        </w:tc>
      </w:tr>
      <w:tr w:rsidR="000B5C96" w:rsidRPr="003D01ED" w:rsidTr="003F606A">
        <w:trPr>
          <w:cantSplit/>
        </w:trPr>
        <w:tc>
          <w:tcPr>
            <w:cnfStyle w:val="001000000000" w:firstRow="0" w:lastRow="0" w:firstColumn="1" w:lastColumn="0" w:oddVBand="0" w:evenVBand="0" w:oddHBand="0" w:evenHBand="0" w:firstRowFirstColumn="0" w:firstRowLastColumn="0" w:lastRowFirstColumn="0" w:lastRowLastColumn="0"/>
            <w:tcW w:w="1591" w:type="pct"/>
            <w:shd w:val="clear" w:color="auto" w:fill="D7DDE9"/>
          </w:tcPr>
          <w:p w:rsidR="000B5C96" w:rsidRPr="003D01ED" w:rsidRDefault="000B5C96" w:rsidP="003F606A">
            <w:pPr>
              <w:keepNext/>
              <w:keepLines/>
              <w:spacing w:line="240" w:lineRule="auto"/>
              <w:ind w:left="57" w:right="57"/>
              <w:rPr>
                <w:b/>
                <w:szCs w:val="20"/>
              </w:rPr>
            </w:pPr>
            <w:r w:rsidRPr="003D01ED">
              <w:rPr>
                <w:b/>
                <w:szCs w:val="20"/>
              </w:rPr>
              <w:t>Total</w:t>
            </w:r>
          </w:p>
        </w:tc>
        <w:tc>
          <w:tcPr>
            <w:tcW w:w="682" w:type="pct"/>
            <w:shd w:val="clear" w:color="auto" w:fill="D7DDE9"/>
          </w:tcPr>
          <w:p w:rsidR="000B5C96" w:rsidRPr="003D01ED"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3D01ED">
              <w:rPr>
                <w:rFonts w:ascii="Calibri" w:hAnsi="Calibri"/>
                <w:b/>
                <w:sz w:val="20"/>
                <w:szCs w:val="20"/>
              </w:rPr>
              <w:t xml:space="preserve">-1,235.0 </w:t>
            </w:r>
          </w:p>
        </w:tc>
        <w:tc>
          <w:tcPr>
            <w:tcW w:w="682" w:type="pct"/>
            <w:shd w:val="clear" w:color="auto" w:fill="D7DDE9"/>
          </w:tcPr>
          <w:p w:rsidR="000B5C96" w:rsidRPr="003D01ED"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3D01ED">
              <w:rPr>
                <w:rFonts w:ascii="Calibri" w:hAnsi="Calibri"/>
                <w:b/>
                <w:sz w:val="20"/>
                <w:szCs w:val="20"/>
              </w:rPr>
              <w:t xml:space="preserve">-2,575.0 </w:t>
            </w:r>
          </w:p>
        </w:tc>
        <w:tc>
          <w:tcPr>
            <w:tcW w:w="682" w:type="pct"/>
            <w:shd w:val="clear" w:color="auto" w:fill="D7DDE9"/>
          </w:tcPr>
          <w:p w:rsidR="000B5C96" w:rsidRPr="003D01ED"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3D01ED">
              <w:rPr>
                <w:rFonts w:ascii="Calibri" w:hAnsi="Calibri"/>
                <w:b/>
                <w:sz w:val="20"/>
                <w:szCs w:val="20"/>
              </w:rPr>
              <w:t xml:space="preserve">-2,895.0 </w:t>
            </w:r>
          </w:p>
        </w:tc>
        <w:tc>
          <w:tcPr>
            <w:tcW w:w="682" w:type="pct"/>
            <w:shd w:val="clear" w:color="auto" w:fill="D7DDE9"/>
          </w:tcPr>
          <w:p w:rsidR="000B5C96" w:rsidRPr="003D01ED"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3D01ED">
              <w:rPr>
                <w:rFonts w:ascii="Calibri" w:hAnsi="Calibri"/>
                <w:b/>
                <w:sz w:val="20"/>
                <w:szCs w:val="20"/>
              </w:rPr>
              <w:t xml:space="preserve">-2,930.0 </w:t>
            </w:r>
          </w:p>
        </w:tc>
        <w:tc>
          <w:tcPr>
            <w:tcW w:w="682" w:type="pct"/>
            <w:shd w:val="clear" w:color="auto" w:fill="D7DDE9"/>
          </w:tcPr>
          <w:p w:rsidR="000B5C96" w:rsidRPr="003D01ED"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3D01ED">
              <w:rPr>
                <w:rFonts w:ascii="Calibri" w:hAnsi="Calibri"/>
                <w:b/>
                <w:sz w:val="20"/>
                <w:szCs w:val="20"/>
              </w:rPr>
              <w:t xml:space="preserve">-9,635.0 </w:t>
            </w:r>
          </w:p>
        </w:tc>
      </w:tr>
    </w:tbl>
    <w:p w:rsidR="000B5C96" w:rsidRDefault="000B5C96" w:rsidP="00555964">
      <w:pPr>
        <w:pStyle w:val="Footnotes"/>
        <w:numPr>
          <w:ilvl w:val="0"/>
          <w:numId w:val="360"/>
        </w:numPr>
        <w:ind w:left="284" w:hanging="284"/>
      </w:pPr>
      <w:r w:rsidRPr="003D01ED">
        <w:t xml:space="preserve">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  </w:t>
      </w:r>
    </w:p>
    <w:p w:rsidR="000B5C96" w:rsidRPr="003D01ED" w:rsidRDefault="000B5C96" w:rsidP="000B5C96">
      <w:pPr>
        <w:pStyle w:val="Footnotes"/>
        <w:numPr>
          <w:ilvl w:val="0"/>
          <w:numId w:val="7"/>
        </w:numPr>
        <w:ind w:left="284" w:hanging="284"/>
      </w:pPr>
      <w:r w:rsidRPr="003D01ED">
        <w:t>Figures may not sum to totals due to rounding.</w:t>
      </w:r>
    </w:p>
    <w:p w:rsidR="000B5C96" w:rsidRPr="00A5190E" w:rsidRDefault="000B5C96" w:rsidP="000B5C96">
      <w:pPr>
        <w:pStyle w:val="Footnotes"/>
        <w:numPr>
          <w:ilvl w:val="0"/>
          <w:numId w:val="121"/>
        </w:numPr>
        <w:ind w:left="284" w:hanging="284"/>
        <w:rPr>
          <w:szCs w:val="18"/>
        </w:rPr>
      </w:pPr>
      <w:r w:rsidRPr="00A5190E">
        <w:rPr>
          <w:szCs w:val="18"/>
        </w:rPr>
        <w:t xml:space="preserve">Indicates a nil value. </w:t>
      </w:r>
    </w:p>
    <w:p w:rsidR="000B5C96" w:rsidRPr="00A5190E" w:rsidRDefault="000B5C96" w:rsidP="003F606A">
      <w:pPr>
        <w:pStyle w:val="Footnotes"/>
        <w:numPr>
          <w:ilvl w:val="0"/>
          <w:numId w:val="0"/>
        </w:numPr>
        <w:ind w:left="284" w:hanging="284"/>
        <w:rPr>
          <w:szCs w:val="18"/>
        </w:rPr>
      </w:pPr>
      <w:r w:rsidRPr="00A5190E">
        <w:rPr>
          <w:szCs w:val="18"/>
        </w:rPr>
        <w:t>..</w:t>
      </w:r>
      <w:r>
        <w:rPr>
          <w:szCs w:val="18"/>
        </w:rPr>
        <w:tab/>
      </w:r>
      <w:r w:rsidRPr="00A5190E">
        <w:rPr>
          <w:szCs w:val="18"/>
        </w:rPr>
        <w:tab/>
        <w:t>Indicates not zero, but rounded to zero.</w:t>
      </w:r>
    </w:p>
    <w:p w:rsidR="000B5C96" w:rsidRPr="003D01ED" w:rsidRDefault="000B5C96" w:rsidP="003F606A">
      <w:pPr>
        <w:pStyle w:val="Caption"/>
        <w:rPr>
          <w:vertAlign w:val="superscript"/>
        </w:rPr>
      </w:pPr>
      <w:r w:rsidRPr="003D01ED">
        <w:t>Table B2: Restoring Family Tax Benefit cuts—Underlying cash balance</w:t>
      </w:r>
      <w:r w:rsidRPr="003D01ED">
        <w:rPr>
          <w:vertAlign w:val="superscript"/>
        </w:rPr>
        <w:t>(a)(b)</w:t>
      </w:r>
    </w:p>
    <w:tbl>
      <w:tblPr>
        <w:tblStyle w:val="TableGrid114"/>
        <w:tblW w:w="4993" w:type="pct"/>
        <w:tblLook w:val="0680" w:firstRow="0" w:lastRow="0" w:firstColumn="1" w:lastColumn="0" w:noHBand="1" w:noVBand="1"/>
      </w:tblPr>
      <w:tblGrid>
        <w:gridCol w:w="2644"/>
        <w:gridCol w:w="1133"/>
        <w:gridCol w:w="1134"/>
        <w:gridCol w:w="1134"/>
        <w:gridCol w:w="1134"/>
        <w:gridCol w:w="1132"/>
      </w:tblGrid>
      <w:tr w:rsidR="000B5C96" w:rsidRPr="003D01ED" w:rsidTr="003F606A">
        <w:tc>
          <w:tcPr>
            <w:cnfStyle w:val="001000000000" w:firstRow="0" w:lastRow="0" w:firstColumn="1" w:lastColumn="0" w:oddVBand="0" w:evenVBand="0" w:oddHBand="0" w:evenHBand="0" w:firstRowFirstColumn="0" w:firstRowLastColumn="0" w:lastRowFirstColumn="0" w:lastRowLastColumn="0"/>
            <w:tcW w:w="1591" w:type="pct"/>
            <w:shd w:val="clear" w:color="auto" w:fill="D7DDE9"/>
          </w:tcPr>
          <w:p w:rsidR="000B5C96" w:rsidRPr="003D01ED" w:rsidRDefault="000B5C96" w:rsidP="003F606A">
            <w:pPr>
              <w:keepNext/>
              <w:keepLines/>
              <w:spacing w:line="240" w:lineRule="auto"/>
              <w:ind w:left="57" w:right="57"/>
              <w:rPr>
                <w:szCs w:val="20"/>
              </w:rPr>
            </w:pPr>
            <w:r w:rsidRPr="003D01ED">
              <w:rPr>
                <w:szCs w:val="20"/>
              </w:rPr>
              <w:t>($m)</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D01ED">
              <w:rPr>
                <w:rFonts w:ascii="Calibri" w:hAnsi="Calibri"/>
                <w:sz w:val="20"/>
                <w:szCs w:val="20"/>
              </w:rPr>
              <w:t>2016–17</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D01ED">
              <w:rPr>
                <w:rFonts w:ascii="Calibri" w:hAnsi="Calibri"/>
                <w:sz w:val="20"/>
                <w:szCs w:val="20"/>
              </w:rPr>
              <w:t>2017–18</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D01ED">
              <w:rPr>
                <w:rFonts w:ascii="Calibri" w:hAnsi="Calibri"/>
                <w:sz w:val="20"/>
                <w:szCs w:val="20"/>
              </w:rPr>
              <w:t>2018–19</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D01ED">
              <w:rPr>
                <w:rFonts w:ascii="Calibri" w:hAnsi="Calibri"/>
                <w:sz w:val="20"/>
                <w:szCs w:val="20"/>
              </w:rPr>
              <w:t>2019–20</w:t>
            </w:r>
          </w:p>
        </w:tc>
        <w:tc>
          <w:tcPr>
            <w:tcW w:w="682" w:type="pct"/>
            <w:tcBorders>
              <w:right w:val="single" w:sz="4" w:space="0" w:color="auto"/>
            </w:tcBorders>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3D01ED">
              <w:rPr>
                <w:rFonts w:ascii="Calibri" w:hAnsi="Calibri"/>
                <w:b/>
                <w:sz w:val="20"/>
                <w:szCs w:val="20"/>
              </w:rPr>
              <w:t>Total to 2019–20</w:t>
            </w:r>
          </w:p>
        </w:tc>
      </w:tr>
      <w:tr w:rsidR="000B5C96" w:rsidRPr="003D01ED" w:rsidTr="003F606A">
        <w:tc>
          <w:tcPr>
            <w:cnfStyle w:val="001000000000" w:firstRow="0" w:lastRow="0" w:firstColumn="1" w:lastColumn="0" w:oddVBand="0" w:evenVBand="0" w:oddHBand="0" w:evenHBand="0" w:firstRowFirstColumn="0" w:firstRowLastColumn="0" w:lastRowFirstColumn="0" w:lastRowLastColumn="0"/>
            <w:tcW w:w="5000" w:type="pct"/>
            <w:gridSpan w:val="6"/>
            <w:tcBorders>
              <w:right w:val="single" w:sz="4" w:space="0" w:color="auto"/>
            </w:tcBorders>
            <w:shd w:val="clear" w:color="auto" w:fill="E9ECF3"/>
          </w:tcPr>
          <w:p w:rsidR="000B5C96" w:rsidRPr="003D01ED" w:rsidRDefault="000B5C96" w:rsidP="003F606A">
            <w:pPr>
              <w:keepNext/>
              <w:keepLines/>
              <w:spacing w:line="240" w:lineRule="auto"/>
              <w:ind w:left="57" w:right="57"/>
              <w:rPr>
                <w:b/>
                <w:i/>
                <w:iCs/>
                <w:color w:val="000000"/>
                <w:szCs w:val="20"/>
              </w:rPr>
            </w:pPr>
            <w:r w:rsidRPr="003D01ED">
              <w:rPr>
                <w:b/>
                <w:szCs w:val="20"/>
              </w:rPr>
              <w:t>Administered</w:t>
            </w:r>
          </w:p>
        </w:tc>
      </w:tr>
      <w:tr w:rsidR="000B5C96" w:rsidRPr="003D01ED"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Family Tax Benefit - Part A</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-260.0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-940.0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-1,235.0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-1,930.0 </w:t>
            </w:r>
          </w:p>
        </w:tc>
        <w:tc>
          <w:tcPr>
            <w:tcW w:w="682" w:type="pct"/>
            <w:tcBorders>
              <w:right w:val="single" w:sz="4" w:space="0" w:color="auto"/>
            </w:tcBorders>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0"/>
                <w:szCs w:val="20"/>
              </w:rPr>
            </w:pPr>
            <w:r w:rsidRPr="003D01ED">
              <w:rPr>
                <w:rFonts w:ascii="Calibri" w:hAnsi="Calibri"/>
                <w:b/>
                <w:i/>
                <w:iCs/>
                <w:color w:val="000000"/>
                <w:sz w:val="20"/>
                <w:szCs w:val="20"/>
              </w:rPr>
              <w:t>-4,360</w:t>
            </w:r>
            <w:r w:rsidRPr="003D01ED">
              <w:rPr>
                <w:rFonts w:ascii="Calibri" w:hAnsi="Calibri"/>
                <w:b/>
                <w:i/>
                <w:sz w:val="20"/>
                <w:szCs w:val="20"/>
              </w:rPr>
              <w:t>.0</w:t>
            </w:r>
            <w:r w:rsidRPr="003D01ED">
              <w:rPr>
                <w:rFonts w:ascii="Calibri" w:hAnsi="Calibri"/>
                <w:b/>
                <w:i/>
                <w:iCs/>
                <w:color w:val="000000"/>
                <w:sz w:val="20"/>
                <w:szCs w:val="20"/>
              </w:rPr>
              <w:t xml:space="preserve"> </w:t>
            </w:r>
          </w:p>
        </w:tc>
      </w:tr>
      <w:tr w:rsidR="000B5C96" w:rsidRPr="003D01ED"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Family Tax Benefit - Part B</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-400.0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-625.0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-770.0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-920.0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0"/>
                <w:szCs w:val="20"/>
              </w:rPr>
            </w:pPr>
            <w:r w:rsidRPr="003D01ED">
              <w:rPr>
                <w:rFonts w:ascii="Calibri" w:hAnsi="Calibri"/>
                <w:b/>
                <w:i/>
                <w:iCs/>
                <w:color w:val="000000"/>
                <w:sz w:val="20"/>
                <w:szCs w:val="20"/>
              </w:rPr>
              <w:t>-2,710</w:t>
            </w:r>
            <w:r w:rsidRPr="003D01ED">
              <w:rPr>
                <w:rFonts w:ascii="Calibri" w:hAnsi="Calibri"/>
                <w:b/>
                <w:i/>
                <w:sz w:val="20"/>
                <w:szCs w:val="20"/>
              </w:rPr>
              <w:t>.0</w:t>
            </w:r>
            <w:r w:rsidRPr="003D01ED">
              <w:rPr>
                <w:rFonts w:ascii="Calibri" w:hAnsi="Calibri"/>
                <w:b/>
                <w:i/>
                <w:iCs/>
                <w:color w:val="000000"/>
                <w:sz w:val="20"/>
                <w:szCs w:val="20"/>
              </w:rPr>
              <w:t xml:space="preserve"> </w:t>
            </w:r>
          </w:p>
        </w:tc>
      </w:tr>
      <w:tr w:rsidR="000B5C96" w:rsidRPr="003D01ED"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Disability Support Pension</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0"/>
                <w:szCs w:val="20"/>
              </w:rPr>
            </w:pPr>
            <w:r w:rsidRPr="003D01ED">
              <w:rPr>
                <w:rFonts w:ascii="Calibri" w:hAnsi="Calibri"/>
                <w:b/>
                <w:i/>
                <w:iCs/>
                <w:color w:val="000000"/>
                <w:sz w:val="20"/>
                <w:szCs w:val="20"/>
              </w:rPr>
              <w:t xml:space="preserve"> 5</w:t>
            </w:r>
            <w:r w:rsidRPr="003D01ED">
              <w:rPr>
                <w:rFonts w:ascii="Calibri" w:hAnsi="Calibri"/>
                <w:b/>
                <w:i/>
                <w:sz w:val="20"/>
                <w:szCs w:val="20"/>
              </w:rPr>
              <w:t>.0</w:t>
            </w:r>
            <w:r w:rsidRPr="003D01ED">
              <w:rPr>
                <w:rFonts w:ascii="Calibri" w:hAnsi="Calibri"/>
                <w:b/>
                <w:i/>
                <w:iCs/>
                <w:color w:val="000000"/>
                <w:sz w:val="20"/>
                <w:szCs w:val="20"/>
              </w:rPr>
              <w:t xml:space="preserve"> </w:t>
            </w:r>
          </w:p>
        </w:tc>
      </w:tr>
      <w:tr w:rsidR="000B5C96" w:rsidRPr="003D01ED"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Special Benefit</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0"/>
                <w:szCs w:val="20"/>
              </w:rPr>
            </w:pPr>
            <w:r w:rsidRPr="003D01ED">
              <w:rPr>
                <w:rFonts w:ascii="Calibri" w:hAnsi="Calibri"/>
                <w:b/>
                <w:i/>
                <w:iCs/>
                <w:color w:val="000000"/>
                <w:sz w:val="20"/>
                <w:szCs w:val="20"/>
              </w:rPr>
              <w:t xml:space="preserve"> .. </w:t>
            </w:r>
          </w:p>
        </w:tc>
      </w:tr>
      <w:tr w:rsidR="000B5C96" w:rsidRPr="003D01ED"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Youth Allowance - Other</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0"/>
                <w:szCs w:val="20"/>
              </w:rPr>
            </w:pPr>
            <w:r w:rsidRPr="003D01ED">
              <w:rPr>
                <w:rFonts w:ascii="Calibri" w:hAnsi="Calibri"/>
                <w:b/>
                <w:i/>
                <w:iCs/>
                <w:color w:val="000000"/>
                <w:sz w:val="20"/>
                <w:szCs w:val="20"/>
              </w:rPr>
              <w:t xml:space="preserve"> .. </w:t>
            </w:r>
          </w:p>
        </w:tc>
      </w:tr>
      <w:tr w:rsidR="000B5C96" w:rsidRPr="003D01ED"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Youth Allowance - Student</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 ..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0"/>
                <w:szCs w:val="20"/>
              </w:rPr>
            </w:pPr>
            <w:r w:rsidRPr="003D01ED">
              <w:rPr>
                <w:rFonts w:ascii="Calibri" w:hAnsi="Calibri"/>
                <w:b/>
                <w:i/>
                <w:iCs/>
                <w:color w:val="000000"/>
                <w:sz w:val="20"/>
                <w:szCs w:val="20"/>
              </w:rPr>
              <w:t>-5</w:t>
            </w:r>
            <w:r w:rsidRPr="003D01ED">
              <w:rPr>
                <w:rFonts w:ascii="Calibri" w:hAnsi="Calibri"/>
                <w:b/>
                <w:i/>
                <w:sz w:val="20"/>
                <w:szCs w:val="20"/>
              </w:rPr>
              <w:t>.0</w:t>
            </w:r>
            <w:r w:rsidRPr="003D01ED">
              <w:rPr>
                <w:rFonts w:ascii="Calibri" w:hAnsi="Calibri"/>
                <w:b/>
                <w:i/>
                <w:iCs/>
                <w:color w:val="000000"/>
                <w:sz w:val="20"/>
                <w:szCs w:val="20"/>
              </w:rPr>
              <w:t xml:space="preserve"> </w:t>
            </w:r>
          </w:p>
        </w:tc>
      </w:tr>
      <w:tr w:rsidR="000B5C96" w:rsidRPr="003D01ED"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Health related expenses</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-15.0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-35.0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-45.0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-45.0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0"/>
                <w:szCs w:val="20"/>
              </w:rPr>
            </w:pPr>
            <w:r w:rsidRPr="003D01ED">
              <w:rPr>
                <w:rFonts w:ascii="Calibri" w:hAnsi="Calibri"/>
                <w:b/>
                <w:i/>
                <w:iCs/>
                <w:color w:val="000000"/>
                <w:sz w:val="20"/>
                <w:szCs w:val="20"/>
              </w:rPr>
              <w:t>-140</w:t>
            </w:r>
            <w:r w:rsidRPr="003D01ED">
              <w:rPr>
                <w:rFonts w:ascii="Calibri" w:hAnsi="Calibri"/>
                <w:b/>
                <w:i/>
                <w:sz w:val="20"/>
                <w:szCs w:val="20"/>
              </w:rPr>
              <w:t>.0</w:t>
            </w:r>
            <w:r w:rsidRPr="003D01ED">
              <w:rPr>
                <w:rFonts w:ascii="Calibri" w:hAnsi="Calibri"/>
                <w:b/>
                <w:i/>
                <w:iCs/>
                <w:color w:val="000000"/>
                <w:sz w:val="20"/>
                <w:szCs w:val="20"/>
              </w:rPr>
              <w:t xml:space="preserve"> </w:t>
            </w:r>
          </w:p>
        </w:tc>
      </w:tr>
      <w:tr w:rsidR="000B5C96" w:rsidRPr="003D01ED" w:rsidTr="003F606A">
        <w:tc>
          <w:tcPr>
            <w:cnfStyle w:val="001000000000" w:firstRow="0" w:lastRow="0" w:firstColumn="1" w:lastColumn="0" w:oddVBand="0" w:evenVBand="0" w:oddHBand="0" w:evenHBand="0" w:firstRowFirstColumn="0" w:firstRowLastColumn="0" w:lastRowFirstColumn="0" w:lastRowLastColumn="0"/>
            <w:tcW w:w="1591" w:type="pct"/>
            <w:shd w:val="clear" w:color="auto" w:fill="auto"/>
          </w:tcPr>
          <w:p w:rsidR="000B5C96" w:rsidRPr="003D01ED" w:rsidRDefault="000B5C96" w:rsidP="003F606A">
            <w:pPr>
              <w:keepNext/>
              <w:keepLines/>
              <w:spacing w:line="240" w:lineRule="auto"/>
              <w:ind w:left="57" w:right="57"/>
              <w:rPr>
                <w:szCs w:val="20"/>
              </w:rPr>
            </w:pPr>
            <w:r w:rsidRPr="003D01ED">
              <w:rPr>
                <w:b/>
                <w:szCs w:val="20"/>
              </w:rPr>
              <w:t>Total - administered</w:t>
            </w:r>
          </w:p>
        </w:tc>
        <w:tc>
          <w:tcPr>
            <w:tcW w:w="682" w:type="pct"/>
            <w:shd w:val="clear" w:color="auto" w:fill="auto"/>
            <w:vAlign w:val="bottom"/>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0"/>
                <w:szCs w:val="20"/>
              </w:rPr>
            </w:pPr>
            <w:r w:rsidRPr="003D01ED">
              <w:rPr>
                <w:rFonts w:ascii="Calibri" w:hAnsi="Calibri"/>
                <w:b/>
                <w:iCs/>
                <w:color w:val="000000"/>
                <w:sz w:val="20"/>
                <w:szCs w:val="20"/>
              </w:rPr>
              <w:t xml:space="preserve">-675.0 </w:t>
            </w:r>
          </w:p>
        </w:tc>
        <w:tc>
          <w:tcPr>
            <w:tcW w:w="682" w:type="pct"/>
            <w:shd w:val="clear" w:color="auto" w:fill="auto"/>
            <w:vAlign w:val="bottom"/>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0"/>
                <w:szCs w:val="20"/>
              </w:rPr>
            </w:pPr>
            <w:r w:rsidRPr="003D01ED">
              <w:rPr>
                <w:rFonts w:ascii="Calibri" w:hAnsi="Calibri"/>
                <w:b/>
                <w:iCs/>
                <w:color w:val="000000"/>
                <w:sz w:val="20"/>
                <w:szCs w:val="20"/>
              </w:rPr>
              <w:t xml:space="preserve">-1,600.0 </w:t>
            </w:r>
          </w:p>
        </w:tc>
        <w:tc>
          <w:tcPr>
            <w:tcW w:w="682" w:type="pct"/>
            <w:shd w:val="clear" w:color="auto" w:fill="auto"/>
            <w:vAlign w:val="bottom"/>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0"/>
                <w:szCs w:val="20"/>
              </w:rPr>
            </w:pPr>
            <w:r w:rsidRPr="003D01ED">
              <w:rPr>
                <w:rFonts w:ascii="Calibri" w:hAnsi="Calibri"/>
                <w:b/>
                <w:iCs/>
                <w:color w:val="000000"/>
                <w:sz w:val="20"/>
                <w:szCs w:val="20"/>
              </w:rPr>
              <w:t xml:space="preserve">-2,050.0 </w:t>
            </w:r>
          </w:p>
        </w:tc>
        <w:tc>
          <w:tcPr>
            <w:tcW w:w="682" w:type="pct"/>
            <w:shd w:val="clear" w:color="auto" w:fill="auto"/>
            <w:vAlign w:val="bottom"/>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0"/>
                <w:szCs w:val="20"/>
              </w:rPr>
            </w:pPr>
            <w:r w:rsidRPr="003D01ED">
              <w:rPr>
                <w:rFonts w:ascii="Calibri" w:hAnsi="Calibri"/>
                <w:b/>
                <w:iCs/>
                <w:color w:val="000000"/>
                <w:sz w:val="20"/>
                <w:szCs w:val="20"/>
              </w:rPr>
              <w:t xml:space="preserve">-2,895.0 </w:t>
            </w:r>
          </w:p>
        </w:tc>
        <w:tc>
          <w:tcPr>
            <w:tcW w:w="682" w:type="pct"/>
            <w:shd w:val="clear" w:color="auto" w:fill="auto"/>
            <w:vAlign w:val="bottom"/>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Cs/>
                <w:color w:val="000000"/>
                <w:sz w:val="20"/>
                <w:szCs w:val="20"/>
              </w:rPr>
            </w:pPr>
            <w:r w:rsidRPr="003D01ED">
              <w:rPr>
                <w:rFonts w:ascii="Calibri" w:hAnsi="Calibri"/>
                <w:b/>
                <w:iCs/>
                <w:color w:val="000000"/>
                <w:sz w:val="20"/>
                <w:szCs w:val="20"/>
              </w:rPr>
              <w:t xml:space="preserve">-7,210.0 </w:t>
            </w:r>
          </w:p>
        </w:tc>
      </w:tr>
      <w:tr w:rsidR="000B5C96" w:rsidRPr="003D01ED" w:rsidTr="003F606A">
        <w:tc>
          <w:tcPr>
            <w:cnfStyle w:val="001000000000" w:firstRow="0" w:lastRow="0" w:firstColumn="1" w:lastColumn="0" w:oddVBand="0" w:evenVBand="0" w:oddHBand="0" w:evenHBand="0" w:firstRowFirstColumn="0" w:firstRowLastColumn="0" w:lastRowFirstColumn="0" w:lastRowLastColumn="0"/>
            <w:tcW w:w="1591" w:type="pct"/>
          </w:tcPr>
          <w:p w:rsidR="000B5C96" w:rsidRPr="003D01ED" w:rsidRDefault="000B5C96" w:rsidP="003F606A">
            <w:pPr>
              <w:keepNext/>
              <w:keepLines/>
              <w:spacing w:line="240" w:lineRule="auto"/>
              <w:ind w:left="57" w:right="57"/>
              <w:rPr>
                <w:szCs w:val="20"/>
              </w:rPr>
            </w:pPr>
            <w:r w:rsidRPr="003D01ED">
              <w:rPr>
                <w:szCs w:val="20"/>
              </w:rPr>
              <w:t>Departmental (DHS)</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-15.0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-20.0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-20.0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3D01ED">
              <w:rPr>
                <w:rFonts w:ascii="Calibri" w:hAnsi="Calibri"/>
                <w:i/>
                <w:iCs/>
                <w:color w:val="000000"/>
                <w:sz w:val="20"/>
                <w:szCs w:val="20"/>
              </w:rPr>
              <w:t xml:space="preserve">-20.0 </w:t>
            </w:r>
          </w:p>
        </w:tc>
        <w:tc>
          <w:tcPr>
            <w:tcW w:w="682" w:type="pct"/>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iCs/>
                <w:color w:val="000000"/>
                <w:sz w:val="20"/>
                <w:szCs w:val="20"/>
              </w:rPr>
            </w:pPr>
            <w:r w:rsidRPr="003D01ED">
              <w:rPr>
                <w:rFonts w:ascii="Calibri" w:hAnsi="Calibri"/>
                <w:b/>
                <w:i/>
                <w:iCs/>
                <w:color w:val="000000"/>
                <w:sz w:val="20"/>
                <w:szCs w:val="20"/>
              </w:rPr>
              <w:t>-80</w:t>
            </w:r>
            <w:r w:rsidRPr="003D01ED">
              <w:rPr>
                <w:rFonts w:ascii="Calibri" w:hAnsi="Calibri"/>
                <w:b/>
                <w:i/>
                <w:sz w:val="20"/>
                <w:szCs w:val="20"/>
              </w:rPr>
              <w:t>.0</w:t>
            </w:r>
            <w:r w:rsidRPr="003D01ED">
              <w:rPr>
                <w:rFonts w:ascii="Calibri" w:hAnsi="Calibri"/>
                <w:b/>
                <w:i/>
                <w:iCs/>
                <w:color w:val="000000"/>
                <w:sz w:val="20"/>
                <w:szCs w:val="20"/>
              </w:rPr>
              <w:t xml:space="preserve"> </w:t>
            </w:r>
          </w:p>
        </w:tc>
      </w:tr>
      <w:tr w:rsidR="000B5C96" w:rsidRPr="003D01ED" w:rsidTr="003F606A">
        <w:tc>
          <w:tcPr>
            <w:cnfStyle w:val="001000000000" w:firstRow="0" w:lastRow="0" w:firstColumn="1" w:lastColumn="0" w:oddVBand="0" w:evenVBand="0" w:oddHBand="0" w:evenHBand="0" w:firstRowFirstColumn="0" w:firstRowLastColumn="0" w:lastRowFirstColumn="0" w:lastRowLastColumn="0"/>
            <w:tcW w:w="1591" w:type="pct"/>
            <w:shd w:val="clear" w:color="auto" w:fill="D7DDE9"/>
          </w:tcPr>
          <w:p w:rsidR="000B5C96" w:rsidRPr="003D01ED" w:rsidRDefault="000B5C96" w:rsidP="003F606A">
            <w:pPr>
              <w:keepNext/>
              <w:keepLines/>
              <w:spacing w:line="240" w:lineRule="auto"/>
              <w:ind w:left="57" w:right="57"/>
              <w:rPr>
                <w:b/>
                <w:szCs w:val="20"/>
              </w:rPr>
            </w:pPr>
            <w:r w:rsidRPr="003D01ED">
              <w:rPr>
                <w:b/>
                <w:szCs w:val="20"/>
              </w:rPr>
              <w:t>Total</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3D01ED">
              <w:rPr>
                <w:rFonts w:ascii="Calibri" w:hAnsi="Calibri"/>
                <w:b/>
                <w:bCs/>
                <w:color w:val="000000"/>
                <w:sz w:val="20"/>
                <w:szCs w:val="20"/>
              </w:rPr>
              <w:t>-690</w:t>
            </w:r>
            <w:r w:rsidRPr="003D01ED">
              <w:rPr>
                <w:rFonts w:ascii="Calibri" w:hAnsi="Calibri"/>
                <w:b/>
                <w:sz w:val="20"/>
                <w:szCs w:val="20"/>
              </w:rPr>
              <w:t>.0</w:t>
            </w:r>
            <w:r w:rsidRPr="003D01ED">
              <w:rPr>
                <w:rFonts w:ascii="Calibri" w:hAnsi="Calibri"/>
                <w:b/>
                <w:bCs/>
                <w:color w:val="000000"/>
                <w:sz w:val="20"/>
                <w:szCs w:val="20"/>
              </w:rPr>
              <w:t xml:space="preserve"> </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3D01ED">
              <w:rPr>
                <w:rFonts w:ascii="Calibri" w:hAnsi="Calibri"/>
                <w:b/>
                <w:bCs/>
                <w:color w:val="000000"/>
                <w:sz w:val="20"/>
                <w:szCs w:val="20"/>
              </w:rPr>
              <w:t>-1,620</w:t>
            </w:r>
            <w:r w:rsidRPr="003D01ED">
              <w:rPr>
                <w:rFonts w:ascii="Calibri" w:hAnsi="Calibri"/>
                <w:b/>
                <w:sz w:val="20"/>
                <w:szCs w:val="20"/>
              </w:rPr>
              <w:t>.0</w:t>
            </w:r>
            <w:r w:rsidRPr="003D01ED">
              <w:rPr>
                <w:rFonts w:ascii="Calibri" w:hAnsi="Calibri"/>
                <w:b/>
                <w:bCs/>
                <w:color w:val="000000"/>
                <w:sz w:val="20"/>
                <w:szCs w:val="20"/>
              </w:rPr>
              <w:t xml:space="preserve"> </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3D01ED">
              <w:rPr>
                <w:rFonts w:ascii="Calibri" w:hAnsi="Calibri"/>
                <w:b/>
                <w:bCs/>
                <w:color w:val="000000"/>
                <w:sz w:val="20"/>
                <w:szCs w:val="20"/>
              </w:rPr>
              <w:t>-2,070</w:t>
            </w:r>
            <w:r w:rsidRPr="003D01ED">
              <w:rPr>
                <w:rFonts w:ascii="Calibri" w:hAnsi="Calibri"/>
                <w:b/>
                <w:sz w:val="20"/>
                <w:szCs w:val="20"/>
              </w:rPr>
              <w:t>.0</w:t>
            </w:r>
            <w:r w:rsidRPr="003D01ED">
              <w:rPr>
                <w:rFonts w:ascii="Calibri" w:hAnsi="Calibri"/>
                <w:b/>
                <w:bCs/>
                <w:color w:val="000000"/>
                <w:sz w:val="20"/>
                <w:szCs w:val="20"/>
              </w:rPr>
              <w:t xml:space="preserve"> </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3D01ED">
              <w:rPr>
                <w:rFonts w:ascii="Calibri" w:hAnsi="Calibri"/>
                <w:b/>
                <w:bCs/>
                <w:color w:val="000000"/>
                <w:sz w:val="20"/>
                <w:szCs w:val="20"/>
              </w:rPr>
              <w:t>-2,915</w:t>
            </w:r>
            <w:r w:rsidRPr="003D01ED">
              <w:rPr>
                <w:rFonts w:ascii="Calibri" w:hAnsi="Calibri"/>
                <w:b/>
                <w:sz w:val="20"/>
                <w:szCs w:val="20"/>
              </w:rPr>
              <w:t>.0</w:t>
            </w:r>
            <w:r w:rsidRPr="003D01ED">
              <w:rPr>
                <w:rFonts w:ascii="Calibri" w:hAnsi="Calibri"/>
                <w:b/>
                <w:bCs/>
                <w:color w:val="000000"/>
                <w:sz w:val="20"/>
                <w:szCs w:val="20"/>
              </w:rPr>
              <w:t xml:space="preserve"> </w:t>
            </w:r>
          </w:p>
        </w:tc>
        <w:tc>
          <w:tcPr>
            <w:tcW w:w="682" w:type="pct"/>
            <w:shd w:val="clear" w:color="auto" w:fill="D7DDE9"/>
          </w:tcPr>
          <w:p w:rsidR="000B5C96" w:rsidRPr="003D01ED" w:rsidRDefault="000B5C96" w:rsidP="003F606A">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3D01ED">
              <w:rPr>
                <w:rFonts w:ascii="Calibri" w:hAnsi="Calibri"/>
                <w:b/>
                <w:bCs/>
                <w:color w:val="000000"/>
                <w:sz w:val="20"/>
                <w:szCs w:val="20"/>
              </w:rPr>
              <w:t>-7,290</w:t>
            </w:r>
            <w:r w:rsidRPr="003D01ED">
              <w:rPr>
                <w:rFonts w:ascii="Calibri" w:hAnsi="Calibri"/>
                <w:b/>
                <w:sz w:val="20"/>
                <w:szCs w:val="20"/>
              </w:rPr>
              <w:t>.0</w:t>
            </w:r>
            <w:r w:rsidRPr="003D01ED">
              <w:rPr>
                <w:rFonts w:ascii="Calibri" w:hAnsi="Calibri"/>
                <w:b/>
                <w:bCs/>
                <w:color w:val="000000"/>
                <w:sz w:val="20"/>
                <w:szCs w:val="20"/>
              </w:rPr>
              <w:t xml:space="preserve"> </w:t>
            </w:r>
          </w:p>
        </w:tc>
      </w:tr>
    </w:tbl>
    <w:p w:rsidR="000B5C96" w:rsidRPr="003D01ED" w:rsidRDefault="000B5C96" w:rsidP="00555964">
      <w:pPr>
        <w:pStyle w:val="Footnotes"/>
        <w:keepNext/>
        <w:keepLines/>
        <w:numPr>
          <w:ilvl w:val="0"/>
          <w:numId w:val="361"/>
        </w:numPr>
        <w:ind w:left="284" w:hanging="284"/>
      </w:pPr>
      <w:r w:rsidRPr="003D01ED">
        <w:t xml:space="preserve">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  </w:t>
      </w:r>
    </w:p>
    <w:p w:rsidR="000B5C96" w:rsidRPr="003D01ED" w:rsidRDefault="000B5C96" w:rsidP="000B5C96">
      <w:pPr>
        <w:pStyle w:val="Footnotes"/>
        <w:keepNext/>
        <w:keepLines/>
        <w:numPr>
          <w:ilvl w:val="0"/>
          <w:numId w:val="7"/>
        </w:numPr>
        <w:ind w:left="284" w:hanging="284"/>
      </w:pPr>
      <w:r w:rsidRPr="003D01ED">
        <w:t xml:space="preserve">Figures may not sum to totals due to rounding.  </w:t>
      </w:r>
    </w:p>
    <w:p w:rsidR="000B5C96" w:rsidRPr="003D01ED" w:rsidRDefault="000B5C96" w:rsidP="000B5C96">
      <w:pPr>
        <w:pStyle w:val="Footnotes"/>
        <w:keepNext/>
        <w:keepLines/>
        <w:numPr>
          <w:ilvl w:val="0"/>
          <w:numId w:val="121"/>
        </w:numPr>
        <w:ind w:left="284" w:hanging="284"/>
      </w:pPr>
      <w:r w:rsidRPr="003D01ED">
        <w:t>Indicates a nil value.</w:t>
      </w:r>
    </w:p>
    <w:p w:rsidR="000B5C96" w:rsidRDefault="000B5C96" w:rsidP="003F606A">
      <w:pPr>
        <w:pStyle w:val="Footnotes"/>
        <w:numPr>
          <w:ilvl w:val="0"/>
          <w:numId w:val="0"/>
        </w:numPr>
        <w:ind w:left="284" w:hanging="284"/>
        <w:sectPr w:rsidR="000B5C96" w:rsidSect="003F606A">
          <w:footnotePr>
            <w:numRestart w:val="eachSect"/>
          </w:footnotePr>
          <w:pgSz w:w="11907" w:h="16839" w:code="9"/>
          <w:pgMar w:top="1361" w:right="1797" w:bottom="1474" w:left="1797" w:header="283" w:footer="454" w:gutter="0"/>
          <w:cols w:space="708"/>
          <w:docGrid w:linePitch="360"/>
        </w:sectPr>
      </w:pPr>
      <w:r w:rsidRPr="003D01ED">
        <w:t>..</w:t>
      </w:r>
      <w:r>
        <w:tab/>
      </w:r>
      <w:r w:rsidRPr="003D01ED">
        <w:tab/>
        <w:t>Indicates the value is not zero, but rounded to zero.</w:t>
      </w:r>
      <w:bookmarkStart w:id="249" w:name="_Toc458002004"/>
      <w:r>
        <w:t xml:space="preserve"> </w:t>
      </w:r>
    </w:p>
    <w:p w:rsidR="000B5C96" w:rsidRDefault="000B5C96" w:rsidP="003F606A">
      <w:pPr>
        <w:pStyle w:val="Heading5"/>
      </w:pPr>
      <w:bookmarkStart w:id="250" w:name="_Toc458069489"/>
      <w:r>
        <w:t>GRN100: Reversing Harsh and Harmful Budget Measures</w:t>
      </w:r>
      <w:bookmarkEnd w:id="249"/>
      <w:bookmarkEnd w:id="250"/>
    </w:p>
    <w:p w:rsidR="000B5C96" w:rsidRPr="008A0AE1" w:rsidRDefault="000B5C96" w:rsidP="003F606A">
      <w:pPr>
        <w:pStyle w:val="BodyText"/>
      </w:pPr>
      <w:r>
        <w:rPr>
          <w:noProof/>
          <w:lang w:eastAsia="en-AU"/>
        </w:rPr>
        <w:drawing>
          <wp:inline distT="0" distB="0" distL="0" distR="0" wp14:anchorId="3287360F" wp14:editId="0831A742">
            <wp:extent cx="2696845" cy="572135"/>
            <wp:effectExtent l="0" t="0" r="8255" b="0"/>
            <wp:docPr id="67" name="Picture 6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C21ED" w:rsidRDefault="000B5C96" w:rsidP="000B5C96">
      <w:pPr>
        <w:pStyle w:val="Heading6"/>
        <w:numPr>
          <w:ilvl w:val="0"/>
          <w:numId w:val="5"/>
        </w:numPr>
        <w:tabs>
          <w:tab w:val="right" w:pos="1418"/>
          <w:tab w:val="right" w:pos="1701"/>
          <w:tab w:val="right" w:pos="1985"/>
        </w:tabs>
      </w:pPr>
      <w:r w:rsidRPr="00002D5D">
        <w:t>Policy costing—</w:t>
      </w:r>
      <w:r>
        <w:t>2016 post-election report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5448"/>
      </w:tblGrid>
      <w:tr w:rsidR="000B5C96" w:rsidRPr="00EA7F7A" w:rsidTr="003F606A">
        <w:tc>
          <w:tcPr>
            <w:tcW w:w="1806" w:type="pct"/>
            <w:shd w:val="clear" w:color="auto" w:fill="D7DDE9"/>
          </w:tcPr>
          <w:p w:rsidR="000B5C96" w:rsidRPr="00EA7F7A" w:rsidRDefault="000B5C96" w:rsidP="003F606A">
            <w:pPr>
              <w:pStyle w:val="PullOutBoxHeading"/>
            </w:pPr>
            <w:r w:rsidRPr="00EA7F7A">
              <w:t>Name of proposal:</w:t>
            </w:r>
          </w:p>
        </w:tc>
        <w:tc>
          <w:tcPr>
            <w:tcW w:w="3194" w:type="pct"/>
            <w:shd w:val="clear" w:color="auto" w:fill="D7DDE9"/>
          </w:tcPr>
          <w:p w:rsidR="000B5C96" w:rsidRPr="00EA7F7A" w:rsidRDefault="000B5C96" w:rsidP="003F606A">
            <w:pPr>
              <w:pStyle w:val="PullOutBoxHeading"/>
            </w:pPr>
            <w:r w:rsidRPr="00EA7F7A">
              <w:t>Reversing Harsh and Harmful Budget Measures</w:t>
            </w:r>
          </w:p>
        </w:tc>
      </w:tr>
      <w:tr w:rsidR="000B5C96" w:rsidRPr="00281E20" w:rsidTr="003F606A">
        <w:tc>
          <w:tcPr>
            <w:tcW w:w="1806" w:type="pct"/>
          </w:tcPr>
          <w:p w:rsidR="000B5C96" w:rsidRPr="00281E20" w:rsidRDefault="000B5C96" w:rsidP="003F606A">
            <w:pPr>
              <w:pStyle w:val="PullOutBoxBodyText"/>
            </w:pPr>
            <w:r w:rsidRPr="00281E20">
              <w:t>Summary of proposal:</w:t>
            </w:r>
          </w:p>
        </w:tc>
        <w:tc>
          <w:tcPr>
            <w:tcW w:w="3194" w:type="pct"/>
          </w:tcPr>
          <w:p w:rsidR="000B5C96" w:rsidRDefault="000B5C96" w:rsidP="003F606A">
            <w:pPr>
              <w:pStyle w:val="PullOutBoxBodyText"/>
            </w:pPr>
            <w:r w:rsidRPr="00130F6F">
              <w:t xml:space="preserve">The proposal would reverse </w:t>
            </w:r>
            <w:r>
              <w:t xml:space="preserve">various </w:t>
            </w:r>
            <w:r w:rsidRPr="00130F6F">
              <w:t>measures from previous budgets and reinstate various agencies and bodies that were abolished.</w:t>
            </w:r>
            <w:r>
              <w:t xml:space="preserve">  </w:t>
            </w:r>
            <w:r w:rsidRPr="00130F6F">
              <w:t>A full list of the</w:t>
            </w:r>
            <w:r>
              <w:t xml:space="preserve"> 80 components</w:t>
            </w:r>
            <w:r w:rsidRPr="00130F6F">
              <w:t xml:space="preserve"> </w:t>
            </w:r>
            <w:r>
              <w:t>under this proposal</w:t>
            </w:r>
            <w:r w:rsidRPr="00130F6F">
              <w:t xml:space="preserve"> is at </w:t>
            </w:r>
            <w:r w:rsidRPr="00130F6F">
              <w:rPr>
                <w:u w:val="single"/>
              </w:rPr>
              <w:t>Attachment A</w:t>
            </w:r>
            <w:r w:rsidRPr="00130F6F">
              <w:t>.</w:t>
            </w:r>
          </w:p>
          <w:p w:rsidR="000B5C96" w:rsidRDefault="000B5C96" w:rsidP="003F606A">
            <w:pPr>
              <w:pStyle w:val="PullOutBoxBodyText"/>
            </w:pPr>
            <w:r>
              <w:t>The proposal would have effect from 1 July 2017.</w:t>
            </w:r>
          </w:p>
          <w:p w:rsidR="000B5C96" w:rsidRPr="004C6542" w:rsidRDefault="000B5C96" w:rsidP="003F606A">
            <w:pPr>
              <w:pStyle w:val="PullOutBoxBodyText"/>
            </w:pPr>
            <w:r>
              <w:t>Where savings measures have already taken effect before the start date of this proposal, these previous savings would be reinvested into programs or reinstated as increased departmental funding to relevant agencies.  This reinstated funding would be spread evenly across 2017</w:t>
            </w:r>
            <w:r w:rsidRPr="00040246">
              <w:t>–</w:t>
            </w:r>
            <w:r>
              <w:t>18, 2018</w:t>
            </w:r>
            <w:r w:rsidRPr="00040246">
              <w:t>–</w:t>
            </w:r>
            <w:r>
              <w:t>19 and 2019</w:t>
            </w:r>
            <w:r w:rsidRPr="00040246">
              <w:t>–</w:t>
            </w:r>
            <w:r>
              <w:t xml:space="preserve">20. </w:t>
            </w:r>
          </w:p>
        </w:tc>
      </w:tr>
      <w:tr w:rsidR="000B5C96" w:rsidRPr="00281E20" w:rsidTr="003F606A">
        <w:tc>
          <w:tcPr>
            <w:tcW w:w="1806" w:type="pct"/>
          </w:tcPr>
          <w:p w:rsidR="000B5C96" w:rsidRPr="00281E20" w:rsidRDefault="000B5C96" w:rsidP="003F606A">
            <w:pPr>
              <w:pStyle w:val="PullOutBoxBodyText"/>
            </w:pPr>
            <w:r w:rsidRPr="00281E20">
              <w:t>Party</w:t>
            </w:r>
            <w:r>
              <w:t>:</w:t>
            </w:r>
          </w:p>
        </w:tc>
        <w:tc>
          <w:tcPr>
            <w:tcW w:w="3194" w:type="pct"/>
          </w:tcPr>
          <w:p w:rsidR="000B5C96" w:rsidRPr="00752FC3" w:rsidRDefault="000B5C96" w:rsidP="003F606A">
            <w:pPr>
              <w:pStyle w:val="PullOutBoxBodyText"/>
            </w:pPr>
            <w:r>
              <w:t>Australian Greens</w:t>
            </w:r>
          </w:p>
        </w:tc>
      </w:tr>
      <w:tr w:rsidR="000B5C96" w:rsidRPr="00281E20" w:rsidTr="003F606A">
        <w:tc>
          <w:tcPr>
            <w:tcW w:w="1806" w:type="pct"/>
          </w:tcPr>
          <w:p w:rsidR="000B5C96" w:rsidRPr="00281E20" w:rsidRDefault="000B5C96" w:rsidP="003F606A">
            <w:pPr>
              <w:pStyle w:val="PullOutBoxBodyText"/>
            </w:pPr>
            <w:r w:rsidRPr="00281E20">
              <w:t>Expiry date for the costing:</w:t>
            </w:r>
          </w:p>
        </w:tc>
        <w:tc>
          <w:tcPr>
            <w:tcW w:w="3194" w:type="pct"/>
          </w:tcPr>
          <w:p w:rsidR="000B5C96" w:rsidRPr="00752FC3" w:rsidRDefault="000B5C96" w:rsidP="003F606A">
            <w:pPr>
              <w:pStyle w:val="PullOutBoxBodyText"/>
            </w:pPr>
            <w:r>
              <w:t>R</w:t>
            </w:r>
            <w:r w:rsidRPr="0064604B">
              <w:t xml:space="preserve">elease of the </w:t>
            </w:r>
            <w:r>
              <w:t>next economic and fiscal update</w:t>
            </w:r>
          </w:p>
        </w:tc>
      </w:tr>
    </w:tbl>
    <w:p w:rsidR="000B5C96" w:rsidRPr="00002D5D" w:rsidRDefault="000B5C96" w:rsidP="003F606A">
      <w:pPr>
        <w:pStyle w:val="CostingsH7"/>
      </w:pPr>
      <w:r w:rsidRPr="00002D5D">
        <w:t>Costing overview</w:t>
      </w:r>
    </w:p>
    <w:p w:rsidR="000B5C96" w:rsidRDefault="000B5C96" w:rsidP="003F606A">
      <w:pPr>
        <w:pStyle w:val="BodyText"/>
      </w:pPr>
      <w:r w:rsidRPr="00040246">
        <w:t xml:space="preserve">This proposal </w:t>
      </w:r>
      <w:r>
        <w:t>would be</w:t>
      </w:r>
      <w:r w:rsidRPr="00040246">
        <w:t xml:space="preserve"> expected to decrease </w:t>
      </w:r>
      <w:r w:rsidRPr="002C4BD3">
        <w:t>the fiscal balance by $</w:t>
      </w:r>
      <w:r w:rsidRPr="00BF7379">
        <w:t>1</w:t>
      </w:r>
      <w:r>
        <w:t>4</w:t>
      </w:r>
      <w:r w:rsidRPr="00BF7379">
        <w:t>,</w:t>
      </w:r>
      <w:r>
        <w:t>350</w:t>
      </w:r>
      <w:r w:rsidRPr="002C4BD3">
        <w:t> million and decrease the underlying cash balance by $</w:t>
      </w:r>
      <w:r>
        <w:t>14</w:t>
      </w:r>
      <w:r w:rsidRPr="00BF7379">
        <w:t>,</w:t>
      </w:r>
      <w:r>
        <w:t>471</w:t>
      </w:r>
      <w:r w:rsidRPr="002C4BD3">
        <w:t> million</w:t>
      </w:r>
      <w:r>
        <w:t xml:space="preserve"> over the 2016</w:t>
      </w:r>
      <w:r w:rsidRPr="00040246">
        <w:t>–1</w:t>
      </w:r>
      <w:r>
        <w:t>7</w:t>
      </w:r>
      <w:r w:rsidRPr="00040246">
        <w:t xml:space="preserve"> Budget forward estimates period.  </w:t>
      </w:r>
      <w:r>
        <w:t xml:space="preserve">This </w:t>
      </w:r>
      <w:r w:rsidRPr="00BA4376">
        <w:t>reflects</w:t>
      </w:r>
      <w:r>
        <w:t xml:space="preserve"> the net impact of</w:t>
      </w:r>
      <w:r w:rsidRPr="00BA4376">
        <w:t xml:space="preserve"> an increase in expenses of $1</w:t>
      </w:r>
      <w:r>
        <w:t>4</w:t>
      </w:r>
      <w:r w:rsidRPr="00BA4376">
        <w:t>,</w:t>
      </w:r>
      <w:r>
        <w:t>672</w:t>
      </w:r>
      <w:r w:rsidRPr="00BA4376">
        <w:t> million an</w:t>
      </w:r>
      <w:r>
        <w:t>d an increase in revenue of $322</w:t>
      </w:r>
      <w:r w:rsidRPr="00BA4376">
        <w:t> million over this period.</w:t>
      </w:r>
    </w:p>
    <w:p w:rsidR="000B5C96" w:rsidRDefault="000B5C96" w:rsidP="003F606A">
      <w:pPr>
        <w:pStyle w:val="BodyText"/>
      </w:pPr>
      <w:r>
        <w:t xml:space="preserve">A detailed breakdown of the components of the costing on a fiscal and an underlying cash balance basis is included at </w:t>
      </w:r>
      <w:r w:rsidRPr="00C83569">
        <w:rPr>
          <w:u w:val="single"/>
        </w:rPr>
        <w:t>Attachment B</w:t>
      </w:r>
      <w:r>
        <w:t>.</w:t>
      </w:r>
    </w:p>
    <w:p w:rsidR="000B5C96" w:rsidRDefault="000B5C96" w:rsidP="003F606A">
      <w:pPr>
        <w:pStyle w:val="BodyText"/>
      </w:pPr>
      <w:r>
        <w:t>Some components of this proposal would</w:t>
      </w:r>
      <w:r w:rsidRPr="007A6ED8">
        <w:t xml:space="preserve"> have</w:t>
      </w:r>
      <w:r>
        <w:t xml:space="preserve"> </w:t>
      </w:r>
      <w:r w:rsidRPr="007A6ED8">
        <w:t xml:space="preserve">ongoing </w:t>
      </w:r>
      <w:r>
        <w:t>financial implications</w:t>
      </w:r>
      <w:r w:rsidRPr="007A6ED8">
        <w:t xml:space="preserve"> that extend beyond the </w:t>
      </w:r>
      <w:r>
        <w:t>2016</w:t>
      </w:r>
      <w:r w:rsidRPr="00040246">
        <w:t>–1</w:t>
      </w:r>
      <w:r>
        <w:t xml:space="preserve">7 Budget </w:t>
      </w:r>
      <w:r w:rsidRPr="007A6ED8">
        <w:t>forward estimates period</w:t>
      </w:r>
      <w:r>
        <w:t xml:space="preserve">. </w:t>
      </w:r>
    </w:p>
    <w:p w:rsidR="000B5C96" w:rsidRDefault="000B5C96" w:rsidP="003F606A">
      <w:pPr>
        <w:pStyle w:val="BodyText"/>
        <w:rPr>
          <w:lang w:eastAsia="en-AU"/>
        </w:rPr>
      </w:pPr>
      <w:r>
        <w:rPr>
          <w:lang w:eastAsia="en-AU"/>
        </w:rPr>
        <w:t>The components in this costing range in reliability.</w:t>
      </w:r>
    </w:p>
    <w:p w:rsidR="000B5C96" w:rsidRDefault="000B5C96" w:rsidP="000B5C96">
      <w:pPr>
        <w:pStyle w:val="ListBullet"/>
        <w:numPr>
          <w:ilvl w:val="0"/>
          <w:numId w:val="123"/>
        </w:numPr>
        <w:ind w:left="454" w:hanging="454"/>
      </w:pPr>
      <w:r>
        <w:t xml:space="preserve">The components of the proposal that relate to reductions in capped program expenditure, temporary indexation pauses or additional efficiency dividends are based on information from the Government Central Budget Management System (CBMS) and are considered to be of </w:t>
      </w:r>
      <w:r w:rsidRPr="00137E98">
        <w:t>medium</w:t>
      </w:r>
      <w:r>
        <w:rPr>
          <w:b/>
        </w:rPr>
        <w:t xml:space="preserve"> </w:t>
      </w:r>
      <w:r>
        <w:t xml:space="preserve">reliability. </w:t>
      </w:r>
    </w:p>
    <w:p w:rsidR="000B5C96" w:rsidRDefault="000B5C96" w:rsidP="000B5C96">
      <w:pPr>
        <w:pStyle w:val="ListBullet"/>
        <w:numPr>
          <w:ilvl w:val="0"/>
          <w:numId w:val="123"/>
        </w:numPr>
        <w:ind w:left="454" w:hanging="454"/>
      </w:pPr>
      <w:r>
        <w:t xml:space="preserve">The components of the proposal that relate to uncapped expenditure are considered to be of </w:t>
      </w:r>
      <w:r w:rsidRPr="00137E98">
        <w:t>low</w:t>
      </w:r>
      <w:r>
        <w:rPr>
          <w:b/>
        </w:rPr>
        <w:t xml:space="preserve"> </w:t>
      </w:r>
      <w:r>
        <w:t>reliability because they depend on assumptions regarding take-up rate and behavioural changes.</w:t>
      </w:r>
    </w:p>
    <w:p w:rsidR="000B5C96" w:rsidRDefault="000B5C96" w:rsidP="000B5C96">
      <w:pPr>
        <w:pStyle w:val="ListBullet"/>
        <w:numPr>
          <w:ilvl w:val="0"/>
          <w:numId w:val="123"/>
        </w:numPr>
        <w:ind w:left="454" w:hanging="454"/>
      </w:pPr>
      <w:r>
        <w:t xml:space="preserve">The components of the proposal that relate to the reversal of job reductions in agencies are of </w:t>
      </w:r>
      <w:r w:rsidRPr="00137E98">
        <w:t>low</w:t>
      </w:r>
      <w:r w:rsidRPr="00A039DB">
        <w:t xml:space="preserve"> </w:t>
      </w:r>
      <w:r>
        <w:t>reliability because they are based on historical and current agency aggregate employee expense information, which include the net effect of both job reductions and any newly created positions.</w:t>
      </w:r>
    </w:p>
    <w:p w:rsidR="000B5C96" w:rsidRPr="00FC6579" w:rsidRDefault="000B5C96" w:rsidP="003F606A">
      <w:pPr>
        <w:pStyle w:val="Caption"/>
      </w:pPr>
      <w:r w:rsidRPr="00FC6579">
        <w:t>Table 1: Financial implications (outturn prices)</w:t>
      </w:r>
      <w:r w:rsidRPr="007F739A">
        <w:rPr>
          <w:vertAlign w:val="superscript"/>
        </w:rPr>
        <w:t xml:space="preserve"> </w:t>
      </w:r>
      <w:r w:rsidRPr="00B46F22">
        <w:rPr>
          <w:vertAlign w:val="superscript"/>
        </w:rPr>
        <w:t>(a)</w:t>
      </w:r>
      <w:r>
        <w:rPr>
          <w:vertAlign w:val="superscript"/>
        </w:rPr>
        <w:t>(b)</w:t>
      </w:r>
    </w:p>
    <w:tbl>
      <w:tblPr>
        <w:tblStyle w:val="TableGrid"/>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6"/>
        <w:gridCol w:w="1134"/>
        <w:gridCol w:w="1135"/>
        <w:gridCol w:w="1135"/>
        <w:gridCol w:w="1135"/>
        <w:gridCol w:w="1133"/>
      </w:tblGrid>
      <w:tr w:rsidR="000B5C96" w:rsidRPr="000D7FB4"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0D7FB4" w:rsidRDefault="000B5C96" w:rsidP="003F606A">
            <w:pPr>
              <w:pStyle w:val="TableText"/>
              <w:keepNext/>
              <w:keepLines/>
              <w:rPr>
                <w:rFonts w:ascii="Calibri" w:hAnsi="Calibri"/>
                <w:color w:val="auto"/>
                <w:szCs w:val="20"/>
              </w:rPr>
            </w:pPr>
            <w:r w:rsidRPr="000D7FB4">
              <w:rPr>
                <w:rFonts w:ascii="Calibri" w:hAnsi="Calibri"/>
                <w:color w:val="auto"/>
                <w:szCs w:val="20"/>
              </w:rPr>
              <w:t>Impact on ($m)</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0D7FB4" w:rsidRDefault="000B5C96" w:rsidP="003F606A">
            <w:pPr>
              <w:keepNext/>
              <w:keepLines/>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0D7FB4">
              <w:rPr>
                <w:rFonts w:ascii="Calibri" w:hAnsi="Calibri"/>
                <w:color w:val="auto"/>
                <w:szCs w:val="20"/>
              </w:rPr>
              <w:t>2016–17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0D7FB4" w:rsidRDefault="000B5C96" w:rsidP="003F606A">
            <w:pPr>
              <w:keepNext/>
              <w:keepLines/>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0D7FB4">
              <w:rPr>
                <w:rFonts w:ascii="Calibri" w:hAnsi="Calibri"/>
                <w:color w:val="auto"/>
                <w:szCs w:val="20"/>
              </w:rPr>
              <w:t>2017–18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0D7FB4" w:rsidRDefault="000B5C96" w:rsidP="003F606A">
            <w:pPr>
              <w:keepNext/>
              <w:keepLines/>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0D7FB4">
              <w:rPr>
                <w:rFonts w:ascii="Calibri" w:hAnsi="Calibri"/>
                <w:color w:val="auto"/>
                <w:szCs w:val="20"/>
              </w:rPr>
              <w:t>2018–19</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0D7FB4" w:rsidRDefault="000B5C96" w:rsidP="003F606A">
            <w:pPr>
              <w:keepNext/>
              <w:keepLines/>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0D7FB4">
              <w:rPr>
                <w:rFonts w:ascii="Calibri" w:hAnsi="Calibri"/>
                <w:color w:val="auto"/>
                <w:szCs w:val="20"/>
              </w:rPr>
              <w:t>2019–20</w:t>
            </w:r>
          </w:p>
        </w:tc>
        <w:tc>
          <w:tcPr>
            <w:tcW w:w="68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0D7FB4" w:rsidRDefault="000B5C96" w:rsidP="003F606A">
            <w:pPr>
              <w:keepNext/>
              <w:keepLines/>
              <w:jc w:val="right"/>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0D7FB4">
              <w:rPr>
                <w:rFonts w:ascii="Calibri" w:hAnsi="Calibri"/>
                <w:b/>
                <w:color w:val="auto"/>
                <w:szCs w:val="20"/>
              </w:rPr>
              <w:t>Total</w:t>
            </w:r>
          </w:p>
        </w:tc>
      </w:tr>
      <w:tr w:rsidR="000B5C96" w:rsidRPr="003A345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jc w:val="left"/>
              <w:rPr>
                <w:szCs w:val="20"/>
              </w:rPr>
            </w:pPr>
            <w:r>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41B6D" w:rsidRDefault="000B5C96" w:rsidP="003F606A">
            <w:pPr>
              <w:pStyle w:val="TableTextCentred"/>
              <w:keepNext/>
              <w:keepLines/>
              <w:jc w:val="right"/>
              <w:cnfStyle w:val="000000100000" w:firstRow="0" w:lastRow="0" w:firstColumn="0" w:lastColumn="0" w:oddVBand="0" w:evenVBand="0" w:oddHBand="1" w:evenHBand="0" w:firstRowFirstColumn="0" w:firstRowLastColumn="0" w:lastRowFirstColumn="0" w:lastRowLastColumn="0"/>
              <w:rPr>
                <w:szCs w:val="20"/>
              </w:rPr>
            </w:pPr>
            <w:r w:rsidRPr="00E41B6D">
              <w:rPr>
                <w:szCs w:val="20"/>
              </w:rPr>
              <w:t>1</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41B6D" w:rsidRDefault="000B5C96" w:rsidP="003F606A">
            <w:pPr>
              <w:pStyle w:val="TableTextCentred"/>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-4,525</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41B6D" w:rsidRDefault="000B5C96" w:rsidP="003F606A">
            <w:pPr>
              <w:pStyle w:val="TableTextCentred"/>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-4,676</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41B6D" w:rsidRDefault="000B5C96" w:rsidP="003F606A">
            <w:pPr>
              <w:pStyle w:val="TableTextCentred"/>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-5,150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E41B6D" w:rsidRDefault="000B5C96" w:rsidP="003F606A">
            <w:pPr>
              <w:pStyle w:val="TableTextCentred"/>
              <w:keepNext/>
              <w:keepLines/>
              <w:jc w:val="right"/>
              <w:cnfStyle w:val="000000100000" w:firstRow="0" w:lastRow="0" w:firstColumn="0" w:lastColumn="0" w:oddVBand="0" w:evenVBand="0" w:oddHBand="1" w:evenHBand="0" w:firstRowFirstColumn="0" w:firstRowLastColumn="0" w:lastRowFirstColumn="0" w:lastRowLastColumn="0"/>
              <w:rPr>
                <w:b/>
              </w:rPr>
            </w:pPr>
            <w:r w:rsidRPr="00E41B6D">
              <w:rPr>
                <w:b/>
              </w:rPr>
              <w:t>-</w:t>
            </w:r>
            <w:r w:rsidRPr="00E41B6D">
              <w:rPr>
                <w:b/>
                <w:szCs w:val="20"/>
              </w:rPr>
              <w:t>1</w:t>
            </w:r>
            <w:r>
              <w:rPr>
                <w:b/>
                <w:szCs w:val="20"/>
              </w:rPr>
              <w:t>4</w:t>
            </w:r>
            <w:r w:rsidRPr="00E41B6D">
              <w:rPr>
                <w:b/>
              </w:rPr>
              <w:t>,</w:t>
            </w:r>
            <w:r>
              <w:rPr>
                <w:b/>
              </w:rPr>
              <w:t>350</w:t>
            </w:r>
          </w:p>
        </w:tc>
      </w:tr>
      <w:tr w:rsidR="000B5C96" w:rsidRPr="003A3459" w:rsidTr="003F606A">
        <w:trPr>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jc w:val="left"/>
              <w:rPr>
                <w:szCs w:val="20"/>
              </w:rPr>
            </w:pPr>
            <w:r>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41B6D" w:rsidRDefault="000B5C96" w:rsidP="003F606A">
            <w:pPr>
              <w:pStyle w:val="TableTextCentred"/>
              <w:keepNext/>
              <w:keepLines/>
              <w:jc w:val="right"/>
              <w:cnfStyle w:val="000000000000" w:firstRow="0" w:lastRow="0" w:firstColumn="0" w:lastColumn="0" w:oddVBand="0" w:evenVBand="0" w:oddHBand="0" w:evenHBand="0" w:firstRowFirstColumn="0" w:firstRowLastColumn="0" w:lastRowFirstColumn="0" w:lastRowLastColumn="0"/>
              <w:rPr>
                <w:szCs w:val="20"/>
              </w:rPr>
            </w:pPr>
            <w:r w:rsidRPr="00E41B6D">
              <w:rPr>
                <w:szCs w:val="20"/>
              </w:rPr>
              <w:t>1</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41B6D" w:rsidRDefault="000B5C96" w:rsidP="003F606A">
            <w:pPr>
              <w:pStyle w:val="TableTextCentred"/>
              <w:keepNext/>
              <w:keepLines/>
              <w:jc w:val="right"/>
              <w:cnfStyle w:val="000000000000" w:firstRow="0" w:lastRow="0" w:firstColumn="0" w:lastColumn="0" w:oddVBand="0" w:evenVBand="0" w:oddHBand="0" w:evenHBand="0" w:firstRowFirstColumn="0" w:firstRowLastColumn="0" w:lastRowFirstColumn="0" w:lastRowLastColumn="0"/>
              <w:rPr>
                <w:szCs w:val="20"/>
              </w:rPr>
            </w:pPr>
            <w:r w:rsidRPr="00E41B6D">
              <w:rPr>
                <w:szCs w:val="20"/>
              </w:rPr>
              <w:t>-4,</w:t>
            </w:r>
            <w:r>
              <w:rPr>
                <w:szCs w:val="20"/>
              </w:rPr>
              <w:t>602</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41B6D" w:rsidRDefault="000B5C96" w:rsidP="003F606A">
            <w:pPr>
              <w:pStyle w:val="TableTextCentred"/>
              <w:keepNext/>
              <w:keepLines/>
              <w:jc w:val="right"/>
              <w:cnfStyle w:val="000000000000" w:firstRow="0" w:lastRow="0" w:firstColumn="0" w:lastColumn="0" w:oddVBand="0" w:evenVBand="0" w:oddHBand="0" w:evenHBand="0" w:firstRowFirstColumn="0" w:firstRowLastColumn="0" w:lastRowFirstColumn="0" w:lastRowLastColumn="0"/>
              <w:rPr>
                <w:szCs w:val="20"/>
              </w:rPr>
            </w:pPr>
            <w:r>
              <w:rPr>
                <w:szCs w:val="20"/>
              </w:rPr>
              <w:t>-4,709</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41B6D" w:rsidRDefault="000B5C96" w:rsidP="003F606A">
            <w:pPr>
              <w:pStyle w:val="TableTextCentred"/>
              <w:keepNext/>
              <w:keepLines/>
              <w:jc w:val="right"/>
              <w:cnfStyle w:val="000000000000" w:firstRow="0" w:lastRow="0" w:firstColumn="0" w:lastColumn="0" w:oddVBand="0" w:evenVBand="0" w:oddHBand="0" w:evenHBand="0" w:firstRowFirstColumn="0" w:firstRowLastColumn="0" w:lastRowFirstColumn="0" w:lastRowLastColumn="0"/>
              <w:rPr>
                <w:szCs w:val="20"/>
              </w:rPr>
            </w:pPr>
            <w:r>
              <w:rPr>
                <w:szCs w:val="20"/>
              </w:rPr>
              <w:t>-5,161</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E41B6D" w:rsidRDefault="000B5C96" w:rsidP="003F606A">
            <w:pPr>
              <w:pStyle w:val="TableTextCentred"/>
              <w:keepNext/>
              <w:keepLines/>
              <w:jc w:val="right"/>
              <w:cnfStyle w:val="000000000000" w:firstRow="0" w:lastRow="0" w:firstColumn="0" w:lastColumn="0" w:oddVBand="0" w:evenVBand="0" w:oddHBand="0" w:evenHBand="0" w:firstRowFirstColumn="0" w:firstRowLastColumn="0" w:lastRowFirstColumn="0" w:lastRowLastColumn="0"/>
              <w:rPr>
                <w:b/>
                <w:szCs w:val="20"/>
              </w:rPr>
            </w:pPr>
            <w:r>
              <w:rPr>
                <w:b/>
                <w:szCs w:val="20"/>
              </w:rPr>
              <w:t>-14</w:t>
            </w:r>
            <w:r w:rsidRPr="00E41B6D">
              <w:rPr>
                <w:b/>
                <w:szCs w:val="20"/>
              </w:rPr>
              <w:t>,</w:t>
            </w:r>
            <w:r>
              <w:rPr>
                <w:b/>
                <w:szCs w:val="20"/>
              </w:rPr>
              <w:t>471</w:t>
            </w:r>
          </w:p>
        </w:tc>
      </w:tr>
    </w:tbl>
    <w:p w:rsidR="000B5C96" w:rsidRDefault="000B5C96" w:rsidP="00555964">
      <w:pPr>
        <w:pStyle w:val="Footnotes"/>
        <w:numPr>
          <w:ilvl w:val="0"/>
          <w:numId w:val="362"/>
        </w:numPr>
        <w:ind w:left="284" w:hanging="284"/>
      </w:pPr>
      <w:r w:rsidRPr="00F842AB">
        <w:t>A positive number indicates an increase in the relevant budget balance, a negative number a decrease.</w:t>
      </w:r>
    </w:p>
    <w:p w:rsidR="000B5C96" w:rsidRPr="00F842AB" w:rsidRDefault="000B5C96" w:rsidP="000B5C96">
      <w:pPr>
        <w:pStyle w:val="Footnotes"/>
        <w:numPr>
          <w:ilvl w:val="0"/>
          <w:numId w:val="7"/>
        </w:numPr>
        <w:ind w:left="284" w:hanging="284"/>
      </w:pPr>
      <w:r>
        <w:t>Figures may not sum to totals due to rounding.</w:t>
      </w:r>
    </w:p>
    <w:p w:rsidR="000B5C96" w:rsidRPr="00FC6579" w:rsidRDefault="000B5C96" w:rsidP="003F606A">
      <w:pPr>
        <w:pStyle w:val="CostingsH7"/>
      </w:pPr>
      <w:r w:rsidRPr="00FC6579">
        <w:t>Methodology</w:t>
      </w:r>
    </w:p>
    <w:p w:rsidR="000B5C96" w:rsidRDefault="000B5C96" w:rsidP="003F606A">
      <w:pPr>
        <w:pStyle w:val="BodyText"/>
        <w:rPr>
          <w:bCs/>
          <w:iCs/>
        </w:rPr>
      </w:pPr>
      <w:r w:rsidRPr="00D151DD">
        <w:t xml:space="preserve">The financial implications of measures that would be reversed under this proposal are based on data from the Government </w:t>
      </w:r>
      <w:r>
        <w:t>CBMS</w:t>
      </w:r>
      <w:r w:rsidRPr="00D151DD">
        <w:t>.  Where savings measures have already taken effect, the estimated savings</w:t>
      </w:r>
      <w:r>
        <w:t xml:space="preserve"> that have already been realised</w:t>
      </w:r>
      <w:r w:rsidRPr="00D151DD">
        <w:t xml:space="preserve"> are either reinvested into programs or reinstated as increased departmental funding to relevant agencies and, as specified, </w:t>
      </w:r>
      <w:r>
        <w:t>these have</w:t>
      </w:r>
      <w:r w:rsidRPr="00D151DD">
        <w:t xml:space="preserve"> been spread evenly across the last three years</w:t>
      </w:r>
      <w:r>
        <w:t xml:space="preserve"> of the 2016</w:t>
      </w:r>
      <w:r w:rsidRPr="00040246">
        <w:t>–</w:t>
      </w:r>
      <w:r>
        <w:t>17 Budget forward estimates period</w:t>
      </w:r>
      <w:r w:rsidRPr="00D151DD">
        <w:t>.  The costing assumes that agencies are able to fully utilise these temporary funding increases.  Historical saving amounts have been grown by changes in</w:t>
      </w:r>
      <w:r>
        <w:t xml:space="preserve"> the</w:t>
      </w:r>
      <w:r w:rsidRPr="00D151DD">
        <w:t xml:space="preserve"> Consumer Price Index to reflect 2016</w:t>
      </w:r>
      <w:r w:rsidRPr="00040246">
        <w:t>–</w:t>
      </w:r>
      <w:r w:rsidRPr="00D151DD">
        <w:t>17 dollars.</w:t>
      </w:r>
    </w:p>
    <w:p w:rsidR="000B5C96" w:rsidRDefault="000B5C96" w:rsidP="003F606A">
      <w:pPr>
        <w:pStyle w:val="BodyText"/>
      </w:pPr>
      <w:r>
        <w:t>Where the measures that would be reversed under the proposal relate to transfer payments, the administered expenses or savings related to these payments prior to 1 July 2017 have not been reinstated.</w:t>
      </w:r>
    </w:p>
    <w:p w:rsidR="000B5C96" w:rsidRPr="00BA4376" w:rsidRDefault="000B5C96" w:rsidP="003F606A">
      <w:pPr>
        <w:pStyle w:val="BodyText"/>
      </w:pPr>
      <w:r>
        <w:t>Where the measures that would be reversed under the proposal remain unlegislated, the administered expenses or savings prior to 1 July 2017 have not been reinstated, as they have not been realised.</w:t>
      </w:r>
    </w:p>
    <w:p w:rsidR="000B5C96" w:rsidRPr="00D151DD" w:rsidRDefault="000B5C96" w:rsidP="003F606A">
      <w:pPr>
        <w:pStyle w:val="BodyText"/>
      </w:pPr>
      <w:r w:rsidRPr="00D151DD">
        <w:t>Departmental and administered costs have been rounded to the nearest $1 million</w:t>
      </w:r>
      <w:r>
        <w:t>.</w:t>
      </w:r>
    </w:p>
    <w:p w:rsidR="000B5C96" w:rsidRPr="00FC6579" w:rsidRDefault="000B5C96" w:rsidP="003F606A">
      <w:pPr>
        <w:pStyle w:val="CostingsH7"/>
      </w:pPr>
      <w:r w:rsidRPr="00FC6579">
        <w:t>Data sources</w:t>
      </w:r>
    </w:p>
    <w:p w:rsidR="000B5C96" w:rsidRDefault="000B5C96" w:rsidP="000B5C96">
      <w:pPr>
        <w:pStyle w:val="Bullet1"/>
        <w:numPr>
          <w:ilvl w:val="0"/>
          <w:numId w:val="123"/>
        </w:numPr>
        <w:ind w:left="454" w:hanging="454"/>
        <w:sectPr w:rsidR="000B5C96" w:rsidSect="003F606A">
          <w:footnotePr>
            <w:numRestart w:val="eachSect"/>
          </w:footnotePr>
          <w:pgSz w:w="11907" w:h="16839" w:code="9"/>
          <w:pgMar w:top="1361" w:right="1797" w:bottom="1474" w:left="1797" w:header="283" w:footer="454" w:gutter="0"/>
          <w:cols w:space="708"/>
          <w:docGrid w:linePitch="360"/>
        </w:sectPr>
      </w:pPr>
      <w:r>
        <w:t>Department of Finance provided indexation and efficiency dividend parameters, and e</w:t>
      </w:r>
      <w:r w:rsidRPr="00F72AD8">
        <w:t xml:space="preserve">xtracts from the </w:t>
      </w:r>
      <w:r>
        <w:t>CBMS</w:t>
      </w:r>
      <w:r w:rsidRPr="00F72AD8">
        <w:t xml:space="preserve"> </w:t>
      </w:r>
      <w:r>
        <w:t xml:space="preserve">for </w:t>
      </w:r>
      <w:r w:rsidRPr="00F72AD8">
        <w:t xml:space="preserve">the Budget and Mid-Year Economic and Fiscal Outlook (MYEFO) </w:t>
      </w:r>
      <w:r>
        <w:t>periods of the years 2013</w:t>
      </w:r>
      <w:r w:rsidRPr="00040246">
        <w:t>–</w:t>
      </w:r>
      <w:r>
        <w:t>14, 2014</w:t>
      </w:r>
      <w:r w:rsidRPr="00040246">
        <w:t>–</w:t>
      </w:r>
      <w:r>
        <w:t>15, 2015</w:t>
      </w:r>
      <w:r w:rsidRPr="00040246">
        <w:t>–</w:t>
      </w:r>
      <w:r>
        <w:t>16 and 2016</w:t>
      </w:r>
      <w:r w:rsidRPr="00040246">
        <w:t>–</w:t>
      </w:r>
      <w:r w:rsidRPr="00612A37">
        <w:t>17.</w:t>
      </w:r>
    </w:p>
    <w:p w:rsidR="000B5C96" w:rsidRDefault="000B5C96" w:rsidP="000B5C96">
      <w:pPr>
        <w:pStyle w:val="Heading6"/>
        <w:numPr>
          <w:ilvl w:val="0"/>
          <w:numId w:val="5"/>
        </w:numPr>
        <w:tabs>
          <w:tab w:val="right" w:pos="1418"/>
          <w:tab w:val="right" w:pos="1701"/>
          <w:tab w:val="right" w:pos="1985"/>
        </w:tabs>
      </w:pPr>
      <w:r w:rsidRPr="00FC6579">
        <w:t>Attachment A:</w:t>
      </w:r>
      <w:r>
        <w:t xml:space="preserve"> List of budget measures to be reversed</w:t>
      </w:r>
    </w:p>
    <w:p w:rsidR="000B5C96" w:rsidRPr="002E3E85" w:rsidRDefault="000B5C96" w:rsidP="000B5C96">
      <w:pPr>
        <w:pStyle w:val="ListBullet"/>
        <w:numPr>
          <w:ilvl w:val="0"/>
          <w:numId w:val="123"/>
        </w:numPr>
        <w:ind w:left="454" w:hanging="454"/>
      </w:pPr>
      <w:r w:rsidRPr="00107C60">
        <w:rPr>
          <w:i/>
        </w:rPr>
        <w:t xml:space="preserve">Discontinue the establishment of Australia’s diplomatic post — Senegal </w:t>
      </w:r>
      <w:r w:rsidRPr="009066AF">
        <w:t>(MYEFO 2013</w:t>
      </w:r>
      <w:r w:rsidRPr="009066AF">
        <w:noBreakHyphen/>
        <w:t>14)</w:t>
      </w:r>
    </w:p>
    <w:p w:rsidR="000B5C96" w:rsidRDefault="000B5C96" w:rsidP="000B5C96">
      <w:pPr>
        <w:pStyle w:val="ListBullet"/>
        <w:numPr>
          <w:ilvl w:val="0"/>
          <w:numId w:val="123"/>
        </w:numPr>
        <w:ind w:left="454" w:hanging="454"/>
      </w:pPr>
      <w:r w:rsidRPr="00D16A6E">
        <w:t xml:space="preserve">Live Animal Exports — Business Assistance Supply Chain and Official Development </w:t>
      </w:r>
      <w:r w:rsidRPr="00107C60">
        <w:rPr>
          <w:i/>
        </w:rPr>
        <w:t xml:space="preserve">Assistance (Improved Animal Welfare Program) — cessation </w:t>
      </w:r>
      <w:r>
        <w:t>(Budget 2014-15)</w:t>
      </w:r>
    </w:p>
    <w:p w:rsidR="000B5C96" w:rsidRDefault="000B5C96" w:rsidP="000B5C96">
      <w:pPr>
        <w:pStyle w:val="ListBullet"/>
        <w:numPr>
          <w:ilvl w:val="0"/>
          <w:numId w:val="123"/>
        </w:numPr>
        <w:ind w:left="454" w:hanging="454"/>
      </w:pPr>
      <w:r w:rsidRPr="00107C60">
        <w:rPr>
          <w:i/>
        </w:rPr>
        <w:t>Australian Animal Welfare Strategy — cessation</w:t>
      </w:r>
      <w:r w:rsidRPr="00D16A6E">
        <w:t xml:space="preserve"> </w:t>
      </w:r>
      <w:r>
        <w:t>(Budget 2014-15)</w:t>
      </w:r>
    </w:p>
    <w:p w:rsidR="000B5C96" w:rsidRDefault="000B5C96" w:rsidP="000B5C96">
      <w:pPr>
        <w:pStyle w:val="ListBullet"/>
        <w:numPr>
          <w:ilvl w:val="0"/>
          <w:numId w:val="123"/>
        </w:numPr>
        <w:ind w:left="454" w:hanging="454"/>
      </w:pPr>
      <w:r w:rsidRPr="00107C60">
        <w:rPr>
          <w:i/>
        </w:rPr>
        <w:t xml:space="preserve">Australian Broadcasting Corporation and Special Broadcasting Service Corporation — efficiency savings </w:t>
      </w:r>
      <w:r>
        <w:t>(Budget 2014-15)</w:t>
      </w:r>
    </w:p>
    <w:p w:rsidR="000B5C96" w:rsidRPr="00156F5A" w:rsidRDefault="000B5C96" w:rsidP="000B5C96">
      <w:pPr>
        <w:pStyle w:val="ListBullet"/>
        <w:numPr>
          <w:ilvl w:val="0"/>
          <w:numId w:val="123"/>
        </w:numPr>
        <w:ind w:left="454" w:hanging="454"/>
      </w:pPr>
      <w:r w:rsidRPr="00107C60">
        <w:rPr>
          <w:i/>
        </w:rPr>
        <w:t xml:space="preserve">Australian Broadcasting Corporation and Special Broadcasting Service — additional efficiency savings </w:t>
      </w:r>
      <w:r>
        <w:t>(MYEFO 2014</w:t>
      </w:r>
      <w:r>
        <w:noBreakHyphen/>
        <w:t>15)</w:t>
      </w:r>
    </w:p>
    <w:p w:rsidR="000B5C96" w:rsidRPr="00D16A6E" w:rsidRDefault="000B5C96" w:rsidP="000B5C96">
      <w:pPr>
        <w:pStyle w:val="ListBullet"/>
        <w:numPr>
          <w:ilvl w:val="0"/>
          <w:numId w:val="123"/>
        </w:numPr>
        <w:ind w:left="454" w:hanging="454"/>
      </w:pPr>
      <w:r w:rsidRPr="00107C60">
        <w:rPr>
          <w:i/>
        </w:rPr>
        <w:t>Cuts to Screen Australia (in Arts programs — reduced funding</w:t>
      </w:r>
      <w:r>
        <w:t xml:space="preserve"> (Budget 2014-15)</w:t>
      </w:r>
    </w:p>
    <w:p w:rsidR="000B5C96" w:rsidRPr="002E3E85" w:rsidRDefault="000B5C96" w:rsidP="000B5C96">
      <w:pPr>
        <w:pStyle w:val="ListBullet"/>
        <w:numPr>
          <w:ilvl w:val="0"/>
          <w:numId w:val="123"/>
        </w:numPr>
        <w:ind w:left="454" w:hanging="454"/>
      </w:pPr>
      <w:r w:rsidRPr="00107C60">
        <w:rPr>
          <w:i/>
        </w:rPr>
        <w:t>Efficiency Dividend — a further temporary increase of 0.25%</w:t>
      </w:r>
      <w:r>
        <w:t xml:space="preserve"> (Budget 2014-15)</w:t>
      </w:r>
    </w:p>
    <w:p w:rsidR="000B5C96" w:rsidRPr="0005404B" w:rsidRDefault="000B5C96" w:rsidP="000B5C96">
      <w:pPr>
        <w:pStyle w:val="ListBullet"/>
        <w:numPr>
          <w:ilvl w:val="0"/>
          <w:numId w:val="123"/>
        </w:numPr>
        <w:ind w:left="454" w:hanging="454"/>
      </w:pPr>
      <w:r w:rsidRPr="00107C60">
        <w:rPr>
          <w:i/>
        </w:rPr>
        <w:t xml:space="preserve">Australian Institute for Teaching and School Leadership - reduced funding </w:t>
      </w:r>
      <w:r>
        <w:t>(Budget 2014</w:t>
      </w:r>
      <w:r>
        <w:noBreakHyphen/>
        <w:t>15)</w:t>
      </w:r>
    </w:p>
    <w:p w:rsidR="000B5C96" w:rsidRPr="00D16A6E" w:rsidRDefault="000B5C96" w:rsidP="000B5C96">
      <w:pPr>
        <w:pStyle w:val="ListBullet"/>
        <w:numPr>
          <w:ilvl w:val="0"/>
          <w:numId w:val="123"/>
        </w:numPr>
        <w:ind w:left="454" w:hanging="454"/>
      </w:pPr>
      <w:r w:rsidRPr="00107C60">
        <w:rPr>
          <w:i/>
        </w:rPr>
        <w:t>Bureau of Meteorology — improved efficiency</w:t>
      </w:r>
      <w:r w:rsidRPr="00D16A6E">
        <w:t xml:space="preserve"> </w:t>
      </w:r>
      <w:r>
        <w:t>(Budget 2014-15)</w:t>
      </w:r>
    </w:p>
    <w:p w:rsidR="000B5C96" w:rsidRPr="00D16A6E" w:rsidRDefault="000B5C96" w:rsidP="000B5C96">
      <w:pPr>
        <w:pStyle w:val="ListBullet"/>
        <w:numPr>
          <w:ilvl w:val="0"/>
          <w:numId w:val="123"/>
        </w:numPr>
        <w:ind w:left="454" w:hanging="454"/>
      </w:pPr>
      <w:r w:rsidRPr="00107C60">
        <w:rPr>
          <w:i/>
        </w:rPr>
        <w:t>Grants to Voluntary Environment, Sustainability and Heritage Organisations — cessation</w:t>
      </w:r>
      <w:r>
        <w:t xml:space="preserve"> (Budget 2014-15)</w:t>
      </w:r>
    </w:p>
    <w:p w:rsidR="000B5C96" w:rsidRPr="002E3E85" w:rsidRDefault="000B5C96" w:rsidP="000B5C96">
      <w:pPr>
        <w:pStyle w:val="ListBullet"/>
        <w:numPr>
          <w:ilvl w:val="0"/>
          <w:numId w:val="123"/>
        </w:numPr>
        <w:ind w:left="454" w:hanging="454"/>
      </w:pPr>
      <w:r w:rsidRPr="00107C60">
        <w:rPr>
          <w:i/>
        </w:rPr>
        <w:t xml:space="preserve">Sustainable Rural Water Use and Infrastructure Program — reduced funding </w:t>
      </w:r>
      <w:r w:rsidRPr="0005404B">
        <w:t>(Budget</w:t>
      </w:r>
      <w:r>
        <w:t> </w:t>
      </w:r>
      <w:r w:rsidRPr="0005404B">
        <w:t>2014-15)</w:t>
      </w:r>
    </w:p>
    <w:p w:rsidR="000B5C96" w:rsidRPr="002E3E85" w:rsidRDefault="000B5C96" w:rsidP="000B5C96">
      <w:pPr>
        <w:pStyle w:val="ListBullet"/>
        <w:numPr>
          <w:ilvl w:val="0"/>
          <w:numId w:val="123"/>
        </w:numPr>
        <w:ind w:left="454" w:hanging="454"/>
      </w:pPr>
      <w:r w:rsidRPr="00107C60">
        <w:rPr>
          <w:i/>
        </w:rPr>
        <w:t>Sustainable Rural Water Use and Infrastructure Program — reduced funding</w:t>
      </w:r>
      <w:r w:rsidRPr="008D7FAF">
        <w:t xml:space="preserve"> </w:t>
      </w:r>
      <w:r>
        <w:t>(Budget </w:t>
      </w:r>
      <w:r w:rsidRPr="008D7FAF">
        <w:t>2015-16)</w:t>
      </w:r>
    </w:p>
    <w:p w:rsidR="000B5C96" w:rsidRPr="00517CA6" w:rsidRDefault="000B5C96" w:rsidP="000B5C96">
      <w:pPr>
        <w:pStyle w:val="ListBullet"/>
        <w:numPr>
          <w:ilvl w:val="0"/>
          <w:numId w:val="123"/>
        </w:numPr>
        <w:ind w:left="454" w:hanging="454"/>
      </w:pPr>
      <w:r w:rsidRPr="00107C60">
        <w:rPr>
          <w:i/>
        </w:rPr>
        <w:t>Pharmaceutical Benefits Scheme — increase in co-payments and safety net thresholds</w:t>
      </w:r>
      <w:r w:rsidRPr="00517CA6">
        <w:t xml:space="preserve"> (Budget 2014</w:t>
      </w:r>
      <w:r w:rsidRPr="00517CA6">
        <w:noBreakHyphen/>
        <w:t>15)</w:t>
      </w:r>
    </w:p>
    <w:p w:rsidR="000B5C96" w:rsidRPr="00D16A6E" w:rsidRDefault="000B5C96" w:rsidP="000B5C96">
      <w:pPr>
        <w:pStyle w:val="ListBullet"/>
        <w:numPr>
          <w:ilvl w:val="0"/>
          <w:numId w:val="123"/>
        </w:numPr>
        <w:ind w:left="454" w:hanging="454"/>
      </w:pPr>
      <w:r w:rsidRPr="00107C60">
        <w:rPr>
          <w:i/>
        </w:rPr>
        <w:t xml:space="preserve">Pausing indexation of some Medicare Benefits Schedule fees and the Medicare Levy Surcharge and Private Health Insurance Rebate thresholds </w:t>
      </w:r>
      <w:r>
        <w:t>(Budget 2014</w:t>
      </w:r>
      <w:r>
        <w:noBreakHyphen/>
        <w:t>15)</w:t>
      </w:r>
    </w:p>
    <w:p w:rsidR="000B5C96" w:rsidRPr="00D16A6E" w:rsidRDefault="000B5C96" w:rsidP="000B5C96">
      <w:pPr>
        <w:pStyle w:val="ListBullet"/>
        <w:numPr>
          <w:ilvl w:val="0"/>
          <w:numId w:val="123"/>
        </w:numPr>
        <w:ind w:left="454" w:hanging="454"/>
      </w:pPr>
      <w:r w:rsidRPr="00107C60">
        <w:rPr>
          <w:i/>
        </w:rPr>
        <w:t xml:space="preserve">National Partnership Agreement on Improving Public Hospital Services — cessation </w:t>
      </w:r>
      <w:r>
        <w:t>(Budget 2014</w:t>
      </w:r>
      <w:r>
        <w:noBreakHyphen/>
        <w:t>15)</w:t>
      </w:r>
    </w:p>
    <w:p w:rsidR="000B5C96" w:rsidRPr="00D16A6E" w:rsidRDefault="000B5C96" w:rsidP="000B5C96">
      <w:pPr>
        <w:pStyle w:val="ListBullet"/>
        <w:numPr>
          <w:ilvl w:val="0"/>
          <w:numId w:val="123"/>
        </w:numPr>
        <w:ind w:left="454" w:hanging="454"/>
      </w:pPr>
      <w:r w:rsidRPr="00107C60">
        <w:rPr>
          <w:i/>
        </w:rPr>
        <w:t xml:space="preserve">National Partnership Agreement on Preventive Health — cessation </w:t>
      </w:r>
      <w:r>
        <w:t>(Budget 2014</w:t>
      </w:r>
      <w:r>
        <w:noBreakHyphen/>
        <w:t>15)</w:t>
      </w:r>
    </w:p>
    <w:p w:rsidR="000B5C96" w:rsidRPr="002E3E85" w:rsidRDefault="000B5C96" w:rsidP="000B5C96">
      <w:pPr>
        <w:pStyle w:val="ListBullet"/>
        <w:numPr>
          <w:ilvl w:val="0"/>
          <w:numId w:val="123"/>
        </w:numPr>
        <w:ind w:left="454" w:hanging="454"/>
      </w:pPr>
      <w:r w:rsidRPr="00107C60">
        <w:rPr>
          <w:i/>
        </w:rPr>
        <w:t xml:space="preserve">Smaller Government — Australian National Preventive Health Agency — abolish </w:t>
      </w:r>
      <w:r>
        <w:t>(Budget 2014</w:t>
      </w:r>
      <w:r>
        <w:noBreakHyphen/>
        <w:t>15)</w:t>
      </w:r>
    </w:p>
    <w:p w:rsidR="000B5C96" w:rsidRPr="00E1547D" w:rsidRDefault="000B5C96" w:rsidP="000B5C96">
      <w:pPr>
        <w:pStyle w:val="ListBullet"/>
        <w:numPr>
          <w:ilvl w:val="0"/>
          <w:numId w:val="123"/>
        </w:numPr>
        <w:ind w:left="454" w:hanging="454"/>
      </w:pPr>
      <w:r w:rsidRPr="00107C60">
        <w:rPr>
          <w:i/>
        </w:rPr>
        <w:t>Local Government Financial Assistance Grants — pause indexation for three years</w:t>
      </w:r>
      <w:r>
        <w:t xml:space="preserve"> (Budget 2014</w:t>
      </w:r>
      <w:r>
        <w:noBreakHyphen/>
        <w:t>15)</w:t>
      </w:r>
    </w:p>
    <w:p w:rsidR="000B5C96" w:rsidRPr="00E1547D" w:rsidRDefault="000B5C96" w:rsidP="000B5C96">
      <w:pPr>
        <w:pStyle w:val="ListBullet"/>
        <w:numPr>
          <w:ilvl w:val="0"/>
          <w:numId w:val="123"/>
        </w:numPr>
        <w:ind w:left="454" w:hanging="454"/>
      </w:pPr>
      <w:r w:rsidRPr="00107C60">
        <w:rPr>
          <w:i/>
        </w:rPr>
        <w:t xml:space="preserve">Aged Care Payroll Tax Supplement — cessation </w:t>
      </w:r>
      <w:r>
        <w:t>(Budget 2014</w:t>
      </w:r>
      <w:r>
        <w:noBreakHyphen/>
        <w:t>15)</w:t>
      </w:r>
    </w:p>
    <w:p w:rsidR="000B5C96" w:rsidRPr="008D7FAF" w:rsidRDefault="000B5C96" w:rsidP="000B5C96">
      <w:pPr>
        <w:pStyle w:val="ListBullet"/>
        <w:numPr>
          <w:ilvl w:val="0"/>
          <w:numId w:val="123"/>
        </w:numPr>
        <w:ind w:left="454" w:hanging="454"/>
      </w:pPr>
      <w:r w:rsidRPr="00107C60">
        <w:rPr>
          <w:i/>
        </w:rPr>
        <w:t>Apply the One-Week Ordinary Waiting Period to all Working Age Payments</w:t>
      </w:r>
      <w:r w:rsidRPr="008D7FAF">
        <w:t xml:space="preserve"> (Budget</w:t>
      </w:r>
      <w:r>
        <w:t> </w:t>
      </w:r>
      <w:r w:rsidRPr="008D7FAF">
        <w:t>2014-15)</w:t>
      </w:r>
    </w:p>
    <w:p w:rsidR="000B5C96" w:rsidRPr="00D16A6E" w:rsidRDefault="000B5C96" w:rsidP="000B5C96">
      <w:pPr>
        <w:pStyle w:val="ListBullet"/>
        <w:numPr>
          <w:ilvl w:val="0"/>
          <w:numId w:val="123"/>
        </w:numPr>
        <w:ind w:left="454" w:hanging="454"/>
      </w:pPr>
      <w:r w:rsidRPr="00107C60">
        <w:rPr>
          <w:i/>
        </w:rPr>
        <w:t>Maintain eligibility thresholds for Australian Government payments for three years</w:t>
      </w:r>
      <w:r>
        <w:t xml:space="preserve"> (Budget 2014</w:t>
      </w:r>
      <w:r>
        <w:noBreakHyphen/>
        <w:t>15)</w:t>
      </w:r>
    </w:p>
    <w:p w:rsidR="000B5C96" w:rsidRPr="00E1547D" w:rsidRDefault="000B5C96" w:rsidP="000B5C96">
      <w:pPr>
        <w:pStyle w:val="ListBullet"/>
        <w:numPr>
          <w:ilvl w:val="0"/>
          <w:numId w:val="123"/>
        </w:numPr>
        <w:ind w:left="454" w:hanging="454"/>
      </w:pPr>
      <w:r w:rsidRPr="00107C60">
        <w:rPr>
          <w:i/>
        </w:rPr>
        <w:t xml:space="preserve">Discretionary Grant Program Reform </w:t>
      </w:r>
      <w:r>
        <w:t>(Budget 2014</w:t>
      </w:r>
      <w:r>
        <w:noBreakHyphen/>
        <w:t>15)</w:t>
      </w:r>
    </w:p>
    <w:p w:rsidR="000B5C96" w:rsidRPr="008D23E7" w:rsidRDefault="000B5C96" w:rsidP="000B5C96">
      <w:pPr>
        <w:pStyle w:val="ListBullet"/>
        <w:numPr>
          <w:ilvl w:val="0"/>
          <w:numId w:val="123"/>
        </w:numPr>
        <w:ind w:left="454" w:hanging="454"/>
      </w:pPr>
      <w:r w:rsidRPr="00107C60">
        <w:rPr>
          <w:i/>
        </w:rPr>
        <w:t xml:space="preserve">Pensioner Education Supplement — cessation </w:t>
      </w:r>
      <w:r>
        <w:t>(Budget 2014</w:t>
      </w:r>
      <w:r>
        <w:noBreakHyphen/>
        <w:t>15)</w:t>
      </w:r>
    </w:p>
    <w:p w:rsidR="000B5C96" w:rsidRPr="002E3E85" w:rsidRDefault="000B5C96" w:rsidP="000B5C96">
      <w:pPr>
        <w:pStyle w:val="ListBullet"/>
        <w:numPr>
          <w:ilvl w:val="0"/>
          <w:numId w:val="123"/>
        </w:numPr>
        <w:ind w:left="454" w:hanging="454"/>
      </w:pPr>
      <w:r w:rsidRPr="00107C60">
        <w:rPr>
          <w:i/>
        </w:rPr>
        <w:t>Reprioritising the Aged Care Workforce Supplement (reverse all savings)</w:t>
      </w:r>
      <w:r>
        <w:t xml:space="preserve"> (Budget 2014</w:t>
      </w:r>
      <w:r>
        <w:noBreakHyphen/>
        <w:t>15)</w:t>
      </w:r>
    </w:p>
    <w:p w:rsidR="000B5C96" w:rsidRPr="00D16A6E" w:rsidRDefault="000B5C96" w:rsidP="000B5C96">
      <w:pPr>
        <w:pStyle w:val="ListBullet"/>
        <w:numPr>
          <w:ilvl w:val="0"/>
          <w:numId w:val="123"/>
        </w:numPr>
        <w:ind w:left="454" w:hanging="454"/>
      </w:pPr>
      <w:r w:rsidRPr="00107C60">
        <w:rPr>
          <w:i/>
        </w:rPr>
        <w:t xml:space="preserve">Disability Support Pension — compulsory participation requirements for recipients aged under 35 years </w:t>
      </w:r>
      <w:r>
        <w:t>(Budget 2014</w:t>
      </w:r>
      <w:r>
        <w:noBreakHyphen/>
        <w:t>15)</w:t>
      </w:r>
    </w:p>
    <w:p w:rsidR="000B5C96" w:rsidRPr="00D16A6E" w:rsidRDefault="000B5C96" w:rsidP="000B5C96">
      <w:pPr>
        <w:pStyle w:val="ListBullet"/>
        <w:numPr>
          <w:ilvl w:val="0"/>
          <w:numId w:val="123"/>
        </w:numPr>
        <w:ind w:left="454" w:hanging="454"/>
      </w:pPr>
      <w:r w:rsidRPr="00107C60">
        <w:rPr>
          <w:i/>
        </w:rPr>
        <w:t xml:space="preserve">Disability Support Pension — review recipients aged under 35 years </w:t>
      </w:r>
      <w:r>
        <w:t>(Budget 2014</w:t>
      </w:r>
      <w:r>
        <w:noBreakHyphen/>
        <w:t>15)</w:t>
      </w:r>
    </w:p>
    <w:p w:rsidR="000B5C96" w:rsidRPr="00D16A6E" w:rsidRDefault="000B5C96" w:rsidP="000B5C96">
      <w:pPr>
        <w:pStyle w:val="ListBullet"/>
        <w:numPr>
          <w:ilvl w:val="0"/>
          <w:numId w:val="123"/>
        </w:numPr>
        <w:ind w:left="454" w:hanging="454"/>
      </w:pPr>
      <w:r w:rsidRPr="00107C60">
        <w:rPr>
          <w:i/>
        </w:rPr>
        <w:t>Disability Support Pension — reduced portability</w:t>
      </w:r>
      <w:r>
        <w:t xml:space="preserve"> (Budget 2014</w:t>
      </w:r>
      <w:r>
        <w:noBreakHyphen/>
        <w:t>15)</w:t>
      </w:r>
    </w:p>
    <w:p w:rsidR="000B5C96" w:rsidRPr="00D16A6E" w:rsidRDefault="000B5C96" w:rsidP="000B5C96">
      <w:pPr>
        <w:pStyle w:val="ListBullet"/>
        <w:numPr>
          <w:ilvl w:val="0"/>
          <w:numId w:val="123"/>
        </w:numPr>
        <w:ind w:left="454" w:hanging="454"/>
      </w:pPr>
      <w:r w:rsidRPr="00107C60">
        <w:rPr>
          <w:i/>
        </w:rPr>
        <w:t>National Homelessness Research Strategy — reduced funding</w:t>
      </w:r>
      <w:r w:rsidRPr="00D16A6E">
        <w:t xml:space="preserve"> </w:t>
      </w:r>
      <w:r>
        <w:t>(Budget 2014</w:t>
      </w:r>
      <w:r>
        <w:noBreakHyphen/>
        <w:t>15)</w:t>
      </w:r>
    </w:p>
    <w:p w:rsidR="000B5C96" w:rsidRPr="001815AD" w:rsidRDefault="000B5C96" w:rsidP="000B5C96">
      <w:pPr>
        <w:pStyle w:val="ListBullet"/>
        <w:numPr>
          <w:ilvl w:val="0"/>
          <w:numId w:val="123"/>
        </w:numPr>
        <w:ind w:left="454" w:hanging="454"/>
      </w:pPr>
      <w:r w:rsidRPr="00107C60">
        <w:rPr>
          <w:i/>
        </w:rPr>
        <w:t>Health Flexible Funds - Pausing indexation and achieving efficiencies</w:t>
      </w:r>
      <w:r w:rsidRPr="001815AD">
        <w:t xml:space="preserve"> (Budget 2014-15)</w:t>
      </w:r>
    </w:p>
    <w:p w:rsidR="000B5C96" w:rsidRPr="00A56E17" w:rsidRDefault="000B5C96" w:rsidP="000B5C96">
      <w:pPr>
        <w:pStyle w:val="ListBullet"/>
        <w:numPr>
          <w:ilvl w:val="0"/>
          <w:numId w:val="123"/>
        </w:numPr>
        <w:ind w:left="454" w:hanging="454"/>
      </w:pPr>
      <w:r w:rsidRPr="00107C60">
        <w:rPr>
          <w:i/>
        </w:rPr>
        <w:t>Health Flexible Funds - Pausing indexation and achieving efficiencies</w:t>
      </w:r>
      <w:r w:rsidRPr="0098644E">
        <w:t xml:space="preserve"> (Budget 2016-17)</w:t>
      </w:r>
    </w:p>
    <w:p w:rsidR="000B5C96" w:rsidRPr="00A56E17" w:rsidRDefault="000B5C96" w:rsidP="000B5C96">
      <w:pPr>
        <w:pStyle w:val="ListBullet"/>
        <w:numPr>
          <w:ilvl w:val="0"/>
          <w:numId w:val="123"/>
        </w:numPr>
        <w:ind w:left="454" w:hanging="454"/>
      </w:pPr>
      <w:r w:rsidRPr="00107C60">
        <w:rPr>
          <w:i/>
        </w:rPr>
        <w:t xml:space="preserve">Abolish the Seafarer Tax Offset </w:t>
      </w:r>
      <w:r>
        <w:t>(Budget 2014</w:t>
      </w:r>
      <w:r>
        <w:noBreakHyphen/>
        <w:t>15)</w:t>
      </w:r>
    </w:p>
    <w:p w:rsidR="000B5C96" w:rsidRPr="002E3E85" w:rsidRDefault="000B5C96" w:rsidP="000B5C96">
      <w:pPr>
        <w:pStyle w:val="ListBullet"/>
        <w:numPr>
          <w:ilvl w:val="0"/>
          <w:numId w:val="123"/>
        </w:numPr>
        <w:ind w:left="454" w:hanging="454"/>
      </w:pPr>
      <w:r w:rsidRPr="00107C60">
        <w:rPr>
          <w:i/>
        </w:rPr>
        <w:t>Disability Support Pension — revised assessment process</w:t>
      </w:r>
      <w:r w:rsidRPr="008D7FAF">
        <w:t xml:space="preserve"> (MYEFO 2014-15)</w:t>
      </w:r>
    </w:p>
    <w:p w:rsidR="000B5C96" w:rsidRPr="002F2368" w:rsidRDefault="000B5C96" w:rsidP="000B5C96">
      <w:pPr>
        <w:pStyle w:val="ListBullet"/>
        <w:numPr>
          <w:ilvl w:val="0"/>
          <w:numId w:val="123"/>
        </w:numPr>
        <w:ind w:left="454" w:hanging="454"/>
      </w:pPr>
      <w:r w:rsidRPr="00107C60">
        <w:rPr>
          <w:i/>
        </w:rPr>
        <w:t>Cessation of social security benefits for certain people confined in a psychiatric institution</w:t>
      </w:r>
      <w:r>
        <w:t xml:space="preserve"> (MYEFO 2014</w:t>
      </w:r>
      <w:r>
        <w:noBreakHyphen/>
        <w:t>15)</w:t>
      </w:r>
    </w:p>
    <w:p w:rsidR="000B5C96" w:rsidRPr="008D7FAF" w:rsidRDefault="000B5C96" w:rsidP="000B5C96">
      <w:pPr>
        <w:pStyle w:val="ListBullet"/>
        <w:numPr>
          <w:ilvl w:val="0"/>
          <w:numId w:val="123"/>
        </w:numPr>
        <w:ind w:left="454" w:hanging="454"/>
      </w:pPr>
      <w:r w:rsidRPr="00107C60">
        <w:rPr>
          <w:i/>
        </w:rPr>
        <w:t>Arts and Cultural Programs — efficiencies</w:t>
      </w:r>
      <w:r w:rsidRPr="008D7FAF">
        <w:t xml:space="preserve"> </w:t>
      </w:r>
      <w:r>
        <w:t>(Budget 2015-16)</w:t>
      </w:r>
    </w:p>
    <w:p w:rsidR="000B5C96" w:rsidRPr="008D7FAF" w:rsidRDefault="000B5C96" w:rsidP="000B5C96">
      <w:pPr>
        <w:pStyle w:val="ListBullet"/>
        <w:numPr>
          <w:ilvl w:val="0"/>
          <w:numId w:val="123"/>
        </w:numPr>
        <w:ind w:left="454" w:hanging="454"/>
      </w:pPr>
      <w:r w:rsidRPr="00107C60">
        <w:rPr>
          <w:i/>
        </w:rPr>
        <w:t>Employment Services – Changes to Service Fees and Cessation of Personal Contact Interviews</w:t>
      </w:r>
      <w:r w:rsidRPr="008D7FAF">
        <w:t xml:space="preserve"> (Budget 2015-16)</w:t>
      </w:r>
    </w:p>
    <w:p w:rsidR="000B5C96" w:rsidRPr="002E3E85" w:rsidRDefault="000B5C96" w:rsidP="000B5C96">
      <w:pPr>
        <w:pStyle w:val="ListBullet"/>
        <w:numPr>
          <w:ilvl w:val="0"/>
          <w:numId w:val="123"/>
        </w:numPr>
        <w:ind w:left="454" w:hanging="454"/>
      </w:pPr>
      <w:r w:rsidRPr="00107C60">
        <w:rPr>
          <w:i/>
        </w:rPr>
        <w:t xml:space="preserve">Growing Jobs and Small Business — Youth Employment Strategy — revised waiting period for youth income support </w:t>
      </w:r>
      <w:r>
        <w:t>(Budget 2015-16)</w:t>
      </w:r>
    </w:p>
    <w:p w:rsidR="000B5C96" w:rsidRPr="008D7FAF" w:rsidRDefault="000B5C96" w:rsidP="000B5C96">
      <w:pPr>
        <w:pStyle w:val="ListBullet"/>
        <w:numPr>
          <w:ilvl w:val="0"/>
          <w:numId w:val="123"/>
        </w:numPr>
        <w:ind w:left="454" w:hanging="454"/>
      </w:pPr>
      <w:r w:rsidRPr="00107C60">
        <w:rPr>
          <w:i/>
        </w:rPr>
        <w:t>Australian Working Life Residence — tightening proportionality requirements</w:t>
      </w:r>
      <w:r w:rsidRPr="008D7FAF">
        <w:t xml:space="preserve"> (Budget</w:t>
      </w:r>
      <w:r>
        <w:t> </w:t>
      </w:r>
      <w:r w:rsidRPr="008D7FAF">
        <w:t>2015-16)</w:t>
      </w:r>
    </w:p>
    <w:p w:rsidR="000B5C96" w:rsidRPr="008D7FAF" w:rsidRDefault="000B5C96" w:rsidP="000B5C96">
      <w:pPr>
        <w:pStyle w:val="ListBullet"/>
        <w:numPr>
          <w:ilvl w:val="0"/>
          <w:numId w:val="123"/>
        </w:numPr>
        <w:ind w:left="454" w:hanging="454"/>
      </w:pPr>
      <w:r w:rsidRPr="00107C60">
        <w:rPr>
          <w:i/>
        </w:rPr>
        <w:t>A New Remote Indigenous Housing Strategy</w:t>
      </w:r>
      <w:r w:rsidRPr="008D7FAF">
        <w:t xml:space="preserve"> (Budget 2015-16)</w:t>
      </w:r>
    </w:p>
    <w:p w:rsidR="000B5C96" w:rsidRPr="008D7FAF" w:rsidRDefault="000B5C96" w:rsidP="000B5C96">
      <w:pPr>
        <w:pStyle w:val="ListBullet"/>
        <w:numPr>
          <w:ilvl w:val="0"/>
          <w:numId w:val="123"/>
        </w:numPr>
        <w:ind w:left="454" w:hanging="454"/>
      </w:pPr>
      <w:r w:rsidRPr="00107C60">
        <w:rPr>
          <w:i/>
        </w:rPr>
        <w:t>Reversal of Banking and Life Insurance unclaimed provisions</w:t>
      </w:r>
      <w:r w:rsidRPr="008D7FAF">
        <w:t xml:space="preserve"> (Budget 2015-16)</w:t>
      </w:r>
    </w:p>
    <w:p w:rsidR="000B5C96" w:rsidRPr="002E3E85" w:rsidRDefault="000B5C96" w:rsidP="000B5C96">
      <w:pPr>
        <w:pStyle w:val="ListBullet"/>
        <w:numPr>
          <w:ilvl w:val="0"/>
          <w:numId w:val="123"/>
        </w:numPr>
        <w:ind w:left="454" w:hanging="454"/>
      </w:pPr>
      <w:r w:rsidRPr="00107C60">
        <w:rPr>
          <w:i/>
        </w:rPr>
        <w:t xml:space="preserve">Personal Income Tax — changes to tax residency rules for temporary working holiday makers </w:t>
      </w:r>
      <w:r w:rsidRPr="009066AF">
        <w:t>(Backpacker Tax) (Budget 2015-16)</w:t>
      </w:r>
    </w:p>
    <w:p w:rsidR="000B5C96" w:rsidRPr="006233BD" w:rsidRDefault="000B5C96" w:rsidP="000B5C96">
      <w:pPr>
        <w:pStyle w:val="ListBullet"/>
        <w:numPr>
          <w:ilvl w:val="0"/>
          <w:numId w:val="123"/>
        </w:numPr>
        <w:ind w:left="454" w:hanging="454"/>
      </w:pPr>
      <w:r w:rsidRPr="00107C60">
        <w:rPr>
          <w:i/>
        </w:rPr>
        <w:t>Communications and the Arts Portfolio — efficiencies</w:t>
      </w:r>
      <w:r w:rsidRPr="006233BD">
        <w:t xml:space="preserve"> (MYEFO 2015-16)</w:t>
      </w:r>
    </w:p>
    <w:p w:rsidR="000B5C96" w:rsidRPr="006233BD" w:rsidRDefault="000B5C96" w:rsidP="000B5C96">
      <w:pPr>
        <w:pStyle w:val="ListBullet"/>
        <w:numPr>
          <w:ilvl w:val="0"/>
          <w:numId w:val="123"/>
        </w:numPr>
        <w:ind w:left="454" w:hanging="454"/>
      </w:pPr>
      <w:r w:rsidRPr="00107C60">
        <w:rPr>
          <w:i/>
        </w:rPr>
        <w:t xml:space="preserve">Medicare Benefits Schedule — changes to diagnostic imaging and pathology services bulk-billing incentives </w:t>
      </w:r>
      <w:r>
        <w:t>(MYEFO 2015</w:t>
      </w:r>
      <w:r>
        <w:noBreakHyphen/>
        <w:t>16)</w:t>
      </w:r>
    </w:p>
    <w:p w:rsidR="000B5C96" w:rsidRPr="0098644E" w:rsidRDefault="000B5C96" w:rsidP="000B5C96">
      <w:pPr>
        <w:pStyle w:val="ListBullet"/>
        <w:numPr>
          <w:ilvl w:val="0"/>
          <w:numId w:val="123"/>
        </w:numPr>
        <w:ind w:left="454" w:hanging="454"/>
      </w:pPr>
      <w:r w:rsidRPr="00107C60">
        <w:rPr>
          <w:i/>
        </w:rPr>
        <w:t xml:space="preserve">Applying a General Interest Charge to the Debts of Ex-recipients of Social Security and Family Assistance Payments </w:t>
      </w:r>
      <w:r w:rsidRPr="0098644E">
        <w:t>(MYEFO 2015</w:t>
      </w:r>
      <w:r w:rsidRPr="0098644E">
        <w:noBreakHyphen/>
        <w:t>16)</w:t>
      </w:r>
    </w:p>
    <w:p w:rsidR="000B5C96" w:rsidRPr="0098644E" w:rsidRDefault="000B5C96" w:rsidP="000B5C96">
      <w:pPr>
        <w:pStyle w:val="ListBullet"/>
        <w:numPr>
          <w:ilvl w:val="0"/>
          <w:numId w:val="123"/>
        </w:numPr>
        <w:ind w:left="454" w:hanging="454"/>
      </w:pPr>
      <w:r w:rsidRPr="00107C60">
        <w:rPr>
          <w:i/>
        </w:rPr>
        <w:t xml:space="preserve">Job Seeker Services — streamlining arrangements </w:t>
      </w:r>
      <w:r>
        <w:t>(MYEFO 2015</w:t>
      </w:r>
      <w:r>
        <w:noBreakHyphen/>
        <w:t>16)</w:t>
      </w:r>
    </w:p>
    <w:p w:rsidR="000B5C96" w:rsidRPr="005C5DF7" w:rsidRDefault="000B5C96" w:rsidP="000B5C96">
      <w:pPr>
        <w:pStyle w:val="ListBullet"/>
        <w:numPr>
          <w:ilvl w:val="0"/>
          <w:numId w:val="123"/>
        </w:numPr>
        <w:ind w:left="454" w:hanging="454"/>
      </w:pPr>
      <w:r w:rsidRPr="00107C60">
        <w:rPr>
          <w:i/>
        </w:rPr>
        <w:t>Aged Care Provider Funding — revision to the Aged Care Funding Instrument Complex Health Care Domain</w:t>
      </w:r>
      <w:r w:rsidRPr="0098644E">
        <w:t xml:space="preserve"> (MYEFO 2015</w:t>
      </w:r>
      <w:r w:rsidRPr="0098644E">
        <w:noBreakHyphen/>
        <w:t>16)</w:t>
      </w:r>
    </w:p>
    <w:p w:rsidR="000B5C96" w:rsidRPr="005C5DF7" w:rsidRDefault="000B5C96" w:rsidP="000B5C96">
      <w:pPr>
        <w:pStyle w:val="ListBullet"/>
        <w:numPr>
          <w:ilvl w:val="0"/>
          <w:numId w:val="123"/>
        </w:numPr>
        <w:ind w:left="454" w:hanging="454"/>
      </w:pPr>
      <w:r w:rsidRPr="00107C60">
        <w:rPr>
          <w:i/>
        </w:rPr>
        <w:t xml:space="preserve">Aged Care Provider Funding — further revision of the Aged Care Funding Instrument </w:t>
      </w:r>
      <w:r w:rsidRPr="009066AF">
        <w:t xml:space="preserve">(Budget 2016-17) </w:t>
      </w:r>
    </w:p>
    <w:p w:rsidR="000B5C96" w:rsidRPr="0098644E" w:rsidRDefault="000B5C96" w:rsidP="000B5C96">
      <w:pPr>
        <w:pStyle w:val="ListBullet"/>
        <w:numPr>
          <w:ilvl w:val="0"/>
          <w:numId w:val="123"/>
        </w:numPr>
        <w:ind w:left="454" w:hanging="454"/>
      </w:pPr>
      <w:r w:rsidRPr="00107C60">
        <w:rPr>
          <w:i/>
        </w:rPr>
        <w:t xml:space="preserve">Streamlining Health and Aged Care Workforce Program funding </w:t>
      </w:r>
      <w:r w:rsidRPr="0098644E">
        <w:t>(MYEFO 2015</w:t>
      </w:r>
      <w:r w:rsidRPr="0098644E">
        <w:noBreakHyphen/>
        <w:t>16)</w:t>
      </w:r>
    </w:p>
    <w:p w:rsidR="000B5C96" w:rsidRPr="0098644E" w:rsidRDefault="000B5C96" w:rsidP="000B5C96">
      <w:pPr>
        <w:pStyle w:val="ListBullet"/>
        <w:numPr>
          <w:ilvl w:val="0"/>
          <w:numId w:val="123"/>
        </w:numPr>
        <w:ind w:left="454" w:hanging="454"/>
      </w:pPr>
      <w:r w:rsidRPr="00107C60">
        <w:rPr>
          <w:i/>
        </w:rPr>
        <w:t>Indigenous Advancement Strategy – indexation pause</w:t>
      </w:r>
      <w:r>
        <w:t xml:space="preserve"> </w:t>
      </w:r>
      <w:r w:rsidRPr="0098644E">
        <w:t>(MYEFO 2015</w:t>
      </w:r>
      <w:r w:rsidRPr="0098644E">
        <w:noBreakHyphen/>
        <w:t>16)</w:t>
      </w:r>
    </w:p>
    <w:p w:rsidR="000B5C96" w:rsidRPr="0098644E" w:rsidRDefault="000B5C96" w:rsidP="000B5C96">
      <w:pPr>
        <w:pStyle w:val="ListBullet"/>
        <w:numPr>
          <w:ilvl w:val="0"/>
          <w:numId w:val="123"/>
        </w:numPr>
        <w:ind w:left="454" w:hanging="454"/>
      </w:pPr>
      <w:r w:rsidRPr="00107C60">
        <w:rPr>
          <w:i/>
        </w:rPr>
        <w:t xml:space="preserve">Remote School Attendance Strategy – continuation </w:t>
      </w:r>
      <w:r w:rsidRPr="0098644E">
        <w:t>(MYEFO 2015</w:t>
      </w:r>
      <w:r w:rsidRPr="0098644E">
        <w:noBreakHyphen/>
        <w:t>16)</w:t>
      </w:r>
    </w:p>
    <w:p w:rsidR="000B5C96" w:rsidRPr="0098644E" w:rsidRDefault="000B5C96" w:rsidP="000B5C96">
      <w:pPr>
        <w:pStyle w:val="ListBullet"/>
        <w:numPr>
          <w:ilvl w:val="0"/>
          <w:numId w:val="123"/>
        </w:numPr>
        <w:ind w:left="454" w:hanging="454"/>
      </w:pPr>
      <w:r w:rsidRPr="00107C60">
        <w:rPr>
          <w:i/>
        </w:rPr>
        <w:t xml:space="preserve">Trans-Pacific Partnership Agreement </w:t>
      </w:r>
      <w:r w:rsidRPr="0098644E">
        <w:t>(Budget 2016-17)</w:t>
      </w:r>
    </w:p>
    <w:p w:rsidR="000B5C96" w:rsidRPr="00EA3CF7" w:rsidRDefault="000B5C96" w:rsidP="000B5C96">
      <w:pPr>
        <w:pStyle w:val="ListBullet"/>
        <w:numPr>
          <w:ilvl w:val="0"/>
          <w:numId w:val="123"/>
        </w:numPr>
        <w:ind w:left="454" w:hanging="454"/>
      </w:pPr>
      <w:r w:rsidRPr="00107C60">
        <w:rPr>
          <w:i/>
        </w:rPr>
        <w:t xml:space="preserve">Establishment of the Northern Australia Infrastructure Facility </w:t>
      </w:r>
      <w:r w:rsidRPr="0098644E">
        <w:t>(Budget 2016-17)</w:t>
      </w:r>
      <w:r w:rsidRPr="00365126">
        <w:rPr>
          <w:rStyle w:val="FootnoteReference"/>
        </w:rPr>
        <w:footnoteReference w:id="18"/>
      </w:r>
    </w:p>
    <w:p w:rsidR="000B5C96" w:rsidRPr="0098644E" w:rsidRDefault="000B5C96" w:rsidP="000B5C96">
      <w:pPr>
        <w:pStyle w:val="ListBullet"/>
        <w:numPr>
          <w:ilvl w:val="0"/>
          <w:numId w:val="123"/>
        </w:numPr>
        <w:ind w:left="454" w:hanging="454"/>
      </w:pPr>
      <w:r w:rsidRPr="00107C60">
        <w:rPr>
          <w:i/>
        </w:rPr>
        <w:t xml:space="preserve">Australian Securities and Investments Commission Registry Further Market Testing </w:t>
      </w:r>
      <w:r w:rsidRPr="0098644E">
        <w:t>(Budget 2016-17)</w:t>
      </w:r>
    </w:p>
    <w:p w:rsidR="000B5C96" w:rsidRPr="0098644E" w:rsidRDefault="000B5C96" w:rsidP="000B5C96">
      <w:pPr>
        <w:pStyle w:val="ListBullet"/>
        <w:numPr>
          <w:ilvl w:val="0"/>
          <w:numId w:val="123"/>
        </w:numPr>
        <w:ind w:left="454" w:hanging="454"/>
      </w:pPr>
      <w:r w:rsidRPr="00107C60">
        <w:rPr>
          <w:i/>
        </w:rPr>
        <w:t>National Radioactive Waste Management Project — community benefits package</w:t>
      </w:r>
      <w:r w:rsidRPr="0098644E">
        <w:t xml:space="preserve"> (Budget 2016-17)</w:t>
      </w:r>
      <w:r w:rsidRPr="00365126">
        <w:rPr>
          <w:rStyle w:val="FootnoteReference"/>
        </w:rPr>
        <w:footnoteReference w:id="19"/>
      </w:r>
    </w:p>
    <w:p w:rsidR="000B5C96" w:rsidRPr="0098644E" w:rsidRDefault="000B5C96" w:rsidP="000B5C96">
      <w:pPr>
        <w:pStyle w:val="ListBullet"/>
        <w:numPr>
          <w:ilvl w:val="0"/>
          <w:numId w:val="123"/>
        </w:numPr>
        <w:ind w:left="454" w:hanging="454"/>
      </w:pPr>
      <w:r w:rsidRPr="00107C60">
        <w:rPr>
          <w:i/>
        </w:rPr>
        <w:t xml:space="preserve">Higher Education Participation Program — efficiencies </w:t>
      </w:r>
      <w:r w:rsidRPr="0098644E">
        <w:t>(Budget 2016-17)</w:t>
      </w:r>
    </w:p>
    <w:p w:rsidR="000B5C96" w:rsidRPr="0098644E" w:rsidRDefault="000B5C96" w:rsidP="000B5C96">
      <w:pPr>
        <w:pStyle w:val="ListBullet"/>
        <w:numPr>
          <w:ilvl w:val="0"/>
          <w:numId w:val="123"/>
        </w:numPr>
        <w:ind w:left="454" w:hanging="454"/>
      </w:pPr>
      <w:r w:rsidRPr="00107C60">
        <w:rPr>
          <w:i/>
        </w:rPr>
        <w:t xml:space="preserve">Healthier Medicare </w:t>
      </w:r>
      <w:r>
        <w:rPr>
          <w:i/>
        </w:rPr>
        <w:t>–</w:t>
      </w:r>
      <w:r w:rsidRPr="00107C60">
        <w:rPr>
          <w:i/>
        </w:rPr>
        <w:t xml:space="preserve"> trial of health care homes</w:t>
      </w:r>
      <w:r w:rsidRPr="0098644E">
        <w:t xml:space="preserve"> (Budget 2016-17)</w:t>
      </w:r>
    </w:p>
    <w:p w:rsidR="000B5C96" w:rsidRPr="0098644E" w:rsidRDefault="000B5C96" w:rsidP="000B5C96">
      <w:pPr>
        <w:pStyle w:val="ListBullet"/>
        <w:numPr>
          <w:ilvl w:val="0"/>
          <w:numId w:val="123"/>
        </w:numPr>
        <w:ind w:left="454" w:hanging="454"/>
      </w:pPr>
      <w:r w:rsidRPr="00107C60">
        <w:rPr>
          <w:i/>
        </w:rPr>
        <w:t xml:space="preserve">Public Sector Transformation and the Efficiency Dividend </w:t>
      </w:r>
      <w:r w:rsidRPr="0098644E">
        <w:t>(Budget 2016-17)</w:t>
      </w:r>
    </w:p>
    <w:p w:rsidR="000B5C96" w:rsidRPr="0098644E" w:rsidRDefault="000B5C96" w:rsidP="000B5C96">
      <w:pPr>
        <w:pStyle w:val="ListBullet"/>
        <w:numPr>
          <w:ilvl w:val="0"/>
          <w:numId w:val="123"/>
        </w:numPr>
        <w:ind w:left="454" w:hanging="454"/>
      </w:pPr>
      <w:r w:rsidRPr="00107C60">
        <w:rPr>
          <w:i/>
        </w:rPr>
        <w:t xml:space="preserve">Cashless Debit Card — third trial site </w:t>
      </w:r>
      <w:r w:rsidRPr="0098644E">
        <w:t>(Budget 2016-17)</w:t>
      </w:r>
    </w:p>
    <w:p w:rsidR="000B5C96" w:rsidRPr="0098644E" w:rsidRDefault="000B5C96" w:rsidP="000B5C96">
      <w:pPr>
        <w:pStyle w:val="ListBullet"/>
        <w:numPr>
          <w:ilvl w:val="0"/>
          <w:numId w:val="123"/>
        </w:numPr>
        <w:ind w:left="454" w:hanging="454"/>
      </w:pPr>
      <w:r w:rsidRPr="00107C60">
        <w:rPr>
          <w:i/>
        </w:rPr>
        <w:t>Compulsory Rent Deduction Scheme — establishment</w:t>
      </w:r>
      <w:r w:rsidRPr="0098644E">
        <w:t xml:space="preserve"> (Budget 2016-17)</w:t>
      </w:r>
    </w:p>
    <w:p w:rsidR="000B5C96" w:rsidRPr="0098644E" w:rsidRDefault="000B5C96" w:rsidP="000B5C96">
      <w:pPr>
        <w:pStyle w:val="ListBullet"/>
        <w:numPr>
          <w:ilvl w:val="0"/>
          <w:numId w:val="123"/>
        </w:numPr>
        <w:ind w:left="454" w:hanging="454"/>
      </w:pPr>
      <w:r w:rsidRPr="00107C60">
        <w:rPr>
          <w:i/>
        </w:rPr>
        <w:t>Department of Human Services — administrative efficiencies</w:t>
      </w:r>
      <w:r>
        <w:t xml:space="preserve"> </w:t>
      </w:r>
      <w:r w:rsidRPr="0098644E">
        <w:t>(Budget 2016-17)</w:t>
      </w:r>
    </w:p>
    <w:p w:rsidR="000B5C96" w:rsidRPr="00CD7569" w:rsidRDefault="000B5C96" w:rsidP="000B5C96">
      <w:pPr>
        <w:pStyle w:val="ListBullet"/>
        <w:numPr>
          <w:ilvl w:val="0"/>
          <w:numId w:val="123"/>
        </w:numPr>
        <w:ind w:left="454" w:hanging="454"/>
      </w:pPr>
      <w:r w:rsidRPr="00107C60">
        <w:t>The following components of</w:t>
      </w:r>
      <w:r w:rsidRPr="00107C60">
        <w:rPr>
          <w:i/>
        </w:rPr>
        <w:t xml:space="preserve"> National Disability Insurance Scheme Savings Fund</w:t>
      </w:r>
      <w:r w:rsidRPr="00CD7569">
        <w:t xml:space="preserve"> (Budget</w:t>
      </w:r>
      <w:r>
        <w:t> </w:t>
      </w:r>
      <w:r w:rsidRPr="00CD7569">
        <w:t xml:space="preserve">2016-17) </w:t>
      </w:r>
    </w:p>
    <w:p w:rsidR="000B5C96" w:rsidRPr="00CD7569" w:rsidRDefault="000B5C96" w:rsidP="000B5C96">
      <w:pPr>
        <w:pStyle w:val="Bullet2"/>
        <w:ind w:left="908" w:hanging="454"/>
      </w:pPr>
      <w:r w:rsidRPr="00CD7569">
        <w:t xml:space="preserve">Backdating provisions for </w:t>
      </w:r>
      <w:r>
        <w:t>Carer</w:t>
      </w:r>
      <w:r w:rsidRPr="00CD7569">
        <w:t xml:space="preserve"> </w:t>
      </w:r>
      <w:r>
        <w:t>A</w:t>
      </w:r>
      <w:r w:rsidRPr="00CD7569">
        <w:t>llowance</w:t>
      </w:r>
    </w:p>
    <w:p w:rsidR="000B5C96" w:rsidRPr="00CD7569" w:rsidRDefault="000B5C96" w:rsidP="000B5C96">
      <w:pPr>
        <w:pStyle w:val="Bullet2"/>
        <w:ind w:left="908" w:hanging="454"/>
      </w:pPr>
      <w:r w:rsidRPr="00CD7569">
        <w:t xml:space="preserve">Disability Support Pension recipients review </w:t>
      </w:r>
    </w:p>
    <w:p w:rsidR="000B5C96" w:rsidRPr="00CD7569" w:rsidRDefault="000B5C96" w:rsidP="000B5C96">
      <w:pPr>
        <w:pStyle w:val="Bullet2"/>
        <w:ind w:left="908" w:hanging="454"/>
      </w:pPr>
      <w:r w:rsidRPr="00CD7569">
        <w:t>Not proceeding with the NDIS advertising campaign</w:t>
      </w:r>
    </w:p>
    <w:p w:rsidR="000B5C96" w:rsidRPr="00CD7569" w:rsidRDefault="000B5C96" w:rsidP="000B5C96">
      <w:pPr>
        <w:pStyle w:val="ListBullet"/>
        <w:numPr>
          <w:ilvl w:val="0"/>
          <w:numId w:val="123"/>
        </w:numPr>
        <w:ind w:left="454" w:hanging="454"/>
      </w:pPr>
      <w:r w:rsidRPr="00107C60">
        <w:rPr>
          <w:i/>
        </w:rPr>
        <w:t xml:space="preserve">National Resources Development Strategy — exploring for the future </w:t>
      </w:r>
      <w:r w:rsidRPr="00CD7569">
        <w:t>(Budget 2016</w:t>
      </w:r>
      <w:r w:rsidRPr="00CD7569">
        <w:noBreakHyphen/>
        <w:t>17)</w:t>
      </w:r>
    </w:p>
    <w:p w:rsidR="000B5C96" w:rsidRPr="00CD7569" w:rsidRDefault="000B5C96" w:rsidP="000B5C96">
      <w:pPr>
        <w:pStyle w:val="ListBullet"/>
        <w:numPr>
          <w:ilvl w:val="0"/>
          <w:numId w:val="123"/>
        </w:numPr>
        <w:ind w:left="454" w:hanging="454"/>
      </w:pPr>
      <w:r w:rsidRPr="00107C60">
        <w:t>Military engagement against terrorism in Afghanistan, Iraq, Syria</w:t>
      </w:r>
      <w:r w:rsidRPr="00CD7569">
        <w:t xml:space="preserve"> (Budget 2016</w:t>
      </w:r>
      <w:r w:rsidRPr="00CD7569">
        <w:noBreakHyphen/>
        <w:t>17)</w:t>
      </w:r>
    </w:p>
    <w:p w:rsidR="000B5C96" w:rsidRPr="00CD7569" w:rsidRDefault="000B5C96" w:rsidP="000B5C96">
      <w:pPr>
        <w:pStyle w:val="ListBullet"/>
        <w:numPr>
          <w:ilvl w:val="0"/>
          <w:numId w:val="123"/>
        </w:numPr>
        <w:ind w:left="454" w:hanging="454"/>
      </w:pPr>
      <w:r w:rsidRPr="00107C60">
        <w:rPr>
          <w:i/>
        </w:rPr>
        <w:t xml:space="preserve">Foreign Affairs and Trade Portfolio — efficiencies </w:t>
      </w:r>
      <w:r w:rsidRPr="00CD7569">
        <w:t>(Budget 2016</w:t>
      </w:r>
      <w:r w:rsidRPr="00CD7569">
        <w:noBreakHyphen/>
        <w:t>17)</w:t>
      </w:r>
    </w:p>
    <w:p w:rsidR="000B5C96" w:rsidRPr="00CD7569" w:rsidRDefault="000B5C96" w:rsidP="000B5C96">
      <w:pPr>
        <w:pStyle w:val="ListBullet"/>
        <w:numPr>
          <w:ilvl w:val="0"/>
          <w:numId w:val="123"/>
        </w:numPr>
        <w:ind w:left="454" w:hanging="454"/>
      </w:pPr>
      <w:r w:rsidRPr="00107C60">
        <w:rPr>
          <w:i/>
        </w:rPr>
        <w:t xml:space="preserve">Australian International Education — enabling growth and innovation </w:t>
      </w:r>
      <w:r w:rsidRPr="00CD7569">
        <w:t>(Budget 2016</w:t>
      </w:r>
      <w:r w:rsidRPr="00CD7569">
        <w:noBreakHyphen/>
        <w:t>17)</w:t>
      </w:r>
    </w:p>
    <w:p w:rsidR="000B5C96" w:rsidRPr="00CD7569" w:rsidRDefault="000B5C96" w:rsidP="000B5C96">
      <w:pPr>
        <w:pStyle w:val="ListBullet"/>
        <w:numPr>
          <w:ilvl w:val="0"/>
          <w:numId w:val="123"/>
        </w:numPr>
        <w:ind w:left="454" w:hanging="454"/>
      </w:pPr>
      <w:r w:rsidRPr="00D26DD1">
        <w:rPr>
          <w:i/>
        </w:rPr>
        <w:t>Promotion of Excellence in Learning and Teaching in Higher Education — efficiencies</w:t>
      </w:r>
      <w:r w:rsidRPr="00CD7569">
        <w:t xml:space="preserve"> (Budget 2016</w:t>
      </w:r>
      <w:r w:rsidRPr="00CD7569">
        <w:noBreakHyphen/>
        <w:t>17)</w:t>
      </w:r>
    </w:p>
    <w:p w:rsidR="000B5C96" w:rsidRPr="00517CA6" w:rsidRDefault="000B5C96" w:rsidP="000B5C96">
      <w:pPr>
        <w:pStyle w:val="ListBullet"/>
        <w:numPr>
          <w:ilvl w:val="0"/>
          <w:numId w:val="123"/>
        </w:numPr>
        <w:ind w:left="454" w:hanging="454"/>
      </w:pPr>
      <w:r w:rsidRPr="00517CA6">
        <w:t>Reinstate the following agencies or bodies:</w:t>
      </w:r>
    </w:p>
    <w:p w:rsidR="000B5C96" w:rsidRPr="00517CA6" w:rsidRDefault="000B5C96" w:rsidP="000B5C96">
      <w:pPr>
        <w:pStyle w:val="ListBullet2"/>
        <w:numPr>
          <w:ilvl w:val="0"/>
          <w:numId w:val="124"/>
        </w:numPr>
        <w:ind w:left="908" w:hanging="454"/>
      </w:pPr>
      <w:r w:rsidRPr="00517CA6">
        <w:t>Insurance Reform Advisory Group</w:t>
      </w:r>
    </w:p>
    <w:p w:rsidR="000B5C96" w:rsidRPr="00517CA6" w:rsidRDefault="000B5C96" w:rsidP="000B5C96">
      <w:pPr>
        <w:pStyle w:val="ListBullet2"/>
        <w:numPr>
          <w:ilvl w:val="0"/>
          <w:numId w:val="124"/>
        </w:numPr>
        <w:ind w:left="908" w:hanging="454"/>
      </w:pPr>
      <w:r w:rsidRPr="00517CA6">
        <w:t>Australian Animal Welfare Advisory Committee</w:t>
      </w:r>
    </w:p>
    <w:p w:rsidR="000B5C96" w:rsidRPr="00517CA6" w:rsidRDefault="000B5C96" w:rsidP="000B5C96">
      <w:pPr>
        <w:pStyle w:val="ListBullet2"/>
        <w:numPr>
          <w:ilvl w:val="0"/>
          <w:numId w:val="124"/>
        </w:numPr>
        <w:ind w:left="908" w:hanging="454"/>
      </w:pPr>
      <w:r w:rsidRPr="00517CA6">
        <w:t>National Steering Committee on Corporate Wrongdoing</w:t>
      </w:r>
    </w:p>
    <w:p w:rsidR="000B5C96" w:rsidRPr="00517CA6" w:rsidRDefault="000B5C96" w:rsidP="000B5C96">
      <w:pPr>
        <w:pStyle w:val="ListBullet2"/>
        <w:numPr>
          <w:ilvl w:val="0"/>
          <w:numId w:val="124"/>
        </w:numPr>
        <w:ind w:left="908" w:hanging="454"/>
      </w:pPr>
      <w:r w:rsidRPr="00517CA6">
        <w:t>Antarctic Animal Ethics Committee</w:t>
      </w:r>
    </w:p>
    <w:p w:rsidR="000B5C96" w:rsidRPr="00517CA6" w:rsidRDefault="000B5C96" w:rsidP="000B5C96">
      <w:pPr>
        <w:pStyle w:val="ListBullet2"/>
        <w:numPr>
          <w:ilvl w:val="0"/>
          <w:numId w:val="124"/>
        </w:numPr>
        <w:ind w:left="908" w:hanging="454"/>
      </w:pPr>
      <w:r w:rsidRPr="00517CA6">
        <w:t>National Housing Supply Council</w:t>
      </w:r>
    </w:p>
    <w:p w:rsidR="000B5C96" w:rsidRPr="00517CA6" w:rsidRDefault="000B5C96" w:rsidP="000B5C96">
      <w:pPr>
        <w:pStyle w:val="ListBullet2"/>
        <w:numPr>
          <w:ilvl w:val="0"/>
          <w:numId w:val="124"/>
        </w:numPr>
        <w:ind w:left="908" w:hanging="454"/>
      </w:pPr>
      <w:r w:rsidRPr="00517CA6">
        <w:t>National Policy Commission on Indigenous Housing</w:t>
      </w:r>
    </w:p>
    <w:p w:rsidR="000B5C96" w:rsidRPr="00517CA6" w:rsidRDefault="000B5C96" w:rsidP="000B5C96">
      <w:pPr>
        <w:pStyle w:val="ListBullet2"/>
        <w:numPr>
          <w:ilvl w:val="0"/>
          <w:numId w:val="124"/>
        </w:numPr>
        <w:ind w:left="908" w:hanging="454"/>
      </w:pPr>
      <w:r w:rsidRPr="00517CA6">
        <w:t>Prime Minister's Council on Homelessness</w:t>
      </w:r>
    </w:p>
    <w:p w:rsidR="000B5C96" w:rsidRPr="00517CA6" w:rsidRDefault="000B5C96" w:rsidP="000B5C96">
      <w:pPr>
        <w:pStyle w:val="ListBullet2"/>
        <w:numPr>
          <w:ilvl w:val="0"/>
          <w:numId w:val="124"/>
        </w:numPr>
        <w:ind w:left="908" w:hanging="454"/>
      </w:pPr>
      <w:r w:rsidRPr="00517CA6">
        <w:t>Major Cities Unit (Department of Infrastructure</w:t>
      </w:r>
      <w:r>
        <w:t xml:space="preserve"> and Regional Development</w:t>
      </w:r>
      <w:r w:rsidRPr="00517CA6">
        <w:t>)</w:t>
      </w:r>
    </w:p>
    <w:p w:rsidR="000B5C96" w:rsidRPr="00A56E17" w:rsidRDefault="000B5C96" w:rsidP="000B5C96">
      <w:pPr>
        <w:pStyle w:val="ListBullet2"/>
        <w:numPr>
          <w:ilvl w:val="0"/>
          <w:numId w:val="124"/>
        </w:numPr>
        <w:ind w:left="908" w:hanging="454"/>
      </w:pPr>
      <w:r w:rsidRPr="00517CA6">
        <w:t>National Urban Policy Unit (Department of Infrastructure)</w:t>
      </w:r>
    </w:p>
    <w:p w:rsidR="000B5C96" w:rsidRPr="00BD7A3C" w:rsidRDefault="000B5C96" w:rsidP="000B5C96">
      <w:pPr>
        <w:pStyle w:val="ListBullet"/>
        <w:numPr>
          <w:ilvl w:val="0"/>
          <w:numId w:val="123"/>
        </w:numPr>
        <w:ind w:left="454" w:hanging="454"/>
        <w:rPr>
          <w:i/>
        </w:rPr>
      </w:pPr>
      <w:r w:rsidRPr="00517CA6">
        <w:t xml:space="preserve">Recommit funding left over in </w:t>
      </w:r>
      <w:r w:rsidRPr="00517CA6">
        <w:rPr>
          <w:i/>
        </w:rPr>
        <w:t>Clean Technology Investment Program</w:t>
      </w:r>
      <w:r>
        <w:t xml:space="preserve"> (closed to new applications in October 2013)</w:t>
      </w:r>
    </w:p>
    <w:p w:rsidR="000B5C96" w:rsidRPr="009066AF" w:rsidRDefault="000B5C96" w:rsidP="000B5C96">
      <w:pPr>
        <w:pStyle w:val="ListBullet"/>
        <w:numPr>
          <w:ilvl w:val="0"/>
          <w:numId w:val="123"/>
        </w:numPr>
        <w:ind w:left="454" w:hanging="454"/>
      </w:pPr>
      <w:r w:rsidRPr="009066AF">
        <w:t xml:space="preserve">Restore Department of Social Services </w:t>
      </w:r>
      <w:r>
        <w:t xml:space="preserve">employment to </w:t>
      </w:r>
      <w:r w:rsidRPr="009066AF">
        <w:t>Budget 2013-14</w:t>
      </w:r>
      <w:r>
        <w:t xml:space="preserve"> levels</w:t>
      </w:r>
    </w:p>
    <w:p w:rsidR="000B5C96" w:rsidRDefault="000B5C96" w:rsidP="000B5C96">
      <w:pPr>
        <w:pStyle w:val="ListBullet"/>
        <w:numPr>
          <w:ilvl w:val="0"/>
          <w:numId w:val="123"/>
        </w:numPr>
        <w:ind w:left="454" w:hanging="454"/>
      </w:pPr>
      <w:r w:rsidRPr="009066AF">
        <w:t>Restore Department of the Environment employment</w:t>
      </w:r>
      <w:r>
        <w:t xml:space="preserve"> to </w:t>
      </w:r>
      <w:r w:rsidRPr="009066AF">
        <w:t xml:space="preserve">Budget </w:t>
      </w:r>
      <w:r>
        <w:t>2013</w:t>
      </w:r>
      <w:r>
        <w:noBreakHyphen/>
      </w:r>
      <w:r w:rsidRPr="009066AF">
        <w:t>14</w:t>
      </w:r>
      <w:r>
        <w:t xml:space="preserve"> levels</w:t>
      </w:r>
    </w:p>
    <w:p w:rsidR="000B5C96" w:rsidRDefault="000B5C96" w:rsidP="000B5C96">
      <w:pPr>
        <w:pStyle w:val="ListBullet"/>
        <w:numPr>
          <w:ilvl w:val="0"/>
          <w:numId w:val="123"/>
        </w:numPr>
        <w:ind w:left="454" w:hanging="454"/>
      </w:pPr>
      <w:r w:rsidRPr="00517CA6">
        <w:t>Restore funding to the Office of the Information Commissioner t</w:t>
      </w:r>
      <w:r>
        <w:t>o Budget </w:t>
      </w:r>
      <w:r w:rsidRPr="00517CA6">
        <w:t>2013</w:t>
      </w:r>
      <w:r w:rsidRPr="00517CA6">
        <w:noBreakHyphen/>
        <w:t>14 levels</w:t>
      </w:r>
    </w:p>
    <w:p w:rsidR="000B5C96" w:rsidRDefault="000B5C96" w:rsidP="000B5C96">
      <w:pPr>
        <w:pStyle w:val="ListBullet"/>
        <w:numPr>
          <w:ilvl w:val="0"/>
          <w:numId w:val="123"/>
        </w:numPr>
        <w:ind w:left="454" w:hanging="454"/>
        <w:sectPr w:rsidR="000B5C96" w:rsidSect="003F606A">
          <w:footnotePr>
            <w:numRestart w:val="eachSect"/>
          </w:footnotePr>
          <w:pgSz w:w="11907" w:h="16839" w:code="9"/>
          <w:pgMar w:top="1361" w:right="1797" w:bottom="1474" w:left="1797" w:header="283" w:footer="454" w:gutter="0"/>
          <w:cols w:space="708"/>
          <w:docGrid w:linePitch="360"/>
        </w:sectPr>
      </w:pPr>
    </w:p>
    <w:p w:rsidR="000B5C96" w:rsidRPr="000D7FB4" w:rsidRDefault="000B5C96" w:rsidP="000B5C96">
      <w:pPr>
        <w:pStyle w:val="Heading6"/>
        <w:numPr>
          <w:ilvl w:val="0"/>
          <w:numId w:val="5"/>
        </w:numPr>
        <w:tabs>
          <w:tab w:val="right" w:pos="1418"/>
          <w:tab w:val="right" w:pos="1701"/>
          <w:tab w:val="right" w:pos="1985"/>
        </w:tabs>
      </w:pPr>
      <w:r w:rsidRPr="000D7FB4">
        <w:t>Attachment B: Reversing Harsh and Harmful Budget Measures—financial implications</w:t>
      </w:r>
    </w:p>
    <w:p w:rsidR="000B5C96" w:rsidRPr="000D7FB4" w:rsidRDefault="000B5C96" w:rsidP="003F606A">
      <w:pPr>
        <w:pStyle w:val="BodyText"/>
      </w:pPr>
      <w:r w:rsidRPr="000D7FB4">
        <w:t>Table B1 includes the fiscal balance impact of all components of this proposal.  Table B2 includes the underlying cash balance for those components that have underlying cash balance implications that are different to the fiscal balance implications.</w:t>
      </w:r>
    </w:p>
    <w:p w:rsidR="000B5C96" w:rsidRPr="000D7FB4" w:rsidRDefault="000B5C96" w:rsidP="003F606A">
      <w:pPr>
        <w:pStyle w:val="Caption"/>
      </w:pPr>
      <w:r w:rsidRPr="000D7FB4">
        <w:t>Table B1: Reversing Harsh and Harmful Budget Measures—Financial implications – Fiscal balance</w:t>
      </w:r>
      <w:r w:rsidRPr="000D7FB4">
        <w:rPr>
          <w:vertAlign w:val="superscript"/>
        </w:rPr>
        <w:t>(a)(b)</w:t>
      </w:r>
    </w:p>
    <w:tbl>
      <w:tblPr>
        <w:tblW w:w="0" w:type="auto"/>
        <w:jc w:val="center"/>
        <w:tblInd w:w="-360" w:type="dxa"/>
        <w:tblLayout w:type="fixed"/>
        <w:tblCellMar>
          <w:left w:w="0" w:type="dxa"/>
          <w:right w:w="0" w:type="dxa"/>
        </w:tblCellMar>
        <w:tblLook w:val="04A0" w:firstRow="1" w:lastRow="0" w:firstColumn="1" w:lastColumn="0" w:noHBand="0" w:noVBand="1"/>
      </w:tblPr>
      <w:tblGrid>
        <w:gridCol w:w="2576"/>
        <w:gridCol w:w="1134"/>
        <w:gridCol w:w="1134"/>
        <w:gridCol w:w="1134"/>
        <w:gridCol w:w="1134"/>
        <w:gridCol w:w="1134"/>
      </w:tblGrid>
      <w:tr w:rsidR="000B5C96" w:rsidRPr="000D7FB4" w:rsidTr="003F606A">
        <w:trPr>
          <w:trHeight w:val="113"/>
          <w:tblHeader/>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D7DDE9"/>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w:t>
            </w:r>
          </w:p>
        </w:tc>
        <w:tc>
          <w:tcPr>
            <w:tcW w:w="1134"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0D7FB4" w:rsidRDefault="000B5C96" w:rsidP="003F606A">
            <w:pPr>
              <w:keepNext/>
              <w:keepLines/>
              <w:spacing w:before="70" w:after="70"/>
              <w:ind w:left="57" w:right="57"/>
              <w:jc w:val="center"/>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2016-17</w:t>
            </w:r>
          </w:p>
        </w:tc>
        <w:tc>
          <w:tcPr>
            <w:tcW w:w="1134" w:type="dxa"/>
            <w:tcBorders>
              <w:top w:val="single" w:sz="4" w:space="0" w:color="788184"/>
              <w:left w:val="single" w:sz="4" w:space="0" w:color="788184"/>
              <w:bottom w:val="single" w:sz="4" w:space="0" w:color="788184"/>
              <w:right w:val="single" w:sz="4" w:space="0" w:color="788184"/>
            </w:tcBorders>
            <w:shd w:val="clear" w:color="000000" w:fill="D7DDE9"/>
            <w:noWrap/>
            <w:vAlign w:val="center"/>
            <w:hideMark/>
          </w:tcPr>
          <w:p w:rsidR="000B5C96" w:rsidRPr="000D7FB4" w:rsidRDefault="000B5C96" w:rsidP="003F606A">
            <w:pPr>
              <w:keepNext/>
              <w:keepLines/>
              <w:spacing w:before="70" w:after="70"/>
              <w:ind w:left="57" w:right="57"/>
              <w:jc w:val="center"/>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2017-18</w:t>
            </w:r>
          </w:p>
        </w:tc>
        <w:tc>
          <w:tcPr>
            <w:tcW w:w="1134" w:type="dxa"/>
            <w:tcBorders>
              <w:top w:val="single" w:sz="4" w:space="0" w:color="788184"/>
              <w:left w:val="single" w:sz="4" w:space="0" w:color="788184"/>
              <w:bottom w:val="single" w:sz="4" w:space="0" w:color="788184"/>
              <w:right w:val="single" w:sz="4" w:space="0" w:color="788184"/>
            </w:tcBorders>
            <w:shd w:val="clear" w:color="000000" w:fill="D7DDE9"/>
            <w:noWrap/>
            <w:vAlign w:val="center"/>
            <w:hideMark/>
          </w:tcPr>
          <w:p w:rsidR="000B5C96" w:rsidRPr="000D7FB4" w:rsidRDefault="000B5C96" w:rsidP="003F606A">
            <w:pPr>
              <w:keepNext/>
              <w:keepLines/>
              <w:spacing w:before="70" w:after="70"/>
              <w:ind w:left="57" w:right="57"/>
              <w:jc w:val="center"/>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2018-19</w:t>
            </w:r>
          </w:p>
        </w:tc>
        <w:tc>
          <w:tcPr>
            <w:tcW w:w="1134" w:type="dxa"/>
            <w:tcBorders>
              <w:top w:val="single" w:sz="4" w:space="0" w:color="788184"/>
              <w:left w:val="single" w:sz="4" w:space="0" w:color="788184"/>
              <w:bottom w:val="single" w:sz="4" w:space="0" w:color="788184"/>
              <w:right w:val="single" w:sz="4" w:space="0" w:color="788184"/>
            </w:tcBorders>
            <w:shd w:val="clear" w:color="000000" w:fill="D7DDE9"/>
            <w:noWrap/>
            <w:vAlign w:val="center"/>
            <w:hideMark/>
          </w:tcPr>
          <w:p w:rsidR="000B5C96" w:rsidRPr="000D7FB4" w:rsidRDefault="000B5C96" w:rsidP="003F606A">
            <w:pPr>
              <w:keepNext/>
              <w:keepLines/>
              <w:spacing w:before="70" w:after="70"/>
              <w:ind w:left="57" w:right="57"/>
              <w:jc w:val="center"/>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2019-20</w:t>
            </w:r>
          </w:p>
        </w:tc>
        <w:tc>
          <w:tcPr>
            <w:tcW w:w="1134" w:type="dxa"/>
            <w:tcBorders>
              <w:top w:val="single" w:sz="4" w:space="0" w:color="788184"/>
              <w:left w:val="single" w:sz="4" w:space="0" w:color="788184"/>
              <w:bottom w:val="single" w:sz="4" w:space="0" w:color="788184"/>
              <w:right w:val="single" w:sz="4" w:space="0" w:color="788184"/>
            </w:tcBorders>
            <w:shd w:val="clear" w:color="000000" w:fill="D7DDE9"/>
            <w:noWrap/>
            <w:vAlign w:val="center"/>
            <w:hideMark/>
          </w:tcPr>
          <w:p w:rsidR="000B5C96" w:rsidRPr="000D7FB4" w:rsidRDefault="000B5C96" w:rsidP="003F606A">
            <w:pPr>
              <w:keepNext/>
              <w:keepLines/>
              <w:spacing w:before="70" w:after="70"/>
              <w:ind w:left="57" w:right="57"/>
              <w:jc w:val="center"/>
              <w:rPr>
                <w:rFonts w:ascii="Calibri" w:eastAsia="Calibri" w:hAnsi="Calibri" w:cs="Times New Roman"/>
                <w:b/>
                <w:bCs/>
                <w:color w:val="000000"/>
                <w:sz w:val="20"/>
                <w:szCs w:val="24"/>
              </w:rPr>
            </w:pPr>
            <w:r w:rsidRPr="000D7FB4">
              <w:rPr>
                <w:rFonts w:ascii="Calibri" w:eastAsia="Calibri" w:hAnsi="Calibri" w:cs="Times New Roman"/>
                <w:b/>
                <w:bCs/>
                <w:color w:val="000000"/>
                <w:sz w:val="20"/>
              </w:rPr>
              <w:t>Total to 2019-20</w:t>
            </w:r>
          </w:p>
        </w:tc>
      </w:tr>
      <w:tr w:rsidR="000B5C96" w:rsidRPr="000D7FB4" w:rsidTr="003F606A">
        <w:trPr>
          <w:trHeight w:val="113"/>
          <w:tblHeader/>
          <w:jc w:val="center"/>
        </w:trPr>
        <w:tc>
          <w:tcPr>
            <w:tcW w:w="8246" w:type="dxa"/>
            <w:gridSpan w:val="6"/>
            <w:tcBorders>
              <w:top w:val="single" w:sz="4" w:space="0" w:color="788184"/>
              <w:left w:val="single" w:sz="4" w:space="0" w:color="788184"/>
              <w:bottom w:val="single" w:sz="4" w:space="0" w:color="788184"/>
              <w:right w:val="single" w:sz="4" w:space="0" w:color="788184"/>
            </w:tcBorders>
            <w:shd w:val="clear" w:color="000000" w:fill="E9ECF3"/>
            <w:noWrap/>
            <w:vAlign w:val="center"/>
          </w:tcPr>
          <w:p w:rsidR="000B5C96" w:rsidRPr="000D7FB4" w:rsidRDefault="000B5C96" w:rsidP="003F606A">
            <w:pPr>
              <w:keepNext/>
              <w:keepLines/>
              <w:spacing w:before="70" w:after="70"/>
              <w:ind w:left="57" w:right="57"/>
              <w:rPr>
                <w:rFonts w:ascii="Calibri" w:eastAsia="Calibri" w:hAnsi="Calibri" w:cs="Times New Roman"/>
                <w:b/>
                <w:bCs/>
                <w:color w:val="000000"/>
                <w:sz w:val="20"/>
              </w:rPr>
            </w:pPr>
            <w:r w:rsidRPr="000D7FB4">
              <w:rPr>
                <w:rFonts w:ascii="Calibri" w:eastAsia="Calibri" w:hAnsi="Calibri" w:cs="Times New Roman"/>
                <w:b/>
                <w:bCs/>
                <w:color w:val="000000"/>
                <w:sz w:val="20"/>
              </w:rPr>
              <w:t>Impact on fiscal balance</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2013-14</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 xml:space="preserve">Discontinue the establishment of Australia’s diplomatic post — Senegal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-17</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-10</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-17</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-10</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Live Animal Exports — Business Assistance Supply Chain and Official Development Assistance (Improved Animal Welfare program) — cessation</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Australian Animal Welfare Strategy — cessation</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Australian Broadcasting Corporation and Special Broadcasting Service Corporation — efficiency savings</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Australian Broadcasting Corporation and Special Broadcasting Service — additional efficiency savings</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-102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-116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-116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-334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-102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-116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-116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-334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Cuts to Screen Australia (in Arts programs — reduced funding, Budget 2014-15)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Efficiency Dividend - a further temporary increase of 0.25%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-326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-326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-326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-978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-331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-331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-331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-993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Australian Institute for Teaching and School Leadership - reduced funding</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 xml:space="preserve">Bureau of Meteorology — improved efficiency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Grants to Voluntary Environment, Sustainability and Heritage Organisations — cessation</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Sustainable Rural Water Use and Infrastructure Program — reduced funding</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-247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-117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-410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-234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-117</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-47</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-398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Sustainable Rural Water Use and Infrastructure Program — reduced funding</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Pharmaceutical Benefits Scheme — increase in co-payments and safety net thresholds</w:t>
            </w:r>
            <w:r w:rsidRPr="000D7FB4">
              <w:rPr>
                <w:rFonts w:ascii="Calibri" w:eastAsia="Calibri" w:hAnsi="Calibri" w:cs="Times New Roman"/>
                <w:b/>
                <w:bCs/>
                <w:color w:val="000000"/>
                <w:sz w:val="20"/>
                <w:vertAlign w:val="superscript"/>
              </w:rPr>
              <w:t>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-275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-280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-295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-851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-275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-280</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-295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-851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Pausing indexation of some Medicare Benefits Schedule fees and the Medicare Levy Surcharge and Private Health Insurance Rebate thresholds</w:t>
            </w:r>
            <w:r w:rsidRPr="000D7FB4">
              <w:rPr>
                <w:rFonts w:ascii="Calibri" w:eastAsia="Calibri" w:hAnsi="Calibri" w:cs="Times New Roman"/>
                <w:b/>
                <w:bCs/>
                <w:color w:val="000000"/>
                <w:sz w:val="20"/>
                <w:vertAlign w:val="superscript"/>
              </w:rPr>
              <w:t>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 xml:space="preserve">National Partnership Agreement on Improving Public Hospital Services — cessation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National Partnership Agreement on Preventive Health — cessation</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-211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-80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-80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-371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-211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-371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 xml:space="preserve">Smaller Government — Australian National Preventive Health Agency — abolish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Local Government Financial Assistance Grants — pause indexation for three years</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-1,574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-1,574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Aged Care Payroll Tax Supplement - cessation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-198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-207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-207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-611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-197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-610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Apply the One-Week Ordinary Waiting Period to all Working Age Payments</w:t>
            </w:r>
            <w:r w:rsidRPr="000D7FB4">
              <w:rPr>
                <w:rFonts w:ascii="Calibri" w:eastAsia="Calibri" w:hAnsi="Calibri" w:cs="Times New Roman"/>
                <w:b/>
                <w:bCs/>
                <w:color w:val="000000"/>
                <w:sz w:val="20"/>
                <w:vertAlign w:val="superscript"/>
              </w:rPr>
              <w:t>1,3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-198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Maintain eligibility thresholds for Australian Government payments for three years</w:t>
            </w:r>
            <w:r w:rsidRPr="000D7FB4">
              <w:rPr>
                <w:rFonts w:ascii="Calibri" w:eastAsia="Calibri" w:hAnsi="Calibri" w:cs="Times New Roman"/>
                <w:b/>
                <w:bCs/>
                <w:color w:val="000000"/>
                <w:sz w:val="20"/>
                <w:vertAlign w:val="superscript"/>
              </w:rPr>
              <w:t>1,3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-91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-189</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-184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Discretionary Grant Program Reform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-121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-121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-121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-363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-121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-121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-121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-363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Pensioner Education Supplement – cessation</w:t>
            </w:r>
            <w:r w:rsidRPr="000D7FB4">
              <w:rPr>
                <w:rFonts w:ascii="Calibri" w:eastAsia="Calibri" w:hAnsi="Calibri" w:cs="Times New Roman"/>
                <w:b/>
                <w:bCs/>
                <w:color w:val="000000"/>
                <w:sz w:val="20"/>
                <w:vertAlign w:val="superscript"/>
              </w:rPr>
              <w:t>1</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-80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-81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-241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-255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Reprioritising the Aged Care Workforce Supplement (reverse all savings)</w:t>
            </w:r>
            <w:r w:rsidRPr="000D7FB4">
              <w:rPr>
                <w:rFonts w:ascii="Calibri" w:eastAsia="Calibri" w:hAnsi="Calibri" w:cs="Times New Roman"/>
                <w:b/>
                <w:bCs/>
                <w:color w:val="000000"/>
                <w:sz w:val="20"/>
                <w:vertAlign w:val="superscript"/>
              </w:rPr>
              <w:t>4</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-69</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Disability Support Pension — compulsory participation requirements for recipients aged under 35 years</w:t>
            </w:r>
            <w:r w:rsidRPr="000D7FB4">
              <w:rPr>
                <w:rFonts w:ascii="Calibri" w:eastAsia="Calibri" w:hAnsi="Calibri" w:cs="Times New Roman"/>
                <w:b/>
                <w:bCs/>
                <w:color w:val="000000"/>
                <w:sz w:val="20"/>
                <w:vertAlign w:val="superscript"/>
              </w:rPr>
              <w:t>5</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Disability Support Pension — review recipients aged under 35 years</w:t>
            </w:r>
            <w:r w:rsidRPr="000D7FB4">
              <w:rPr>
                <w:rFonts w:ascii="Calibri" w:eastAsia="Calibri" w:hAnsi="Calibri" w:cs="Times New Roman"/>
                <w:b/>
                <w:bCs/>
                <w:color w:val="000000"/>
                <w:sz w:val="20"/>
                <w:vertAlign w:val="superscript"/>
              </w:rPr>
              <w:t>6,7</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9</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9</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Disability Support Pension — reduced portability</w:t>
            </w:r>
            <w:r w:rsidRPr="000D7FB4">
              <w:rPr>
                <w:rFonts w:ascii="Calibri" w:eastAsia="Calibri" w:hAnsi="Calibri" w:cs="Times New Roman"/>
                <w:b/>
                <w:bCs/>
                <w:color w:val="000000"/>
                <w:sz w:val="20"/>
                <w:vertAlign w:val="superscript"/>
              </w:rPr>
              <w:t>6</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National Homelessness Research Strategy — reduced funding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Health Flexible Funds — Pausing Indexation and achieving efficiencies (tranche 1, Budget 2014-15)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-120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-198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-120</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-39</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-39</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-198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Health Flexible Funds — Pausing Indexation and achieving efficiencies  (tranche 2, Budget 2016-17)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-92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-182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-182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Abolish the Seafarer Tax Offset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Disability Support Pension — revised assessment process</w:t>
            </w:r>
            <w:r w:rsidRPr="000D7FB4">
              <w:rPr>
                <w:rFonts w:ascii="Calibri" w:eastAsia="Calibri" w:hAnsi="Calibri" w:cs="Times New Roman"/>
                <w:b/>
                <w:bCs/>
                <w:color w:val="000000"/>
                <w:sz w:val="20"/>
                <w:vertAlign w:val="superscript"/>
              </w:rPr>
              <w:t>8,9</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-79</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Cessation of social security benefits for certain people confined in a psychiatric institution</w:t>
            </w:r>
            <w:r w:rsidRPr="000D7FB4">
              <w:rPr>
                <w:rFonts w:ascii="Calibri" w:eastAsia="Calibri" w:hAnsi="Calibri" w:cs="Times New Roman"/>
                <w:b/>
                <w:bCs/>
                <w:color w:val="000000"/>
                <w:sz w:val="20"/>
                <w:vertAlign w:val="superscript"/>
              </w:rPr>
              <w:t>1</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Arts and Cultural programs — efficiencies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4"/>
                <w:szCs w:val="24"/>
              </w:rPr>
            </w:pPr>
            <w:r w:rsidRPr="000D7FB4">
              <w:rPr>
                <w:rFonts w:ascii="Calibri" w:eastAsia="Calibri" w:hAnsi="Calibri" w:cs="Times New Roman"/>
                <w:b/>
                <w:bCs/>
                <w:color w:val="000000"/>
                <w:sz w:val="20"/>
                <w:szCs w:val="20"/>
              </w:rPr>
              <w:t>Employment Services – Changes to Service Fees and Cessation of Personal Contact Interviews</w:t>
            </w:r>
            <w:r w:rsidRPr="000D7FB4">
              <w:rPr>
                <w:rFonts w:ascii="Calibri" w:eastAsia="Calibri" w:hAnsi="Calibri" w:cs="Times New Roman"/>
                <w:b/>
                <w:bCs/>
                <w:color w:val="000000"/>
                <w:vertAlign w:val="superscript"/>
              </w:rPr>
              <w:t>8,10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Growing Jobs and Small Business - Youth Employment Strategy - revised waiting period for youth income support</w:t>
            </w:r>
            <w:r w:rsidRPr="000D7FB4">
              <w:rPr>
                <w:rFonts w:ascii="Calibri" w:eastAsia="Calibri" w:hAnsi="Calibri" w:cs="Times New Roman"/>
                <w:b/>
                <w:bCs/>
                <w:color w:val="000000"/>
                <w:sz w:val="20"/>
                <w:vertAlign w:val="superscript"/>
              </w:rPr>
              <w:t>1,3</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-64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-66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-68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-197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9</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hideMark/>
          </w:tcPr>
          <w:p w:rsidR="000B5C96" w:rsidRPr="000D7FB4" w:rsidRDefault="000B5C96" w:rsidP="003F606A">
            <w:pPr>
              <w:spacing w:before="70" w:after="70"/>
              <w:ind w:left="57" w:right="57"/>
              <w:jc w:val="right"/>
              <w:rPr>
                <w:rFonts w:ascii="Calibri" w:eastAsia="Calibri" w:hAnsi="Calibri" w:cs="Times New Roman"/>
                <w:b/>
                <w:bCs/>
                <w:color w:val="000000"/>
                <w:sz w:val="20"/>
              </w:rPr>
            </w:pPr>
            <w:r>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hideMark/>
          </w:tcPr>
          <w:p w:rsidR="000B5C96" w:rsidRPr="000D7FB4" w:rsidRDefault="000B5C96" w:rsidP="003F606A">
            <w:pPr>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-60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hideMark/>
          </w:tcPr>
          <w:p w:rsidR="000B5C96" w:rsidRPr="000D7FB4" w:rsidRDefault="000B5C96" w:rsidP="003F606A">
            <w:pPr>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-63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hideMark/>
          </w:tcPr>
          <w:p w:rsidR="000B5C96" w:rsidRPr="000D7FB4" w:rsidRDefault="000B5C96" w:rsidP="003F606A">
            <w:pPr>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-65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hideMark/>
          </w:tcPr>
          <w:p w:rsidR="000B5C96" w:rsidRPr="000D7FB4" w:rsidRDefault="000B5C96" w:rsidP="003F606A">
            <w:pPr>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-188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Australian Working Life Residence — tightening proportionality requirements</w:t>
            </w:r>
            <w:r w:rsidRPr="000D7FB4">
              <w:rPr>
                <w:rFonts w:ascii="Calibri" w:eastAsia="Calibri" w:hAnsi="Calibri" w:cs="Times New Roman"/>
                <w:b/>
                <w:bCs/>
                <w:color w:val="000000"/>
                <w:sz w:val="20"/>
                <w:vertAlign w:val="superscript"/>
              </w:rPr>
              <w:t>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-220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 New Remote Indigenous Housing Strategy</w:t>
            </w:r>
            <w:r w:rsidRPr="000D7FB4">
              <w:rPr>
                <w:rFonts w:ascii="Calibri" w:eastAsia="Calibri" w:hAnsi="Calibri" w:cs="Times New Roman"/>
                <w:b/>
                <w:bCs/>
                <w:color w:val="000000"/>
                <w:sz w:val="20"/>
                <w:vertAlign w:val="superscript"/>
              </w:rPr>
              <w:t>11</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Reversal of Banking and Life Insurance unclaimed provisions</w:t>
            </w:r>
            <w:r w:rsidRPr="000D7FB4">
              <w:rPr>
                <w:rFonts w:ascii="Calibri" w:eastAsia="Calibri" w:hAnsi="Calibri" w:cs="Times New Roman"/>
                <w:b/>
                <w:bCs/>
                <w:color w:val="000000"/>
                <w:sz w:val="20"/>
                <w:vertAlign w:val="superscript"/>
              </w:rPr>
              <w:t>12</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118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118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Personal income tax — changes to tax residency rules for temporary working holiday makers (Backpacker Tax)</w:t>
            </w:r>
            <w:r w:rsidRPr="000D7FB4">
              <w:rPr>
                <w:rFonts w:ascii="Calibri" w:eastAsia="Calibri" w:hAnsi="Calibri" w:cs="Times New Roman"/>
                <w:b/>
                <w:bCs/>
                <w:color w:val="000000"/>
                <w:sz w:val="20"/>
                <w:vertAlign w:val="superscript"/>
              </w:rPr>
              <w:t>13</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-90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-90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-220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-218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Communications and the Arts Portfolio — efficiencies</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Medicare Benefits Schedule — changes to diagnostic imaging and pathology services bulk-billing incentives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-235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-247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-707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19</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-218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-229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-241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-688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Applying a General Interest Charge to the Debts of Ex</w:t>
            </w:r>
            <w:r w:rsidRPr="000D7FB4">
              <w:rPr>
                <w:rFonts w:ascii="Calibri" w:eastAsia="Calibri" w:hAnsi="Calibri" w:cs="Times New Roman"/>
                <w:b/>
                <w:bCs/>
                <w:color w:val="000000"/>
                <w:sz w:val="20"/>
              </w:rPr>
              <w:noBreakHyphen/>
              <w:t>recipients of Social Security and Family Assistance Payments</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Job Seeker Services — streamlining arrangements</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-187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-187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Aged Care Provider Funding — revision to the Aged Care Funding Instrument Complex Health Care Domain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-191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-247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-324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-762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-191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-247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-324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-762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Aged Care Provider Funding — further revision of the Aged Care Funding Instrument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-270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-380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-504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-1,153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-269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-379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-503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-1,152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Streamlining Health and Aged Care Workforce Program funding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-244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-243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-243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-730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-243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-242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-242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-728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Indigenous Advancement Strategy – indexation pause</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MYEFO 2015-16</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Remote School Attendance Strategy - continuation</w:t>
            </w:r>
            <w:r w:rsidRPr="000D7FB4">
              <w:rPr>
                <w:rFonts w:ascii="Calibri" w:eastAsia="Calibri" w:hAnsi="Calibri" w:cs="Times New Roman"/>
                <w:b/>
                <w:bCs/>
                <w:color w:val="000000"/>
                <w:sz w:val="20"/>
                <w:vertAlign w:val="superscript"/>
              </w:rPr>
              <w:t>14</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Trans-Pacific Partnership Agreement</w:t>
            </w:r>
            <w:r w:rsidRPr="000D7FB4">
              <w:rPr>
                <w:rFonts w:ascii="Calibri" w:eastAsia="Calibri" w:hAnsi="Calibri" w:cs="Times New Roman"/>
                <w:b/>
                <w:bCs/>
                <w:color w:val="000000"/>
                <w:sz w:val="20"/>
                <w:vertAlign w:val="superscript"/>
              </w:rPr>
              <w:t>15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170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170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Australian Securities and Investments Commission Registry Further Market Testing</w:t>
            </w:r>
            <w:r w:rsidRPr="000D7FB4">
              <w:rPr>
                <w:rFonts w:ascii="Calibri" w:eastAsia="Calibri" w:hAnsi="Calibri" w:cs="Times New Roman"/>
                <w:b/>
                <w:bCs/>
                <w:sz w:val="20"/>
                <w:vertAlign w:val="superscript"/>
              </w:rPr>
              <w:t>16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Higher Education Participation Program — efficiencies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-92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-152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-92</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-152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Healthier Medicare — trial of health care homes</w:t>
            </w:r>
            <w:r w:rsidRPr="000D7FB4">
              <w:rPr>
                <w:rFonts w:ascii="Calibri" w:eastAsia="Calibri" w:hAnsi="Calibri" w:cs="Times New Roman"/>
                <w:b/>
                <w:bCs/>
                <w:color w:val="000000"/>
                <w:sz w:val="20"/>
                <w:vertAlign w:val="superscript"/>
              </w:rPr>
              <w:t>16</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12</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Public Sector Transformation and the Efficiency Dividend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-299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-511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-615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-1,424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-299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-511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-615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-1,424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Cashless Debit Card — third trial site</w:t>
            </w:r>
            <w:r w:rsidRPr="000D7FB4">
              <w:rPr>
                <w:rFonts w:ascii="Calibri" w:eastAsia="Calibri" w:hAnsi="Calibri" w:cs="Times New Roman"/>
                <w:b/>
                <w:bCs/>
                <w:color w:val="000000"/>
                <w:sz w:val="20"/>
                <w:vertAlign w:val="superscript"/>
              </w:rPr>
              <w:t>17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nfp</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nfp</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nfp</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Compulsory Rent Deduction Scheme — establishment</w:t>
            </w:r>
            <w:r w:rsidRPr="000D7FB4">
              <w:rPr>
                <w:rFonts w:ascii="Calibri" w:eastAsia="Calibri" w:hAnsi="Calibri" w:cs="Times New Roman"/>
                <w:b/>
                <w:bCs/>
                <w:color w:val="000000"/>
                <w:sz w:val="20"/>
                <w:vertAlign w:val="superscript"/>
              </w:rPr>
              <w:t>17</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nfp</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nfp</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nfp</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nfp</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Department of Human Services — administrative efficiencies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National Disability Insurance Scheme Savings Fund —</w:t>
            </w:r>
            <w:r w:rsidRPr="000D7FB4">
              <w:rPr>
                <w:rFonts w:ascii="Calibri" w:eastAsia="Calibri" w:hAnsi="Calibri" w:cs="Times New Roman"/>
                <w:b/>
                <w:bCs/>
                <w:color w:val="000000"/>
                <w:sz w:val="20"/>
              </w:rPr>
              <w:br/>
              <w:t>Backdating provisions for Carer Allowance</w:t>
            </w:r>
            <w:r w:rsidRPr="000D7FB4">
              <w:rPr>
                <w:rFonts w:ascii="Calibri" w:eastAsia="Calibri" w:hAnsi="Calibri" w:cs="Times New Roman"/>
                <w:b/>
                <w:bCs/>
                <w:color w:val="000000"/>
                <w:sz w:val="20"/>
                <w:vertAlign w:val="superscript"/>
              </w:rPr>
              <w:t>8,9</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National Disability Insurance Scheme Savings Fund —</w:t>
            </w:r>
            <w:r w:rsidRPr="000D7FB4">
              <w:rPr>
                <w:rFonts w:ascii="Calibri" w:eastAsia="Calibri" w:hAnsi="Calibri" w:cs="Times New Roman"/>
                <w:b/>
                <w:bCs/>
                <w:color w:val="000000"/>
                <w:sz w:val="20"/>
              </w:rPr>
              <w:br/>
              <w:t>Disability Support Pension recipients review</w:t>
            </w:r>
            <w:r w:rsidRPr="000D7FB4">
              <w:rPr>
                <w:rFonts w:ascii="Calibri" w:eastAsia="Calibri" w:hAnsi="Calibri" w:cs="Times New Roman"/>
                <w:b/>
                <w:bCs/>
                <w:color w:val="000000"/>
                <w:sz w:val="20"/>
                <w:vertAlign w:val="superscript"/>
              </w:rPr>
              <w:t>8,9</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-137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-59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 xml:space="preserve">National Disability Insurance Scheme Savings Fund — </w:t>
            </w:r>
            <w:r w:rsidRPr="000D7FB4">
              <w:rPr>
                <w:rFonts w:ascii="Calibri" w:eastAsia="Calibri" w:hAnsi="Calibri" w:cs="Times New Roman"/>
                <w:b/>
                <w:bCs/>
                <w:color w:val="000000"/>
                <w:sz w:val="20"/>
              </w:rPr>
              <w:br/>
              <w:t>Not proceeding with the NDIS advertising campaign</w:t>
            </w:r>
            <w:r w:rsidRPr="000D7FB4">
              <w:rPr>
                <w:rFonts w:ascii="Calibri" w:eastAsia="Calibri" w:hAnsi="Calibri" w:cs="Times New Roman"/>
                <w:b/>
                <w:bCs/>
                <w:color w:val="000000"/>
                <w:sz w:val="20"/>
                <w:vertAlign w:val="superscript"/>
              </w:rPr>
              <w:t>18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National Resources Development Strategy — exploring for the future</w:t>
            </w:r>
            <w:r w:rsidRPr="000D7FB4">
              <w:rPr>
                <w:rFonts w:ascii="Calibri" w:eastAsia="Calibri" w:hAnsi="Calibri" w:cs="Times New Roman"/>
                <w:b/>
                <w:bCs/>
                <w:color w:val="000000"/>
                <w:sz w:val="20"/>
                <w:vertAlign w:val="superscript"/>
              </w:rPr>
              <w:t>16</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Military engagement against terrorism in Afghanistan, Iraq, Syria</w:t>
            </w:r>
            <w:r w:rsidRPr="000D7FB4">
              <w:rPr>
                <w:rFonts w:ascii="Calibri" w:eastAsia="Calibri" w:hAnsi="Calibri" w:cs="Times New Roman"/>
                <w:b/>
                <w:bCs/>
                <w:color w:val="000000"/>
                <w:sz w:val="20"/>
                <w:vertAlign w:val="superscript"/>
              </w:rPr>
              <w:t>16,19</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40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67</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84</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Foreign Affairs and Trade Portfolio — efficiencies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-75</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Australian International Education — enabling growth and innovation</w:t>
            </w:r>
            <w:r w:rsidRPr="000D7FB4">
              <w:rPr>
                <w:rFonts w:ascii="Calibri" w:eastAsia="Calibri" w:hAnsi="Calibri" w:cs="Times New Roman"/>
                <w:b/>
                <w:bCs/>
                <w:color w:val="000000"/>
                <w:sz w:val="20"/>
                <w:vertAlign w:val="superscript"/>
              </w:rPr>
              <w:t>16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9</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2016-17</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Promotion of Excellence in Learning and Teaching in Higher Education — efficiencies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-18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szCs w:val="24"/>
              </w:rPr>
              <w:t>MYEFO</w:t>
            </w:r>
            <w:r w:rsidRPr="000D7FB4">
              <w:rPr>
                <w:rFonts w:ascii="Calibri" w:eastAsia="Calibri" w:hAnsi="Calibri" w:cs="Times New Roman"/>
                <w:b/>
                <w:bCs/>
                <w:sz w:val="20"/>
              </w:rPr>
              <w:t xml:space="preserve"> 2013-14</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Reinstate the Insurance Reform Advisory Group</w:t>
            </w:r>
            <w:r w:rsidRPr="000D7FB4">
              <w:rPr>
                <w:rFonts w:ascii="Calibri" w:eastAsia="Calibri" w:hAnsi="Calibri" w:cs="Times New Roman"/>
                <w:b/>
                <w:bCs/>
                <w:color w:val="000000"/>
                <w:sz w:val="20"/>
                <w:vertAlign w:val="superscript"/>
              </w:rPr>
              <w:t>20</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szCs w:val="24"/>
              </w:rPr>
              <w:t>MYEFO 2013-14</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Reinstate the Australian Animal Welfare Advisory Committee</w:t>
            </w:r>
            <w:r w:rsidRPr="000D7FB4">
              <w:rPr>
                <w:rFonts w:ascii="Calibri" w:eastAsia="Calibri" w:hAnsi="Calibri" w:cs="Times New Roman"/>
                <w:b/>
                <w:bCs/>
                <w:color w:val="000000"/>
                <w:sz w:val="20"/>
                <w:vertAlign w:val="superscript"/>
              </w:rPr>
              <w:t>21</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szCs w:val="24"/>
              </w:rPr>
              <w:t>MYEFO 2013-14</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Reinstate the National Steering Committee on Corporate Wrongdoing</w:t>
            </w:r>
            <w:r w:rsidRPr="000D7FB4">
              <w:rPr>
                <w:rFonts w:ascii="Calibri" w:eastAsia="Calibri" w:hAnsi="Calibri" w:cs="Times New Roman"/>
                <w:b/>
                <w:bCs/>
                <w:color w:val="000000"/>
                <w:sz w:val="20"/>
                <w:vertAlign w:val="superscript"/>
              </w:rPr>
              <w:t>22</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szCs w:val="24"/>
              </w:rPr>
              <w:t>MYEFO 2013-14</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Reinstate the Antarctic Animal Ethics Committee</w:t>
            </w:r>
            <w:r w:rsidRPr="000D7FB4">
              <w:rPr>
                <w:rFonts w:ascii="Calibri" w:eastAsia="Calibri" w:hAnsi="Calibri" w:cs="Times New Roman"/>
                <w:b/>
                <w:bCs/>
                <w:color w:val="000000"/>
                <w:sz w:val="20"/>
                <w:shd w:val="clear" w:color="auto" w:fill="E9ECF3"/>
                <w:vertAlign w:val="superscript"/>
              </w:rPr>
              <w:t>21</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szCs w:val="24"/>
              </w:rPr>
              <w:t>MYEFO 2013-14</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Reinstate the National Housing Supply Council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-8</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i/>
                <w:sz w:val="20"/>
                <w:szCs w:val="24"/>
              </w:rPr>
            </w:pPr>
            <w:r w:rsidRPr="000D7FB4">
              <w:rPr>
                <w:rFonts w:ascii="Calibri" w:eastAsia="Calibri" w:hAnsi="Calibri" w:cs="Times New Roman"/>
                <w:b/>
                <w:bCs/>
                <w:sz w:val="20"/>
                <w:szCs w:val="24"/>
              </w:rPr>
              <w:t>MYEFO 2013-14</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Reinstate the National Policy Commission on Indigenous Housing</w:t>
            </w:r>
            <w:r w:rsidRPr="000D7FB4">
              <w:rPr>
                <w:rFonts w:ascii="Calibri" w:eastAsia="Calibri" w:hAnsi="Calibri" w:cs="Times New Roman"/>
                <w:b/>
                <w:bCs/>
                <w:color w:val="000000"/>
                <w:sz w:val="20"/>
                <w:vertAlign w:val="superscript"/>
              </w:rPr>
              <w:t>23</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szCs w:val="24"/>
              </w:rPr>
              <w:t>MYEFO 2013-14</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Reinstate the Prime Minister's Council on Homelessness</w:t>
            </w:r>
            <w:r w:rsidRPr="000D7FB4">
              <w:rPr>
                <w:rFonts w:ascii="Calibri" w:eastAsia="Calibri" w:hAnsi="Calibri" w:cs="Times New Roman"/>
                <w:b/>
                <w:bCs/>
                <w:color w:val="000000"/>
                <w:sz w:val="20"/>
                <w:vertAlign w:val="superscript"/>
              </w:rPr>
              <w:t>24</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szCs w:val="24"/>
              </w:rPr>
              <w:t>MYEFO 2013-14</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Reinstate the Major Cities Unit (Department of Infrastructure and Regional Development)</w:t>
            </w:r>
            <w:r w:rsidRPr="000D7FB4">
              <w:rPr>
                <w:rFonts w:ascii="Calibri" w:eastAsia="Calibri" w:hAnsi="Calibri" w:cs="Times New Roman"/>
                <w:b/>
                <w:bCs/>
                <w:color w:val="000000"/>
                <w:sz w:val="20"/>
                <w:vertAlign w:val="superscript"/>
              </w:rPr>
              <w:t>21</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i/>
                <w:sz w:val="20"/>
                <w:szCs w:val="24"/>
              </w:rPr>
            </w:pPr>
            <w:r w:rsidRPr="000D7FB4">
              <w:rPr>
                <w:rFonts w:ascii="Calibri" w:eastAsia="Calibri" w:hAnsi="Calibri" w:cs="Times New Roman"/>
                <w:b/>
                <w:bCs/>
                <w:sz w:val="20"/>
                <w:szCs w:val="24"/>
              </w:rPr>
              <w:t>MYEFO 2013-14</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Reinstate the National Urban Policy Unit (Department of Infrastructure and Regional Development)</w:t>
            </w:r>
            <w:r w:rsidRPr="000D7FB4">
              <w:rPr>
                <w:rFonts w:ascii="Calibri" w:eastAsia="Calibri" w:hAnsi="Calibri" w:cs="Times New Roman"/>
                <w:b/>
                <w:bCs/>
                <w:color w:val="000000"/>
                <w:sz w:val="20"/>
                <w:vertAlign w:val="superscript"/>
              </w:rPr>
              <w:t>25</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8246" w:type="dxa"/>
            <w:gridSpan w:val="6"/>
            <w:tcBorders>
              <w:top w:val="single" w:sz="4" w:space="0" w:color="788184"/>
              <w:left w:val="single" w:sz="4" w:space="0" w:color="788184"/>
              <w:bottom w:val="single" w:sz="4" w:space="0" w:color="788184"/>
              <w:right w:val="single" w:sz="4" w:space="0" w:color="788184"/>
            </w:tcBorders>
            <w:shd w:val="clear" w:color="000000" w:fill="E9ECF3"/>
            <w:noWrap/>
            <w:vAlign w:val="center"/>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Recommit funding left over in Clean Technology Investment Program (closed to new applications in October 2013)</w:t>
            </w:r>
            <w:r w:rsidRPr="000D7FB4">
              <w:rPr>
                <w:rFonts w:ascii="Calibri" w:eastAsia="Calibri" w:hAnsi="Calibri" w:cs="Times New Roman"/>
                <w:b/>
                <w:bCs/>
                <w:color w:val="000000"/>
                <w:sz w:val="20"/>
                <w:vertAlign w:val="superscript"/>
              </w:rPr>
              <w:t>26</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-255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-255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-255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-766</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-255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-255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-255</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-766</w:t>
            </w:r>
          </w:p>
        </w:tc>
      </w:tr>
      <w:tr w:rsidR="000B5C96" w:rsidRPr="000D7FB4" w:rsidTr="003F606A">
        <w:trPr>
          <w:trHeight w:val="113"/>
          <w:jc w:val="center"/>
        </w:trPr>
        <w:tc>
          <w:tcPr>
            <w:tcW w:w="8246" w:type="dxa"/>
            <w:gridSpan w:val="6"/>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Restore Department of Social Services employment to Budget 2013-14 levels</w:t>
            </w:r>
            <w:r w:rsidRPr="000D7FB4">
              <w:rPr>
                <w:rFonts w:ascii="Calibri" w:eastAsia="Calibri" w:hAnsi="Calibri" w:cs="Times New Roman"/>
                <w:b/>
                <w:bCs/>
                <w:color w:val="000000"/>
                <w:sz w:val="20"/>
                <w:vertAlign w:val="superscript"/>
              </w:rPr>
              <w:t>27</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-70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-68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-200</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-63</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-70</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-68</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-200</w:t>
            </w:r>
          </w:p>
        </w:tc>
      </w:tr>
      <w:tr w:rsidR="000B5C96" w:rsidRPr="000D7FB4" w:rsidTr="003F606A">
        <w:trPr>
          <w:trHeight w:val="113"/>
          <w:jc w:val="center"/>
        </w:trPr>
        <w:tc>
          <w:tcPr>
            <w:tcW w:w="8246" w:type="dxa"/>
            <w:gridSpan w:val="6"/>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Restore Department of the Environment employment to Budget 2013-14 levels</w:t>
            </w:r>
            <w:r w:rsidRPr="000D7FB4">
              <w:rPr>
                <w:rFonts w:ascii="Calibri" w:eastAsia="Calibri" w:hAnsi="Calibri" w:cs="Times New Roman"/>
                <w:b/>
                <w:bCs/>
                <w:color w:val="000000"/>
                <w:sz w:val="20"/>
                <w:vertAlign w:val="superscript"/>
              </w:rPr>
              <w:t>27</w:t>
            </w:r>
            <w:r w:rsidRPr="000D7FB4">
              <w:rPr>
                <w:rFonts w:ascii="Calibri" w:eastAsia="Calibri" w:hAnsi="Calibri" w:cs="Times New Roman"/>
                <w:b/>
                <w:bCs/>
                <w:color w:val="000000"/>
                <w:sz w:val="20"/>
              </w:rPr>
              <w:t>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-26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-71</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-21</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-26</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-71</w:t>
            </w:r>
          </w:p>
        </w:tc>
      </w:tr>
      <w:tr w:rsidR="000B5C96" w:rsidRPr="000D7FB4" w:rsidTr="003F606A">
        <w:trPr>
          <w:trHeight w:val="113"/>
          <w:jc w:val="center"/>
        </w:trPr>
        <w:tc>
          <w:tcPr>
            <w:tcW w:w="8246" w:type="dxa"/>
            <w:gridSpan w:val="6"/>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Restore funding to the Office of the Information Commissioner to Budget 2013-14 levels </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szCs w:val="24"/>
              </w:rPr>
            </w:pPr>
            <w:r w:rsidRPr="000D7FB4">
              <w:rPr>
                <w:rFonts w:ascii="Calibri" w:eastAsia="Calibri" w:hAnsi="Calibri" w:cs="Times New Roman"/>
                <w:bCs/>
                <w:color w:val="000000"/>
                <w:sz w:val="20"/>
              </w:rPr>
              <w:t>-19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szCs w:val="24"/>
              </w:rPr>
            </w:pPr>
            <w:r w:rsidRPr="000D7FB4">
              <w:rPr>
                <w:rFonts w:ascii="Calibri" w:eastAsia="Calibri" w:hAnsi="Calibri" w:cs="Times New Roman"/>
                <w:b/>
                <w:bCs/>
                <w:color w:val="000000"/>
                <w:sz w:val="20"/>
              </w:rPr>
              <w:t>-49</w:t>
            </w:r>
          </w:p>
        </w:tc>
      </w:tr>
      <w:tr w:rsidR="000B5C96" w:rsidRPr="000D7FB4" w:rsidTr="003F606A">
        <w:trPr>
          <w:trHeight w:val="113"/>
          <w:jc w:val="center"/>
        </w:trPr>
        <w:tc>
          <w:tcPr>
            <w:tcW w:w="2576" w:type="dxa"/>
            <w:tcBorders>
              <w:top w:val="single" w:sz="4" w:space="0" w:color="788184"/>
              <w:left w:val="single" w:sz="4" w:space="0" w:color="788184"/>
              <w:bottom w:val="single" w:sz="4" w:space="0" w:color="788184"/>
              <w:right w:val="single" w:sz="4" w:space="0" w:color="788184"/>
            </w:tcBorders>
            <w:shd w:val="clear" w:color="auto" w:fill="auto"/>
            <w:noWrap/>
            <w:vAlign w:val="center"/>
            <w:hideMark/>
          </w:tcPr>
          <w:p w:rsidR="000B5C96" w:rsidRPr="000D7FB4" w:rsidRDefault="000B5C96" w:rsidP="003F606A">
            <w:pPr>
              <w:spacing w:before="70" w:after="70"/>
              <w:ind w:left="57" w:right="57"/>
              <w:rPr>
                <w:rFonts w:ascii="Calibri" w:eastAsia="Calibri" w:hAnsi="Calibri" w:cs="Times New Roman"/>
                <w:b/>
                <w:bCs/>
                <w:sz w:val="20"/>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auto"/>
            <w:vAlign w:val="bottom"/>
            <w:hideMark/>
          </w:tcPr>
          <w:p w:rsidR="000B5C96" w:rsidRPr="000D7FB4" w:rsidRDefault="000B5C96" w:rsidP="003F606A">
            <w:pPr>
              <w:spacing w:before="70" w:after="70"/>
              <w:ind w:left="57" w:right="57"/>
              <w:jc w:val="right"/>
              <w:rPr>
                <w:rFonts w:ascii="Calibri" w:eastAsia="Calibri" w:hAnsi="Calibri" w:cs="Times New Roman"/>
                <w:b/>
                <w:bCs/>
                <w:sz w:val="20"/>
              </w:rPr>
            </w:pPr>
            <w:r w:rsidRPr="000D7FB4">
              <w:rPr>
                <w:rFonts w:ascii="Calibri" w:eastAsia="Calibri" w:hAnsi="Calibri" w:cs="Times New Roman"/>
                <w:b/>
                <w:bCs/>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sz w:val="20"/>
              </w:rPr>
            </w:pPr>
            <w:r w:rsidRPr="000D7FB4">
              <w:rPr>
                <w:rFonts w:ascii="Calibri" w:eastAsia="Calibri" w:hAnsi="Calibri" w:cs="Times New Roman"/>
                <w:b/>
                <w:bCs/>
                <w:sz w:val="20"/>
              </w:rPr>
              <w:t>-14</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sz w:val="20"/>
              </w:rPr>
            </w:pPr>
            <w:r w:rsidRPr="000D7FB4">
              <w:rPr>
                <w:rFonts w:ascii="Calibri" w:eastAsia="Calibri" w:hAnsi="Calibri" w:cs="Times New Roman"/>
                <w:b/>
                <w:bCs/>
                <w:sz w:val="20"/>
              </w:rPr>
              <w:t>-17</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sz w:val="20"/>
              </w:rPr>
            </w:pPr>
            <w:r w:rsidRPr="000D7FB4">
              <w:rPr>
                <w:rFonts w:ascii="Calibri" w:eastAsia="Calibri" w:hAnsi="Calibri" w:cs="Times New Roman"/>
                <w:b/>
                <w:bCs/>
                <w:sz w:val="20"/>
              </w:rPr>
              <w:t>-19</w:t>
            </w:r>
          </w:p>
        </w:tc>
        <w:tc>
          <w:tcPr>
            <w:tcW w:w="1134" w:type="dxa"/>
            <w:tcBorders>
              <w:top w:val="single" w:sz="4" w:space="0" w:color="788184"/>
              <w:left w:val="single" w:sz="4" w:space="0" w:color="788184"/>
              <w:bottom w:val="single" w:sz="4" w:space="0" w:color="788184"/>
              <w:right w:val="single" w:sz="4" w:space="0" w:color="788184"/>
            </w:tcBorders>
            <w:shd w:val="clear" w:color="auto" w:fill="auto"/>
            <w:noWrap/>
            <w:vAlign w:val="bottom"/>
            <w:hideMark/>
          </w:tcPr>
          <w:p w:rsidR="000B5C96" w:rsidRPr="000D7FB4" w:rsidRDefault="000B5C96" w:rsidP="003F606A">
            <w:pPr>
              <w:spacing w:before="70" w:after="70"/>
              <w:ind w:left="57" w:right="57"/>
              <w:jc w:val="right"/>
              <w:rPr>
                <w:rFonts w:ascii="Calibri" w:eastAsia="Calibri" w:hAnsi="Calibri" w:cs="Times New Roman"/>
                <w:b/>
                <w:bCs/>
                <w:sz w:val="20"/>
              </w:rPr>
            </w:pPr>
            <w:r w:rsidRPr="000D7FB4">
              <w:rPr>
                <w:rFonts w:ascii="Calibri" w:eastAsia="Calibri" w:hAnsi="Calibri" w:cs="Times New Roman"/>
                <w:b/>
                <w:bCs/>
                <w:sz w:val="20"/>
              </w:rPr>
              <w:t>-49</w:t>
            </w:r>
          </w:p>
        </w:tc>
      </w:tr>
    </w:tbl>
    <w:p w:rsidR="000B5C96" w:rsidRPr="002E1C90" w:rsidRDefault="000B5C96" w:rsidP="00555964">
      <w:pPr>
        <w:pStyle w:val="Footnotes"/>
        <w:numPr>
          <w:ilvl w:val="0"/>
          <w:numId w:val="127"/>
        </w:numPr>
        <w:ind w:left="284" w:hanging="284"/>
      </w:pPr>
      <w:r w:rsidRPr="002E1C90">
        <w:t>A positive number indicates an increase in revenue or decrease in expenses or net capital investment in accrual terms. A negative number indicates a decrease in revenue or an increase in expenses or net capital investment in accrual terms.</w:t>
      </w:r>
    </w:p>
    <w:p w:rsidR="000B5C96" w:rsidRPr="000D7FB4" w:rsidRDefault="000B5C96" w:rsidP="000B5C96">
      <w:pPr>
        <w:pStyle w:val="Footnotes"/>
        <w:numPr>
          <w:ilvl w:val="0"/>
          <w:numId w:val="127"/>
        </w:numPr>
        <w:ind w:left="284" w:hanging="284"/>
      </w:pPr>
      <w:r w:rsidRPr="000D7FB4">
        <w:t>Figures may not sum to totals due to rounding.</w:t>
      </w:r>
    </w:p>
    <w:p w:rsidR="000B5C96" w:rsidRPr="000D7FB4" w:rsidRDefault="000B5C96" w:rsidP="003F606A">
      <w:pPr>
        <w:pStyle w:val="Footnotes"/>
        <w:numPr>
          <w:ilvl w:val="0"/>
          <w:numId w:val="0"/>
        </w:numPr>
        <w:ind w:left="284" w:hanging="284"/>
      </w:pPr>
      <w:r w:rsidRPr="000D7FB4">
        <w:t>..</w:t>
      </w:r>
      <w:r>
        <w:tab/>
      </w:r>
      <w:r w:rsidRPr="000D7FB4">
        <w:tab/>
        <w:t>Not zero but rounded to zero.</w:t>
      </w:r>
    </w:p>
    <w:p w:rsidR="000B5C96" w:rsidRPr="000D7FB4" w:rsidRDefault="000B5C96" w:rsidP="000B5C96">
      <w:pPr>
        <w:pStyle w:val="Footnotes"/>
        <w:numPr>
          <w:ilvl w:val="0"/>
          <w:numId w:val="121"/>
        </w:numPr>
        <w:ind w:left="284" w:hanging="284"/>
      </w:pPr>
      <w:r w:rsidRPr="000D7FB4">
        <w:t>Indicates nil.</w:t>
      </w:r>
    </w:p>
    <w:p w:rsidR="000B5C96" w:rsidRPr="000D7FB4" w:rsidRDefault="000B5C96" w:rsidP="000B5C96">
      <w:pPr>
        <w:pStyle w:val="Footnotes"/>
        <w:numPr>
          <w:ilvl w:val="0"/>
          <w:numId w:val="126"/>
        </w:numPr>
        <w:ind w:left="284" w:hanging="284"/>
        <w:contextualSpacing w:val="0"/>
      </w:pPr>
      <w:r w:rsidRPr="000D7FB4">
        <w:t>As this measure is unlegislated, any expected financial implications of the announced measure before 1 July 2017 have no financial implications under the proposed reversal.</w:t>
      </w:r>
    </w:p>
    <w:p w:rsidR="000B5C96" w:rsidRPr="000D7FB4" w:rsidRDefault="000B5C96" w:rsidP="000B5C96">
      <w:pPr>
        <w:pStyle w:val="Footnotes"/>
        <w:numPr>
          <w:ilvl w:val="0"/>
          <w:numId w:val="126"/>
        </w:numPr>
        <w:ind w:left="284" w:hanging="284"/>
        <w:contextualSpacing w:val="0"/>
      </w:pPr>
      <w:r w:rsidRPr="000D7FB4">
        <w:t xml:space="preserve">The office of Senator Di Natale advised on 3 May 2016 that reversal of this measure does not include reversing the freeze to the income thresholds for the Medicare Levy Surcharge and the Private Health Insurance Rebate.  As the pause in indexation of Medicare Benefits Schedule fees (excluding GPs) under this measure goes to 30 June 2016, and the continued indexation freeze beyond that date relates to subsequent Budget measures, the PBO estimates that there are nil financial implications for this item. </w:t>
      </w:r>
    </w:p>
    <w:p w:rsidR="000B5C96" w:rsidRPr="000D7FB4" w:rsidRDefault="000B5C96" w:rsidP="000B5C96">
      <w:pPr>
        <w:pStyle w:val="Footnotes"/>
        <w:numPr>
          <w:ilvl w:val="0"/>
          <w:numId w:val="126"/>
        </w:numPr>
        <w:ind w:left="284" w:hanging="284"/>
        <w:contextualSpacing w:val="0"/>
      </w:pPr>
      <w:r w:rsidRPr="000D7FB4">
        <w:t>PBO estimates include the net financial implications of reversing the Budget/MYEFO measure and all previous and subsequent amendments to this measure.</w:t>
      </w:r>
    </w:p>
    <w:p w:rsidR="000B5C96" w:rsidRPr="000D7FB4" w:rsidRDefault="000B5C96" w:rsidP="000B5C96">
      <w:pPr>
        <w:pStyle w:val="Footnotes"/>
        <w:numPr>
          <w:ilvl w:val="0"/>
          <w:numId w:val="126"/>
        </w:numPr>
        <w:ind w:left="284" w:hanging="284"/>
        <w:contextualSpacing w:val="0"/>
      </w:pPr>
      <w:r w:rsidRPr="000D7FB4">
        <w:t>The office of Senator Di Natale advised that the proposal is to reinstate the savings associated with the measure, rather than reversing the measure.</w:t>
      </w:r>
    </w:p>
    <w:p w:rsidR="000B5C96" w:rsidRPr="000D7FB4" w:rsidRDefault="000B5C96" w:rsidP="000B5C96">
      <w:pPr>
        <w:pStyle w:val="Footnotes"/>
        <w:numPr>
          <w:ilvl w:val="0"/>
          <w:numId w:val="126"/>
        </w:numPr>
        <w:ind w:left="284" w:hanging="284"/>
        <w:contextualSpacing w:val="0"/>
      </w:pPr>
      <w:r w:rsidRPr="000D7FB4">
        <w:t>This measure increases expenditure over the forward estimates.  The reversal of this expenditure would have positive financial implications on the fiscal and underlying cash balances.  Expenditure prior to 1 July 2017 is considered foregone, and is not included in the financial implications for reversing this measure.</w:t>
      </w:r>
    </w:p>
    <w:p w:rsidR="000B5C96" w:rsidRPr="000D7FB4" w:rsidRDefault="000B5C96" w:rsidP="000B5C96">
      <w:pPr>
        <w:pStyle w:val="Footnotes"/>
        <w:numPr>
          <w:ilvl w:val="0"/>
          <w:numId w:val="126"/>
        </w:numPr>
        <w:ind w:left="284" w:hanging="284"/>
        <w:contextualSpacing w:val="0"/>
      </w:pPr>
      <w:r w:rsidRPr="000D7FB4">
        <w:t>PBO estimates of the financial implications of reversing measures related to transfer payments or other demand-driven programs do not include administered expenditure prior to 1 July 2017.</w:t>
      </w:r>
    </w:p>
    <w:p w:rsidR="000B5C96" w:rsidRPr="000D7FB4" w:rsidRDefault="000B5C96" w:rsidP="000B5C96">
      <w:pPr>
        <w:pStyle w:val="Footnotes"/>
        <w:numPr>
          <w:ilvl w:val="0"/>
          <w:numId w:val="126"/>
        </w:numPr>
        <w:ind w:left="284" w:hanging="284"/>
        <w:contextualSpacing w:val="0"/>
      </w:pPr>
      <w:r w:rsidRPr="000D7FB4">
        <w:t xml:space="preserve">PBO estimates of the financial implications of reversing this measure do not include the financial implications related to Disability Support Pension (DSP) recipients losing their payments or moving to other payments as a result of the eligibility review, since the review was already completed as of 31 December 2015. The financial implications reflect the reversal of expenditure on additional activity requirements for those DSP recipients in the target group who remain eligible for DSP. </w:t>
      </w:r>
    </w:p>
    <w:p w:rsidR="000B5C96" w:rsidRPr="000D7FB4" w:rsidRDefault="000B5C96" w:rsidP="000B5C96">
      <w:pPr>
        <w:pStyle w:val="Footnotes"/>
        <w:numPr>
          <w:ilvl w:val="0"/>
          <w:numId w:val="126"/>
        </w:numPr>
        <w:ind w:left="284" w:hanging="284"/>
        <w:contextualSpacing w:val="0"/>
      </w:pPr>
      <w:r w:rsidRPr="000D7FB4">
        <w:t>PBO estimates of financial implications include additional departmental funding for implementation of policy reversal.</w:t>
      </w:r>
    </w:p>
    <w:p w:rsidR="000B5C96" w:rsidRPr="000D7FB4" w:rsidRDefault="000B5C96" w:rsidP="000B5C96">
      <w:pPr>
        <w:pStyle w:val="Footnotes"/>
        <w:numPr>
          <w:ilvl w:val="0"/>
          <w:numId w:val="126"/>
        </w:numPr>
        <w:ind w:left="284" w:hanging="284"/>
        <w:contextualSpacing w:val="0"/>
      </w:pPr>
      <w:r w:rsidRPr="000D7FB4">
        <w:t xml:space="preserve">Savings from reduced expenditure on transfer payments prior to 1 July 2017 are not included in the financial implications.  Likewise, any administration costs incurred prior to 1 July 2017 are considered foregone, and are not included in the financial implications for reversing this measure. </w:t>
      </w:r>
    </w:p>
    <w:p w:rsidR="000B5C96" w:rsidRPr="000D7FB4" w:rsidRDefault="000B5C96" w:rsidP="000B5C96">
      <w:pPr>
        <w:pStyle w:val="Footnotes"/>
        <w:numPr>
          <w:ilvl w:val="0"/>
          <w:numId w:val="126"/>
        </w:numPr>
        <w:ind w:left="284" w:hanging="284"/>
        <w:contextualSpacing w:val="0"/>
      </w:pPr>
      <w:r w:rsidRPr="000D7FB4">
        <w:t xml:space="preserve">PBO estimates of the financial implications of reversing this measure are of low reliability.  There is uncertainty as to whether the reinstating of the administration costs would be sufficient to meet the outcomes of renegotiated contracts. </w:t>
      </w:r>
    </w:p>
    <w:p w:rsidR="000B5C96" w:rsidRPr="000D7FB4" w:rsidRDefault="000B5C96" w:rsidP="000B5C96">
      <w:pPr>
        <w:pStyle w:val="Footnotes"/>
        <w:numPr>
          <w:ilvl w:val="0"/>
          <w:numId w:val="126"/>
        </w:numPr>
        <w:ind w:left="284" w:hanging="284"/>
        <w:contextualSpacing w:val="0"/>
      </w:pPr>
      <w:r w:rsidRPr="000D7FB4">
        <w:t>The office of Senator Di Natale advised on 6 April 2016 that the proposal is to increase funding by $95m to the Remote Indigenous Housing Strategy over the 2016-17 Budget forward estimates period.</w:t>
      </w:r>
    </w:p>
    <w:p w:rsidR="000B5C96" w:rsidRPr="000D7FB4" w:rsidRDefault="000B5C96" w:rsidP="000B5C96">
      <w:pPr>
        <w:pStyle w:val="Footnotes"/>
        <w:numPr>
          <w:ilvl w:val="0"/>
          <w:numId w:val="126"/>
        </w:numPr>
        <w:ind w:left="284" w:hanging="284"/>
        <w:contextualSpacing w:val="0"/>
      </w:pPr>
      <w:r w:rsidRPr="000D7FB4">
        <w:t>PBO estimates of the financial implications of reversing this measure are of low reliability as they are based on assumptions of take-up rate.</w:t>
      </w:r>
    </w:p>
    <w:p w:rsidR="000B5C96" w:rsidRPr="000D7FB4" w:rsidRDefault="000B5C96" w:rsidP="000B5C96">
      <w:pPr>
        <w:pStyle w:val="Footnotes"/>
        <w:numPr>
          <w:ilvl w:val="0"/>
          <w:numId w:val="126"/>
        </w:numPr>
        <w:ind w:left="284" w:hanging="284"/>
        <w:contextualSpacing w:val="0"/>
      </w:pPr>
      <w:r w:rsidRPr="000D7FB4">
        <w:t xml:space="preserve">This costing adopts the methodology and data used for the 2015-16 Budget costing of </w:t>
      </w:r>
      <w:r w:rsidRPr="00F33BEC">
        <w:rPr>
          <w:i/>
        </w:rPr>
        <w:t>Personal income tax – changes to tax residency rules for temporary working holiday makers</w:t>
      </w:r>
      <w:r w:rsidRPr="000D7FB4">
        <w:t>. However, Administrative Appeals Tribunal rulings have further clarified the residency test for tax purposes.  The current costing takes account of this clarification. These estimates are considered to be of low reliability as they rely on a number of assumptions. Estimates have been rounded to the nearest $10 million for revenue and to the nearest $1 million for departmental expenditure.</w:t>
      </w:r>
    </w:p>
    <w:p w:rsidR="000B5C96" w:rsidRPr="000D7FB4" w:rsidRDefault="000B5C96" w:rsidP="000B5C96">
      <w:pPr>
        <w:pStyle w:val="Footnotes"/>
        <w:numPr>
          <w:ilvl w:val="0"/>
          <w:numId w:val="126"/>
        </w:numPr>
        <w:ind w:left="284" w:hanging="284"/>
        <w:contextualSpacing w:val="0"/>
      </w:pPr>
      <w:r w:rsidRPr="000D7FB4">
        <w:t>The office of Senator Di Natale advised on 6 April 2016 that the proposal is to restore funding to the Indigenous Advancement Strategy, equivalent to the amount directed to the Remote School Attendance Strategy.</w:t>
      </w:r>
    </w:p>
    <w:p w:rsidR="000B5C96" w:rsidRPr="000D7FB4" w:rsidRDefault="000B5C96" w:rsidP="000B5C96">
      <w:pPr>
        <w:pStyle w:val="Footnotes"/>
        <w:numPr>
          <w:ilvl w:val="0"/>
          <w:numId w:val="126"/>
        </w:numPr>
        <w:ind w:left="284" w:hanging="284"/>
        <w:contextualSpacing w:val="0"/>
      </w:pPr>
      <w:r w:rsidRPr="000D7FB4">
        <w:t>Revenue foregone prior to the start date of 1 July 2017 is not included in the financial implications.</w:t>
      </w:r>
    </w:p>
    <w:p w:rsidR="000B5C96" w:rsidRPr="000D7FB4" w:rsidRDefault="000B5C96" w:rsidP="000B5C96">
      <w:pPr>
        <w:pStyle w:val="Footnotes"/>
        <w:numPr>
          <w:ilvl w:val="0"/>
          <w:numId w:val="126"/>
        </w:numPr>
        <w:ind w:left="284" w:hanging="284"/>
        <w:contextualSpacing w:val="0"/>
      </w:pPr>
      <w:r w:rsidRPr="000D7FB4">
        <w:t xml:space="preserve">Expenditure that occurs prior to 1 July 2017 is not reversed and is not included in the financial implications. </w:t>
      </w:r>
    </w:p>
    <w:p w:rsidR="000B5C96" w:rsidRPr="000D7FB4" w:rsidRDefault="000B5C96" w:rsidP="000B5C96">
      <w:pPr>
        <w:pStyle w:val="Footnotes"/>
        <w:numPr>
          <w:ilvl w:val="0"/>
          <w:numId w:val="126"/>
        </w:numPr>
        <w:ind w:left="284" w:hanging="284"/>
        <w:contextualSpacing w:val="0"/>
      </w:pPr>
      <w:r w:rsidRPr="000D7FB4">
        <w:t xml:space="preserve">The financial implications of reversing this measure are not for publication as negotiations with commercial providers or with states and territories are yet to be finalised. </w:t>
      </w:r>
    </w:p>
    <w:p w:rsidR="000B5C96" w:rsidRPr="000D7FB4" w:rsidRDefault="000B5C96" w:rsidP="000B5C96">
      <w:pPr>
        <w:pStyle w:val="Footnotes"/>
        <w:numPr>
          <w:ilvl w:val="0"/>
          <w:numId w:val="126"/>
        </w:numPr>
        <w:ind w:left="284" w:hanging="284"/>
        <w:contextualSpacing w:val="0"/>
      </w:pPr>
      <w:r w:rsidRPr="000D7FB4">
        <w:t>The estimated financial implications include reinstating unspent funds, as well as recommencing the NDIS advertising campaign.</w:t>
      </w:r>
    </w:p>
    <w:p w:rsidR="000B5C96" w:rsidRPr="000D7FB4" w:rsidRDefault="000B5C96" w:rsidP="000B5C96">
      <w:pPr>
        <w:pStyle w:val="Footnotes"/>
        <w:numPr>
          <w:ilvl w:val="0"/>
          <w:numId w:val="126"/>
        </w:numPr>
        <w:ind w:left="284" w:hanging="284"/>
        <w:contextualSpacing w:val="0"/>
      </w:pPr>
      <w:r w:rsidRPr="000D7FB4">
        <w:t>The office of Senator Di Natale advised on 6 May 2016 that this item includes the following 2015</w:t>
      </w:r>
      <w:r w:rsidRPr="000D7FB4">
        <w:noBreakHyphen/>
        <w:t xml:space="preserve">16 Budget measures: Operation Accordion – Extension, Operation Highroad – Extension, Operation Manitou – Extension and Operation Okra – Extension. </w:t>
      </w:r>
    </w:p>
    <w:p w:rsidR="000B5C96" w:rsidRPr="000D7FB4" w:rsidRDefault="000B5C96" w:rsidP="000B5C96">
      <w:pPr>
        <w:pStyle w:val="Footnotes"/>
        <w:numPr>
          <w:ilvl w:val="0"/>
          <w:numId w:val="126"/>
        </w:numPr>
        <w:ind w:left="284" w:hanging="284"/>
        <w:contextualSpacing w:val="0"/>
      </w:pPr>
      <w:r w:rsidRPr="000D7FB4">
        <w:t xml:space="preserve">The Insurance Reform Advisory Group consulted with industry, consumers and other stakeholders. The PBO estimates that the financial implications of re-establishing this group would be close to zero. </w:t>
      </w:r>
    </w:p>
    <w:p w:rsidR="000B5C96" w:rsidRPr="000D7FB4" w:rsidRDefault="000B5C96" w:rsidP="000B5C96">
      <w:pPr>
        <w:pStyle w:val="Footnotes"/>
        <w:numPr>
          <w:ilvl w:val="0"/>
          <w:numId w:val="126"/>
        </w:numPr>
        <w:ind w:left="284" w:hanging="284"/>
        <w:contextualSpacing w:val="0"/>
      </w:pPr>
      <w:r w:rsidRPr="000D7FB4">
        <w:t>Responsibilities and funding of the small agency have been subsumed by a larger agency, and transferring these back to the re-established small agency are expected to have near zero financial implications. The PBO estimates that the financial implications of re-establishing the agency, including the initial start-up costs, would be close to zero.</w:t>
      </w:r>
    </w:p>
    <w:p w:rsidR="000B5C96" w:rsidRPr="000D7FB4" w:rsidRDefault="000B5C96" w:rsidP="000B5C96">
      <w:pPr>
        <w:pStyle w:val="Footnotes"/>
        <w:numPr>
          <w:ilvl w:val="0"/>
          <w:numId w:val="126"/>
        </w:numPr>
        <w:ind w:left="284" w:hanging="284"/>
        <w:contextualSpacing w:val="0"/>
      </w:pPr>
      <w:r w:rsidRPr="000D7FB4">
        <w:t>The National Steering Committee on Corporate Wrongdoing consisted of the Secretary of the Attorney-General's Department, the Chairman of ASIC and the Director of Public Prosecutions which met quarterly and reported to the Attorney General. Restoring the Steering Committee is considered to have zero financial implications.</w:t>
      </w:r>
    </w:p>
    <w:p w:rsidR="000B5C96" w:rsidRPr="000D7FB4" w:rsidRDefault="000B5C96" w:rsidP="000B5C96">
      <w:pPr>
        <w:pStyle w:val="Footnotes"/>
        <w:numPr>
          <w:ilvl w:val="0"/>
          <w:numId w:val="126"/>
        </w:numPr>
        <w:ind w:left="284" w:hanging="284"/>
        <w:contextualSpacing w:val="0"/>
      </w:pPr>
      <w:r w:rsidRPr="000D7FB4">
        <w:t xml:space="preserve">The National Policy Commission on Indigenous Housing met four times a year with the Prime Minister and Minister for Indigenous Affairs. The PBO estimates that financial implications of re-establishing this commission would be close to zero. </w:t>
      </w:r>
    </w:p>
    <w:p w:rsidR="000B5C96" w:rsidRPr="000D7FB4" w:rsidRDefault="000B5C96" w:rsidP="000B5C96">
      <w:pPr>
        <w:pStyle w:val="Footnotes"/>
        <w:numPr>
          <w:ilvl w:val="0"/>
          <w:numId w:val="126"/>
        </w:numPr>
        <w:ind w:left="284" w:hanging="284"/>
        <w:contextualSpacing w:val="0"/>
      </w:pPr>
      <w:r w:rsidRPr="000D7FB4">
        <w:t xml:space="preserve">The Prime Minister's Council on Homelessness was a panel of experts which reported to the Prime Minister. The PBO estimates that the financial implications of re-establishing this panel would be close to zero. </w:t>
      </w:r>
    </w:p>
    <w:p w:rsidR="000B5C96" w:rsidRPr="000D7FB4" w:rsidRDefault="000B5C96" w:rsidP="000B5C96">
      <w:pPr>
        <w:pStyle w:val="Footnotes"/>
        <w:numPr>
          <w:ilvl w:val="0"/>
          <w:numId w:val="126"/>
        </w:numPr>
        <w:ind w:left="284" w:hanging="284"/>
        <w:contextualSpacing w:val="0"/>
      </w:pPr>
      <w:r w:rsidRPr="000D7FB4">
        <w:t>The Department of Infrastructure and Regional Development removed references to 'National Urban Policy' from MYEFO 2013-14 to reflect a change in government direction. The rebadging did not involve a reduction in funding or responsibilities. The PBO estimates that this reversal would have no financial implications.</w:t>
      </w:r>
    </w:p>
    <w:p w:rsidR="000B5C96" w:rsidRPr="000D7FB4" w:rsidRDefault="000B5C96" w:rsidP="000B5C96">
      <w:pPr>
        <w:pStyle w:val="Footnotes"/>
        <w:numPr>
          <w:ilvl w:val="0"/>
          <w:numId w:val="126"/>
        </w:numPr>
        <w:ind w:left="284" w:hanging="284"/>
        <w:contextualSpacing w:val="0"/>
      </w:pPr>
      <w:r w:rsidRPr="000D7FB4">
        <w:t>PBO estimates include recommitting leftover funding for the Clean Technology Investment Program - General Program and Clean Technology Investment - Food and Foundries Program. The original program was over seven years from 2011-12, and ran for three years until it was closed to new applicants from 22 October 2013. PBO estimates allocate remaining funding over three years.</w:t>
      </w:r>
    </w:p>
    <w:p w:rsidR="000B5C96" w:rsidRPr="000D7FB4" w:rsidRDefault="000B5C96" w:rsidP="000B5C96">
      <w:pPr>
        <w:pStyle w:val="Footnotes"/>
        <w:numPr>
          <w:ilvl w:val="0"/>
          <w:numId w:val="126"/>
        </w:numPr>
        <w:ind w:left="284" w:hanging="284"/>
        <w:contextualSpacing w:val="0"/>
      </w:pPr>
      <w:r w:rsidRPr="000D7FB4">
        <w:t>PBO estimates of the financial implications of reversing agency job reductions are of very low reliability because they are based on aggregate information on changes in agency expenses on employees, which includes both job reductions and any new positions created.</w:t>
      </w:r>
    </w:p>
    <w:p w:rsidR="000B5C96" w:rsidRPr="000D7FB4" w:rsidRDefault="000B5C96" w:rsidP="003F606A">
      <w:pPr>
        <w:pStyle w:val="Caption"/>
      </w:pPr>
      <w:r w:rsidRPr="000D7FB4">
        <w:t>Table B2: Reversing Harsh and Harmful Budget Measures—Financial implications – Underlying cash balance</w:t>
      </w:r>
      <w:r w:rsidRPr="000D7FB4">
        <w:rPr>
          <w:vertAlign w:val="superscript"/>
        </w:rPr>
        <w:t>(a)(b)(c)</w:t>
      </w:r>
    </w:p>
    <w:tbl>
      <w:tblPr>
        <w:tblW w:w="0" w:type="auto"/>
        <w:jc w:val="center"/>
        <w:tblInd w:w="-471" w:type="dxa"/>
        <w:tblLayout w:type="fixed"/>
        <w:tblCellMar>
          <w:left w:w="0" w:type="dxa"/>
          <w:right w:w="0" w:type="dxa"/>
        </w:tblCellMar>
        <w:tblLook w:val="04A0" w:firstRow="1" w:lastRow="0" w:firstColumn="1" w:lastColumn="0" w:noHBand="0" w:noVBand="1"/>
      </w:tblPr>
      <w:tblGrid>
        <w:gridCol w:w="2687"/>
        <w:gridCol w:w="1134"/>
        <w:gridCol w:w="1134"/>
        <w:gridCol w:w="1134"/>
        <w:gridCol w:w="1134"/>
        <w:gridCol w:w="1134"/>
      </w:tblGrid>
      <w:tr w:rsidR="000B5C96" w:rsidRPr="000D7FB4" w:rsidTr="003F606A">
        <w:trPr>
          <w:trHeight w:val="113"/>
          <w:tblHeader/>
          <w:jc w:val="center"/>
        </w:trPr>
        <w:tc>
          <w:tcPr>
            <w:tcW w:w="2687" w:type="dxa"/>
            <w:tcBorders>
              <w:top w:val="single" w:sz="4" w:space="0" w:color="788184"/>
              <w:left w:val="single" w:sz="4" w:space="0" w:color="788184"/>
              <w:bottom w:val="single" w:sz="4" w:space="0" w:color="788184"/>
              <w:right w:val="single" w:sz="4" w:space="0" w:color="788184"/>
            </w:tcBorders>
            <w:shd w:val="clear" w:color="000000" w:fill="D7DDE9"/>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($m)</w:t>
            </w:r>
          </w:p>
        </w:tc>
        <w:tc>
          <w:tcPr>
            <w:tcW w:w="1134" w:type="dxa"/>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0B5C96" w:rsidRPr="000D7FB4" w:rsidRDefault="000B5C96" w:rsidP="003F606A">
            <w:pPr>
              <w:keepNext/>
              <w:keepLines/>
              <w:spacing w:before="70" w:after="70"/>
              <w:ind w:left="57" w:right="57"/>
              <w:jc w:val="center"/>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2016-17</w:t>
            </w:r>
          </w:p>
        </w:tc>
        <w:tc>
          <w:tcPr>
            <w:tcW w:w="1134" w:type="dxa"/>
            <w:tcBorders>
              <w:top w:val="single" w:sz="4" w:space="0" w:color="788184"/>
              <w:left w:val="single" w:sz="4" w:space="0" w:color="788184"/>
              <w:bottom w:val="single" w:sz="4" w:space="0" w:color="788184"/>
              <w:right w:val="single" w:sz="4" w:space="0" w:color="788184"/>
            </w:tcBorders>
            <w:shd w:val="clear" w:color="000000" w:fill="D7DDE9"/>
            <w:noWrap/>
            <w:vAlign w:val="center"/>
            <w:hideMark/>
          </w:tcPr>
          <w:p w:rsidR="000B5C96" w:rsidRPr="000D7FB4" w:rsidRDefault="000B5C96" w:rsidP="003F606A">
            <w:pPr>
              <w:keepNext/>
              <w:keepLines/>
              <w:spacing w:before="70" w:after="70"/>
              <w:ind w:left="57" w:right="57"/>
              <w:jc w:val="center"/>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2017-18</w:t>
            </w:r>
          </w:p>
        </w:tc>
        <w:tc>
          <w:tcPr>
            <w:tcW w:w="1134" w:type="dxa"/>
            <w:tcBorders>
              <w:top w:val="single" w:sz="4" w:space="0" w:color="788184"/>
              <w:left w:val="single" w:sz="4" w:space="0" w:color="788184"/>
              <w:bottom w:val="single" w:sz="4" w:space="0" w:color="788184"/>
              <w:right w:val="single" w:sz="4" w:space="0" w:color="788184"/>
            </w:tcBorders>
            <w:shd w:val="clear" w:color="000000" w:fill="D7DDE9"/>
            <w:noWrap/>
            <w:vAlign w:val="center"/>
            <w:hideMark/>
          </w:tcPr>
          <w:p w:rsidR="000B5C96" w:rsidRPr="000D7FB4" w:rsidRDefault="000B5C96" w:rsidP="003F606A">
            <w:pPr>
              <w:keepNext/>
              <w:keepLines/>
              <w:spacing w:before="70" w:after="70"/>
              <w:ind w:left="57" w:right="57"/>
              <w:jc w:val="center"/>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2018-19</w:t>
            </w:r>
          </w:p>
        </w:tc>
        <w:tc>
          <w:tcPr>
            <w:tcW w:w="1134" w:type="dxa"/>
            <w:tcBorders>
              <w:top w:val="single" w:sz="4" w:space="0" w:color="788184"/>
              <w:left w:val="single" w:sz="4" w:space="0" w:color="788184"/>
              <w:bottom w:val="single" w:sz="4" w:space="0" w:color="788184"/>
              <w:right w:val="single" w:sz="4" w:space="0" w:color="788184"/>
            </w:tcBorders>
            <w:shd w:val="clear" w:color="000000" w:fill="D7DDE9"/>
            <w:noWrap/>
            <w:vAlign w:val="center"/>
            <w:hideMark/>
          </w:tcPr>
          <w:p w:rsidR="000B5C96" w:rsidRPr="000D7FB4" w:rsidRDefault="000B5C96" w:rsidP="003F606A">
            <w:pPr>
              <w:keepNext/>
              <w:keepLines/>
              <w:spacing w:before="70" w:after="70"/>
              <w:ind w:left="57" w:right="57"/>
              <w:jc w:val="center"/>
              <w:rPr>
                <w:rFonts w:ascii="Calibri" w:eastAsia="Calibri" w:hAnsi="Calibri" w:cs="Times New Roman"/>
                <w:b/>
                <w:bCs/>
                <w:color w:val="000000"/>
                <w:sz w:val="20"/>
                <w:szCs w:val="24"/>
              </w:rPr>
            </w:pPr>
            <w:r w:rsidRPr="000D7FB4">
              <w:rPr>
                <w:rFonts w:ascii="Calibri" w:eastAsia="Calibri" w:hAnsi="Calibri" w:cs="Times New Roman"/>
                <w:b/>
                <w:bCs/>
                <w:color w:val="000000"/>
                <w:sz w:val="20"/>
              </w:rPr>
              <w:t>2019-20</w:t>
            </w:r>
          </w:p>
        </w:tc>
        <w:tc>
          <w:tcPr>
            <w:tcW w:w="1134" w:type="dxa"/>
            <w:tcBorders>
              <w:top w:val="single" w:sz="4" w:space="0" w:color="788184"/>
              <w:left w:val="single" w:sz="4" w:space="0" w:color="788184"/>
              <w:bottom w:val="single" w:sz="4" w:space="0" w:color="788184"/>
              <w:right w:val="single" w:sz="4" w:space="0" w:color="788184"/>
            </w:tcBorders>
            <w:shd w:val="clear" w:color="000000" w:fill="D7DDE9"/>
            <w:noWrap/>
            <w:vAlign w:val="center"/>
            <w:hideMark/>
          </w:tcPr>
          <w:p w:rsidR="000B5C96" w:rsidRPr="000D7FB4" w:rsidRDefault="000B5C96" w:rsidP="003F606A">
            <w:pPr>
              <w:keepNext/>
              <w:keepLines/>
              <w:spacing w:before="70" w:after="70"/>
              <w:ind w:left="57" w:right="57"/>
              <w:jc w:val="center"/>
              <w:rPr>
                <w:rFonts w:ascii="Calibri" w:eastAsia="Calibri" w:hAnsi="Calibri" w:cs="Times New Roman"/>
                <w:b/>
                <w:bCs/>
                <w:color w:val="000000"/>
                <w:sz w:val="20"/>
                <w:szCs w:val="24"/>
              </w:rPr>
            </w:pPr>
            <w:r w:rsidRPr="000D7FB4">
              <w:rPr>
                <w:rFonts w:ascii="Calibri" w:eastAsia="Calibri" w:hAnsi="Calibri" w:cs="Times New Roman"/>
                <w:b/>
                <w:bCs/>
                <w:color w:val="000000"/>
                <w:sz w:val="20"/>
              </w:rPr>
              <w:t>Total to 2019-20</w:t>
            </w:r>
          </w:p>
        </w:tc>
      </w:tr>
      <w:tr w:rsidR="000B5C96" w:rsidRPr="000D7FB4" w:rsidTr="003F606A">
        <w:trPr>
          <w:trHeight w:val="113"/>
          <w:tblHeader/>
          <w:jc w:val="center"/>
        </w:trPr>
        <w:tc>
          <w:tcPr>
            <w:tcW w:w="8357" w:type="dxa"/>
            <w:gridSpan w:val="6"/>
            <w:tcBorders>
              <w:top w:val="single" w:sz="4" w:space="0" w:color="788184"/>
              <w:left w:val="single" w:sz="4" w:space="0" w:color="788184"/>
              <w:bottom w:val="single" w:sz="4" w:space="0" w:color="788184"/>
              <w:right w:val="single" w:sz="4" w:space="0" w:color="788184"/>
            </w:tcBorders>
            <w:shd w:val="clear" w:color="000000" w:fill="E9ECF3"/>
            <w:noWrap/>
            <w:vAlign w:val="center"/>
          </w:tcPr>
          <w:p w:rsidR="000B5C96" w:rsidRPr="000D7FB4" w:rsidRDefault="000B5C96" w:rsidP="003F606A">
            <w:pPr>
              <w:keepNext/>
              <w:keepLines/>
              <w:spacing w:before="70" w:after="70"/>
              <w:ind w:left="57" w:right="57"/>
              <w:rPr>
                <w:rFonts w:ascii="Calibri" w:eastAsia="Calibri" w:hAnsi="Calibri" w:cs="Times New Roman"/>
                <w:b/>
                <w:bCs/>
                <w:color w:val="000000"/>
                <w:sz w:val="20"/>
              </w:rPr>
            </w:pPr>
            <w:r w:rsidRPr="000D7FB4">
              <w:rPr>
                <w:rFonts w:ascii="Calibri" w:eastAsia="Calibri" w:hAnsi="Calibri" w:cs="Times New Roman"/>
                <w:b/>
                <w:bCs/>
                <w:color w:val="000000"/>
                <w:sz w:val="20"/>
              </w:rPr>
              <w:t>Impact on underlying cash balance</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Pharmaceutical Benefits Scheme — increase in co-payments and safety net thresholds</w:t>
            </w:r>
            <w:r w:rsidRPr="000D7FB4">
              <w:rPr>
                <w:rFonts w:ascii="Calibri" w:eastAsia="Calibri" w:hAnsi="Calibri" w:cs="Times New Roman"/>
                <w:b/>
                <w:bCs/>
                <w:color w:val="000000"/>
                <w:sz w:val="20"/>
                <w:vertAlign w:val="superscript"/>
              </w:rPr>
              <w:t>1</w:t>
            </w:r>
            <w:r w:rsidRPr="000D7FB4">
              <w:rPr>
                <w:rFonts w:ascii="Calibri" w:eastAsia="Calibri" w:hAnsi="Calibri" w:cs="Times New Roman"/>
                <w:b/>
                <w:bCs/>
                <w:color w:val="000000"/>
                <w:sz w:val="20"/>
              </w:rPr>
              <w:t xml:space="preserve"> </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-269</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-280</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-295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-844</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-269</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-280</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-295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-844</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Maintain eligibility thresholds for Australian Government payments for three years</w:t>
            </w:r>
            <w:r w:rsidRPr="000D7FB4">
              <w:rPr>
                <w:rFonts w:ascii="Calibri" w:eastAsia="Calibri" w:hAnsi="Calibri" w:cs="Times New Roman"/>
                <w:b/>
                <w:bCs/>
                <w:color w:val="000000"/>
                <w:sz w:val="20"/>
                <w:vertAlign w:val="superscript"/>
              </w:rPr>
              <w:t>1,2</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-87</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-42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-56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-185</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5</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-84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-41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-55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-180</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Disability Support Pension — reduced portability</w:t>
            </w:r>
            <w:r w:rsidRPr="000D7FB4">
              <w:rPr>
                <w:rFonts w:ascii="Calibri" w:eastAsia="Calibri" w:hAnsi="Calibri" w:cs="Times New Roman"/>
                <w:b/>
                <w:bCs/>
                <w:color w:val="000000"/>
                <w:sz w:val="20"/>
                <w:vertAlign w:val="superscript"/>
              </w:rPr>
              <w:t>3</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-13</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-14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-14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-41</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14</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-9</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-9</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-9</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-26</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szCs w:val="24"/>
              </w:rPr>
              <w:t>Abolish the Seafarer Tax Offset</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-8</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-8</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szCs w:val="20"/>
              </w:rPr>
              <w:t>Reversal of Banking and Life Insurance unclaimed provisions</w:t>
            </w:r>
            <w:r w:rsidRPr="000D7FB4">
              <w:rPr>
                <w:rFonts w:ascii="Calibri" w:eastAsia="Calibri" w:hAnsi="Calibri" w:cs="Times New Roman"/>
                <w:b/>
                <w:bCs/>
                <w:color w:val="000000"/>
                <w:vertAlign w:val="superscript"/>
              </w:rPr>
              <w:t>4</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66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60</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58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183</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66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60</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58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183</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Medicare Benefits Schedule — changes to diagnostic imaging and pathology services bulk-billing incentives</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-225</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-234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-246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-705</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7</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19</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-218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-228</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-240</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-687</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000000" w:fill="E9ECF3"/>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Budget 2014-15</w:t>
            </w:r>
          </w:p>
        </w:tc>
        <w:tc>
          <w:tcPr>
            <w:tcW w:w="5670" w:type="dxa"/>
            <w:gridSpan w:val="5"/>
            <w:tcBorders>
              <w:top w:val="single" w:sz="4" w:space="0" w:color="788184"/>
              <w:left w:val="single" w:sz="4" w:space="0" w:color="788184"/>
              <w:bottom w:val="single" w:sz="4" w:space="0" w:color="788184"/>
              <w:right w:val="single" w:sz="4" w:space="0" w:color="788184"/>
            </w:tcBorders>
            <w:shd w:val="clear" w:color="000000" w:fill="E9ECF3"/>
            <w:vAlign w:val="bottom"/>
            <w:hideMark/>
          </w:tcPr>
          <w:p w:rsidR="000B5C96" w:rsidRPr="000D7FB4" w:rsidRDefault="000B5C96" w:rsidP="003F606A">
            <w:pPr>
              <w:keepNext/>
              <w:keepLines/>
              <w:spacing w:before="70" w:after="70"/>
              <w:ind w:left="57" w:right="57"/>
              <w:rPr>
                <w:rFonts w:ascii="Calibri" w:eastAsia="Calibri" w:hAnsi="Calibri" w:cs="Times New Roman"/>
                <w:b/>
                <w:bCs/>
                <w:color w:val="000000"/>
                <w:sz w:val="20"/>
                <w:szCs w:val="24"/>
              </w:rPr>
            </w:pPr>
            <w:r w:rsidRPr="000D7FB4">
              <w:rPr>
                <w:rFonts w:ascii="Calibri" w:eastAsia="Calibri" w:hAnsi="Calibri" w:cs="Times New Roman"/>
                <w:b/>
                <w:bCs/>
                <w:color w:val="000000"/>
                <w:sz w:val="20"/>
              </w:rPr>
              <w:t>Applying a General Interest Charge to the Debts of Ex</w:t>
            </w:r>
            <w:r w:rsidRPr="000D7FB4">
              <w:rPr>
                <w:rFonts w:ascii="MS Gothic" w:eastAsia="MS Gothic" w:hAnsi="MS Gothic" w:cs="MS Gothic" w:hint="eastAsia"/>
                <w:b/>
                <w:bCs/>
                <w:color w:val="000000"/>
                <w:sz w:val="20"/>
              </w:rPr>
              <w:t>‑</w:t>
            </w:r>
            <w:r w:rsidRPr="000D7FB4">
              <w:rPr>
                <w:rFonts w:ascii="Calibri" w:eastAsia="Calibri" w:hAnsi="Calibri" w:cs="Times New Roman"/>
                <w:b/>
                <w:bCs/>
                <w:color w:val="000000"/>
                <w:sz w:val="20"/>
              </w:rPr>
              <w:t>recipients of Social Security and Family Assistance Payments</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Administered</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-124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-60</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-36</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-220</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vAlign w:val="center"/>
            <w:hideMark/>
          </w:tcPr>
          <w:p w:rsidR="000B5C96" w:rsidRPr="000D7FB4" w:rsidRDefault="000B5C96" w:rsidP="003F606A">
            <w:pPr>
              <w:keepNext/>
              <w:keepLines/>
              <w:spacing w:before="70" w:after="70"/>
              <w:ind w:left="57" w:right="57"/>
              <w:rPr>
                <w:rFonts w:ascii="Calibri" w:eastAsia="Calibri" w:hAnsi="Calibri" w:cs="Times New Roman"/>
                <w:sz w:val="20"/>
              </w:rPr>
            </w:pPr>
            <w:r w:rsidRPr="000D7FB4">
              <w:rPr>
                <w:rFonts w:ascii="Calibri" w:eastAsia="Calibri" w:hAnsi="Calibri" w:cs="Times New Roman"/>
                <w:sz w:val="20"/>
              </w:rPr>
              <w:t>Departmental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Cs/>
                <w:color w:val="000000"/>
                <w:sz w:val="20"/>
              </w:rPr>
            </w:pPr>
            <w:r w:rsidRPr="000D7FB4">
              <w:rPr>
                <w:rFonts w:ascii="Calibri" w:eastAsia="Calibri" w:hAnsi="Calibri" w:cs="Times New Roman"/>
                <w:bCs/>
                <w:color w:val="000000"/>
                <w:sz w:val="20"/>
              </w:rPr>
              <w:t>1</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4</w:t>
            </w:r>
          </w:p>
        </w:tc>
      </w:tr>
      <w:tr w:rsidR="000B5C96" w:rsidRPr="000D7FB4" w:rsidTr="003F606A">
        <w:trPr>
          <w:trHeight w:val="113"/>
          <w:jc w:val="center"/>
        </w:trPr>
        <w:tc>
          <w:tcPr>
            <w:tcW w:w="2687" w:type="dxa"/>
            <w:tcBorders>
              <w:top w:val="single" w:sz="4" w:space="0" w:color="788184"/>
              <w:left w:val="single" w:sz="4" w:space="0" w:color="788184"/>
              <w:bottom w:val="single" w:sz="4" w:space="0" w:color="788184"/>
              <w:right w:val="single" w:sz="4" w:space="0" w:color="788184"/>
            </w:tcBorders>
            <w:shd w:val="clear" w:color="auto" w:fill="FFFFFF"/>
            <w:noWrap/>
            <w:vAlign w:val="center"/>
            <w:hideMark/>
          </w:tcPr>
          <w:p w:rsidR="000B5C96" w:rsidRPr="000D7FB4" w:rsidRDefault="000B5C96" w:rsidP="003F606A">
            <w:pPr>
              <w:keepNext/>
              <w:keepLines/>
              <w:spacing w:before="70" w:after="70"/>
              <w:ind w:left="57" w:right="57"/>
              <w:rPr>
                <w:rFonts w:ascii="Calibri" w:eastAsia="Calibri" w:hAnsi="Calibri" w:cs="Times New Roman"/>
                <w:b/>
                <w:bCs/>
                <w:sz w:val="20"/>
                <w:szCs w:val="24"/>
              </w:rPr>
            </w:pPr>
            <w:r w:rsidRPr="000D7FB4">
              <w:rPr>
                <w:rFonts w:ascii="Calibri" w:eastAsia="Calibri" w:hAnsi="Calibri" w:cs="Times New Roman"/>
                <w:b/>
                <w:bCs/>
                <w:sz w:val="20"/>
              </w:rPr>
              <w:t>Total</w:t>
            </w:r>
          </w:p>
        </w:tc>
        <w:tc>
          <w:tcPr>
            <w:tcW w:w="1134" w:type="dxa"/>
            <w:tcBorders>
              <w:top w:val="single" w:sz="4" w:space="0" w:color="788184"/>
              <w:left w:val="single" w:sz="4" w:space="0" w:color="788184"/>
              <w:bottom w:val="single" w:sz="4" w:space="0" w:color="788184"/>
              <w:right w:val="single" w:sz="4" w:space="0" w:color="788184"/>
            </w:tcBorders>
            <w:shd w:val="clear" w:color="auto" w:fill="FFFFFF"/>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-122</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-59</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-34</w:t>
            </w:r>
          </w:p>
        </w:tc>
        <w:tc>
          <w:tcPr>
            <w:tcW w:w="1134" w:type="dxa"/>
            <w:tcBorders>
              <w:top w:val="single" w:sz="4" w:space="0" w:color="788184"/>
              <w:left w:val="single" w:sz="4" w:space="0" w:color="788184"/>
              <w:bottom w:val="single" w:sz="4" w:space="0" w:color="788184"/>
              <w:right w:val="single" w:sz="4" w:space="0" w:color="788184"/>
            </w:tcBorders>
            <w:shd w:val="clear" w:color="auto" w:fill="FFFFFF"/>
            <w:noWrap/>
            <w:hideMark/>
          </w:tcPr>
          <w:p w:rsidR="000B5C96" w:rsidRPr="000D7FB4" w:rsidRDefault="000B5C96" w:rsidP="003F606A">
            <w:pPr>
              <w:keepNext/>
              <w:keepLines/>
              <w:spacing w:before="70" w:after="70"/>
              <w:ind w:left="57" w:right="57"/>
              <w:jc w:val="right"/>
              <w:rPr>
                <w:rFonts w:ascii="Calibri" w:eastAsia="Calibri" w:hAnsi="Calibri" w:cs="Times New Roman"/>
                <w:b/>
                <w:bCs/>
                <w:color w:val="000000"/>
                <w:sz w:val="20"/>
              </w:rPr>
            </w:pPr>
            <w:r w:rsidRPr="000D7FB4">
              <w:rPr>
                <w:rFonts w:ascii="Calibri" w:eastAsia="Calibri" w:hAnsi="Calibri" w:cs="Times New Roman"/>
                <w:b/>
                <w:bCs/>
                <w:color w:val="000000"/>
                <w:sz w:val="20"/>
              </w:rPr>
              <w:t>-215</w:t>
            </w:r>
          </w:p>
        </w:tc>
      </w:tr>
    </w:tbl>
    <w:p w:rsidR="000B5C96" w:rsidRPr="00F33BEC" w:rsidRDefault="000B5C96" w:rsidP="000B5C96">
      <w:pPr>
        <w:pStyle w:val="Footnotes"/>
        <w:numPr>
          <w:ilvl w:val="0"/>
          <w:numId w:val="129"/>
        </w:numPr>
        <w:ind w:left="284" w:hanging="284"/>
      </w:pPr>
      <w:r w:rsidRPr="00F33BEC">
        <w:t>A positive number indicates an increase in revenue or decrease in expenses or net capital investment in cash terms. A negative number indicates a decrease in revenue or an increase in expenses or net capital investment in cash terms.</w:t>
      </w:r>
    </w:p>
    <w:p w:rsidR="000B5C96" w:rsidRPr="00F33BEC" w:rsidRDefault="000B5C96" w:rsidP="000B5C96">
      <w:pPr>
        <w:pStyle w:val="Footnotes"/>
        <w:numPr>
          <w:ilvl w:val="0"/>
          <w:numId w:val="129"/>
        </w:numPr>
        <w:ind w:left="284" w:hanging="284"/>
      </w:pPr>
      <w:r w:rsidRPr="00F33BEC">
        <w:t>Figures may not sum to totals due to rounding.</w:t>
      </w:r>
    </w:p>
    <w:p w:rsidR="000B5C96" w:rsidRPr="00F33BEC" w:rsidRDefault="000B5C96" w:rsidP="000B5C96">
      <w:pPr>
        <w:pStyle w:val="Footnotes"/>
        <w:numPr>
          <w:ilvl w:val="0"/>
          <w:numId w:val="129"/>
        </w:numPr>
        <w:ind w:left="284" w:hanging="284"/>
      </w:pPr>
      <w:r w:rsidRPr="00F33BEC">
        <w:t>This table includes only those measures for reversal that have underlying cash balance implications that are different to the fiscal balance implications.</w:t>
      </w:r>
    </w:p>
    <w:p w:rsidR="000B5C96" w:rsidRPr="00F33BEC" w:rsidRDefault="000B5C96" w:rsidP="003F606A">
      <w:pPr>
        <w:pStyle w:val="Footnotes"/>
        <w:numPr>
          <w:ilvl w:val="0"/>
          <w:numId w:val="0"/>
        </w:numPr>
        <w:ind w:left="284" w:hanging="284"/>
      </w:pPr>
      <w:r w:rsidRPr="00F33BEC">
        <w:t>..</w:t>
      </w:r>
      <w:r>
        <w:tab/>
      </w:r>
      <w:r w:rsidRPr="00F33BEC">
        <w:t>Not zero but rounded to zero.</w:t>
      </w:r>
    </w:p>
    <w:p w:rsidR="000B5C96" w:rsidRPr="00F33BEC" w:rsidRDefault="000B5C96" w:rsidP="000B5C96">
      <w:pPr>
        <w:pStyle w:val="Footnotes"/>
        <w:numPr>
          <w:ilvl w:val="0"/>
          <w:numId w:val="121"/>
        </w:numPr>
        <w:ind w:left="284" w:hanging="284"/>
      </w:pPr>
      <w:r w:rsidRPr="00F33BEC">
        <w:t xml:space="preserve">Indicates nil. </w:t>
      </w:r>
    </w:p>
    <w:p w:rsidR="000B5C96" w:rsidRPr="000D7FB4" w:rsidRDefault="000B5C96" w:rsidP="000B5C96">
      <w:pPr>
        <w:numPr>
          <w:ilvl w:val="0"/>
          <w:numId w:val="130"/>
        </w:numPr>
        <w:spacing w:before="113" w:after="113" w:line="260" w:lineRule="atLeast"/>
        <w:ind w:left="284" w:hanging="284"/>
        <w:rPr>
          <w:rFonts w:ascii="Calibri" w:eastAsia="Calibri" w:hAnsi="Calibri" w:cs="Times New Roman"/>
          <w:sz w:val="20"/>
          <w:szCs w:val="20"/>
        </w:rPr>
      </w:pPr>
      <w:r w:rsidRPr="000D7FB4">
        <w:rPr>
          <w:rFonts w:ascii="Calibri" w:eastAsia="Calibri" w:hAnsi="Calibri" w:cs="Times New Roman"/>
          <w:sz w:val="20"/>
          <w:szCs w:val="20"/>
        </w:rPr>
        <w:t>As this measure is unlegislated, any expected financial implications of the announced measure before 1 July 2017 would have no financial implications under the proposed reversal.</w:t>
      </w:r>
    </w:p>
    <w:p w:rsidR="000B5C96" w:rsidRPr="000D7FB4" w:rsidRDefault="000B5C96" w:rsidP="000B5C96">
      <w:pPr>
        <w:numPr>
          <w:ilvl w:val="0"/>
          <w:numId w:val="130"/>
        </w:numPr>
        <w:spacing w:before="113" w:after="114" w:line="260" w:lineRule="atLeast"/>
        <w:ind w:left="284" w:hanging="284"/>
        <w:contextualSpacing/>
        <w:rPr>
          <w:rFonts w:ascii="Calibri" w:eastAsia="Calibri" w:hAnsi="Calibri" w:cs="Times New Roman"/>
          <w:sz w:val="20"/>
          <w:szCs w:val="20"/>
        </w:rPr>
      </w:pPr>
      <w:r w:rsidRPr="000D7FB4">
        <w:rPr>
          <w:rFonts w:ascii="Calibri" w:eastAsia="Calibri" w:hAnsi="Calibri" w:cs="Times New Roman"/>
          <w:sz w:val="20"/>
          <w:szCs w:val="20"/>
        </w:rPr>
        <w:t>PBO estimates include the net financial implications of reversing the Budget/MYEFO measure and all previous and subsequent amendments to this measure.</w:t>
      </w:r>
    </w:p>
    <w:p w:rsidR="000B5C96" w:rsidRPr="000D7FB4" w:rsidRDefault="000B5C96" w:rsidP="000B5C96">
      <w:pPr>
        <w:numPr>
          <w:ilvl w:val="0"/>
          <w:numId w:val="130"/>
        </w:numPr>
        <w:spacing w:before="113" w:after="113" w:line="260" w:lineRule="atLeast"/>
        <w:ind w:left="284" w:hanging="284"/>
        <w:rPr>
          <w:rFonts w:ascii="Calibri" w:eastAsia="Calibri" w:hAnsi="Calibri" w:cs="Times New Roman"/>
          <w:sz w:val="20"/>
          <w:szCs w:val="20"/>
        </w:rPr>
      </w:pPr>
      <w:r w:rsidRPr="000D7FB4">
        <w:rPr>
          <w:rFonts w:ascii="Calibri" w:eastAsia="Calibri" w:hAnsi="Calibri" w:cs="Times New Roman"/>
          <w:sz w:val="20"/>
          <w:szCs w:val="20"/>
        </w:rPr>
        <w:t>PBO estimates of the financial implications of reversing measures related to transfer payments or other demand-driven programs do not include administered expenditure prior to 1 July 2017.</w:t>
      </w:r>
    </w:p>
    <w:p w:rsidR="000B5C96" w:rsidRPr="000D7FB4" w:rsidRDefault="000B5C96" w:rsidP="000B5C96">
      <w:pPr>
        <w:numPr>
          <w:ilvl w:val="0"/>
          <w:numId w:val="130"/>
        </w:numPr>
        <w:spacing w:before="113" w:after="113" w:line="260" w:lineRule="atLeast"/>
        <w:ind w:left="284" w:hanging="284"/>
        <w:rPr>
          <w:rFonts w:ascii="Calibri" w:eastAsia="Calibri" w:hAnsi="Calibri" w:cs="Times New Roman"/>
          <w:sz w:val="20"/>
          <w:szCs w:val="20"/>
        </w:rPr>
      </w:pPr>
      <w:r w:rsidRPr="000D7FB4">
        <w:rPr>
          <w:rFonts w:ascii="Calibri" w:eastAsia="Calibri" w:hAnsi="Calibri" w:cs="Times New Roman"/>
          <w:sz w:val="20"/>
          <w:szCs w:val="20"/>
        </w:rPr>
        <w:t>PBO estimates of the financial implications of reversing this measure are of low reliability as they are based on assumptions of take-up rate.</w:t>
      </w:r>
    </w:p>
    <w:p w:rsidR="000B5C96" w:rsidRDefault="000B5C96" w:rsidP="003F606A">
      <w:pPr>
        <w:pStyle w:val="BodyText"/>
      </w:pPr>
    </w:p>
    <w:p w:rsidR="000B5C96" w:rsidRPr="000D7FB4" w:rsidRDefault="000B5C96" w:rsidP="003F606A">
      <w:pPr>
        <w:pStyle w:val="BodyText"/>
        <w:sectPr w:rsidR="000B5C96" w:rsidRPr="000D7FB4" w:rsidSect="003F606A">
          <w:footnotePr>
            <w:numRestart w:val="eachSect"/>
          </w:footnotePr>
          <w:pgSz w:w="11907" w:h="16839" w:code="9"/>
          <w:pgMar w:top="1361" w:right="1797" w:bottom="1474" w:left="1797" w:header="283" w:footer="454" w:gutter="0"/>
          <w:cols w:space="708"/>
          <w:docGrid w:linePitch="360"/>
        </w:sectPr>
      </w:pPr>
    </w:p>
    <w:p w:rsidR="000B5C96" w:rsidRDefault="000B5C96" w:rsidP="003F606A">
      <w:pPr>
        <w:pStyle w:val="Heading5"/>
      </w:pPr>
      <w:bookmarkStart w:id="251" w:name="_Toc458002005"/>
      <w:bookmarkStart w:id="252" w:name="_Toc458069490"/>
      <w:r>
        <w:t>GRN101: Nuclear veterans - atomic survivors healthcare card</w:t>
      </w:r>
      <w:bookmarkEnd w:id="251"/>
      <w:bookmarkEnd w:id="252"/>
    </w:p>
    <w:p w:rsidR="000B5C96" w:rsidRPr="008A0AE1" w:rsidRDefault="000B5C96" w:rsidP="003F606A">
      <w:pPr>
        <w:pStyle w:val="BodyText"/>
      </w:pPr>
      <w:r>
        <w:rPr>
          <w:noProof/>
          <w:lang w:eastAsia="en-AU"/>
        </w:rPr>
        <w:drawing>
          <wp:inline distT="0" distB="0" distL="0" distR="0" wp14:anchorId="73EA3F3A" wp14:editId="7C88935F">
            <wp:extent cx="2696845" cy="572135"/>
            <wp:effectExtent l="0" t="0" r="8255" b="0"/>
            <wp:docPr id="68" name="Picture 6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C21ED" w:rsidRDefault="000B5C96" w:rsidP="000B5C96">
      <w:pPr>
        <w:pStyle w:val="Heading6"/>
        <w:numPr>
          <w:ilvl w:val="0"/>
          <w:numId w:val="5"/>
        </w:numPr>
        <w:tabs>
          <w:tab w:val="right" w:pos="1418"/>
          <w:tab w:val="right" w:pos="1701"/>
          <w:tab w:val="right" w:pos="1985"/>
        </w:tabs>
      </w:pPr>
      <w:r w:rsidRPr="00002D5D">
        <w:t>Policy costing—</w:t>
      </w:r>
      <w:r>
        <w:t>2016 post-election report</w:t>
      </w:r>
    </w:p>
    <w:tbl>
      <w:tblPr>
        <w:tblStyle w:val="Style1"/>
        <w:tblW w:w="5000" w:type="pct"/>
        <w:tblLook w:val="04A0" w:firstRow="1" w:lastRow="0" w:firstColumn="1" w:lastColumn="0" w:noHBand="0" w:noVBand="1"/>
      </w:tblPr>
      <w:tblGrid>
        <w:gridCol w:w="3080"/>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sz w:val="22"/>
              </w:rPr>
            </w:pPr>
            <w:r w:rsidRPr="00EA7F7A">
              <w:rPr>
                <w:b/>
                <w:sz w:val="22"/>
              </w:rPr>
              <w:t>Name of proposal:</w:t>
            </w:r>
          </w:p>
        </w:tc>
        <w:tc>
          <w:tcPr>
            <w:tcW w:w="3194" w:type="pct"/>
          </w:tcPr>
          <w:p w:rsidR="000B5C96" w:rsidRPr="00EA7F7A" w:rsidRDefault="000B5C96" w:rsidP="003F606A">
            <w:pPr>
              <w:pStyle w:val="PullOutBoxHeading"/>
              <w:rPr>
                <w:b/>
                <w:sz w:val="22"/>
              </w:rPr>
            </w:pPr>
            <w:r w:rsidRPr="00EA7F7A">
              <w:rPr>
                <w:b/>
                <w:sz w:val="22"/>
              </w:rPr>
              <w:t>Nuclear veterans – atomic survivors healthcare card</w:t>
            </w:r>
          </w:p>
        </w:tc>
      </w:tr>
      <w:tr w:rsidR="000B5C96" w:rsidRPr="00E16D66" w:rsidTr="003F606A">
        <w:tc>
          <w:tcPr>
            <w:tcW w:w="1806" w:type="pct"/>
          </w:tcPr>
          <w:p w:rsidR="000B5C96" w:rsidRPr="00E16D66" w:rsidRDefault="000B5C96" w:rsidP="003F606A">
            <w:pPr>
              <w:pStyle w:val="PullOutBoxBodyText"/>
            </w:pPr>
            <w:r w:rsidRPr="00E16D66">
              <w:t>Summary of proposal:</w:t>
            </w:r>
          </w:p>
        </w:tc>
        <w:tc>
          <w:tcPr>
            <w:tcW w:w="3194" w:type="pct"/>
          </w:tcPr>
          <w:p w:rsidR="000B5C96" w:rsidRPr="00E16D66" w:rsidRDefault="000B5C96" w:rsidP="003F606A">
            <w:pPr>
              <w:pStyle w:val="PullOutBoxBodyText"/>
            </w:pPr>
            <w:r w:rsidRPr="00E16D66">
              <w:t>The proposal has the following components:</w:t>
            </w:r>
          </w:p>
          <w:p w:rsidR="000B5C96" w:rsidRPr="00E16D66" w:rsidRDefault="000B5C96" w:rsidP="000B5C96">
            <w:pPr>
              <w:pStyle w:val="PullOutBoxBullet"/>
              <w:numPr>
                <w:ilvl w:val="0"/>
                <w:numId w:val="2"/>
              </w:numPr>
              <w:ind w:left="397"/>
            </w:pPr>
            <w:r w:rsidRPr="00E16D66">
              <w:t>A year-long inquiry into the effects of the British nuclear tests on affected communities to determine the distribution of compensation in 2017</w:t>
            </w:r>
            <w:r w:rsidRPr="00E16D66">
              <w:noBreakHyphen/>
              <w:t>18.</w:t>
            </w:r>
          </w:p>
          <w:p w:rsidR="000B5C96" w:rsidRPr="00E16D66" w:rsidRDefault="000B5C96" w:rsidP="000B5C96">
            <w:pPr>
              <w:pStyle w:val="PullOutBoxBullet"/>
              <w:numPr>
                <w:ilvl w:val="0"/>
                <w:numId w:val="2"/>
              </w:numPr>
              <w:ind w:left="397"/>
            </w:pPr>
            <w:r w:rsidRPr="00E16D66">
              <w:t>Provide a lump sum compensation package of $60 million to be paid in 2018-19.</w:t>
            </w:r>
          </w:p>
          <w:p w:rsidR="000B5C96" w:rsidRPr="00E16D66" w:rsidRDefault="000B5C96" w:rsidP="000B5C96">
            <w:pPr>
              <w:pStyle w:val="PullOutBoxBullet"/>
              <w:numPr>
                <w:ilvl w:val="0"/>
                <w:numId w:val="2"/>
              </w:numPr>
              <w:ind w:left="397"/>
            </w:pPr>
            <w:r w:rsidRPr="00E16D66">
              <w:t>Provide 1,200 ongoing Atomic Survivors Health Care Cards, based on the veterans’ Gold Card from 1 July 2018.</w:t>
            </w:r>
          </w:p>
          <w:p w:rsidR="000B5C96" w:rsidRPr="00E16D66" w:rsidRDefault="000B5C96" w:rsidP="000B5C96">
            <w:pPr>
              <w:pStyle w:val="PullOutBoxBullet"/>
              <w:numPr>
                <w:ilvl w:val="0"/>
                <w:numId w:val="2"/>
              </w:numPr>
              <w:ind w:left="397"/>
            </w:pPr>
            <w:r w:rsidRPr="00E16D66">
              <w:t>Expand eligibility to the veterans’ Gold Card to all surviving Australian Defence Force (ADF) personnel who participated in certain British Nuclear Tests conducted in Australia in the 1950s and 1960s from 1 July 2016.</w:t>
            </w:r>
          </w:p>
        </w:tc>
      </w:tr>
      <w:tr w:rsidR="000B5C96" w:rsidRPr="00E16D66" w:rsidTr="003F606A">
        <w:tc>
          <w:tcPr>
            <w:tcW w:w="1806" w:type="pct"/>
          </w:tcPr>
          <w:p w:rsidR="000B5C96" w:rsidRPr="00E16D66" w:rsidRDefault="000B5C96" w:rsidP="003F606A">
            <w:pPr>
              <w:pStyle w:val="PullOutBoxBodyText"/>
            </w:pPr>
            <w:r w:rsidRPr="00E16D66">
              <w:t>Party:</w:t>
            </w:r>
          </w:p>
        </w:tc>
        <w:tc>
          <w:tcPr>
            <w:tcW w:w="3194" w:type="pct"/>
          </w:tcPr>
          <w:p w:rsidR="000B5C96" w:rsidRPr="00E16D66" w:rsidRDefault="000B5C96" w:rsidP="003F606A">
            <w:pPr>
              <w:pStyle w:val="PullOutBoxBodyText"/>
            </w:pPr>
            <w:r w:rsidRPr="00E16D66">
              <w:t>Australian Greens</w:t>
            </w:r>
          </w:p>
        </w:tc>
      </w:tr>
      <w:tr w:rsidR="000B5C96" w:rsidRPr="00E16D66" w:rsidTr="003F606A">
        <w:tc>
          <w:tcPr>
            <w:tcW w:w="1806" w:type="pct"/>
          </w:tcPr>
          <w:p w:rsidR="000B5C96" w:rsidRPr="00E16D66" w:rsidRDefault="000B5C96" w:rsidP="003F606A">
            <w:pPr>
              <w:pStyle w:val="PullOutBoxBodyText"/>
            </w:pPr>
            <w:r w:rsidRPr="00E16D66">
              <w:t>Expiry date for the costing:</w:t>
            </w:r>
          </w:p>
        </w:tc>
        <w:tc>
          <w:tcPr>
            <w:tcW w:w="3194" w:type="pct"/>
          </w:tcPr>
          <w:p w:rsidR="000B5C96" w:rsidRPr="00E16D66" w:rsidRDefault="000B5C96" w:rsidP="003F606A">
            <w:pPr>
              <w:pStyle w:val="PullOutBoxBodyText"/>
            </w:pPr>
            <w:r w:rsidRPr="00E16D66">
              <w:t>Release of the next economic and fiscal update</w:t>
            </w:r>
          </w:p>
        </w:tc>
      </w:tr>
    </w:tbl>
    <w:p w:rsidR="000B5C96" w:rsidRPr="00002D5D" w:rsidRDefault="000B5C96" w:rsidP="003F606A">
      <w:pPr>
        <w:pStyle w:val="CostingsH7"/>
      </w:pPr>
      <w:r w:rsidRPr="00002D5D">
        <w:t>Costing overview</w:t>
      </w:r>
    </w:p>
    <w:p w:rsidR="000B5C96" w:rsidRPr="00905609" w:rsidRDefault="000B5C96" w:rsidP="003F606A">
      <w:pPr>
        <w:pStyle w:val="BodyText"/>
      </w:pPr>
      <w:r w:rsidRPr="00905609">
        <w:t>This proposal would be expected to decrease the fiscal balance by $</w:t>
      </w:r>
      <w:r>
        <w:t>189.8</w:t>
      </w:r>
      <w:r w:rsidRPr="00905609">
        <w:t> million and decrease the underlying cash balance by $</w:t>
      </w:r>
      <w:r>
        <w:t>185.8</w:t>
      </w:r>
      <w:r w:rsidRPr="00905609">
        <w:t> million over the 2016</w:t>
      </w:r>
      <w:r>
        <w:noBreakHyphen/>
      </w:r>
      <w:r w:rsidRPr="00905609">
        <w:t>17 Budget forward estimates period.  On a fiscal balance basis, this impact reflects an increase in administered expenses of $</w:t>
      </w:r>
      <w:r>
        <w:t>189.0</w:t>
      </w:r>
      <w:r w:rsidRPr="00905609">
        <w:t> million and an increase in departmental expenses of $</w:t>
      </w:r>
      <w:r>
        <w:t>0.8</w:t>
      </w:r>
      <w:r w:rsidRPr="00905609">
        <w:t xml:space="preserve"> million over this period.  A breakdown of the </w:t>
      </w:r>
      <w:r>
        <w:t xml:space="preserve">costing </w:t>
      </w:r>
      <w:r w:rsidRPr="00905609">
        <w:t>components for the 2016</w:t>
      </w:r>
      <w:r>
        <w:noBreakHyphen/>
      </w:r>
      <w:r w:rsidRPr="00905609">
        <w:t xml:space="preserve">17 Budget forward estimates period is at </w:t>
      </w:r>
      <w:r w:rsidRPr="00905609">
        <w:rPr>
          <w:u w:val="single"/>
        </w:rPr>
        <w:t>Attachment A</w:t>
      </w:r>
      <w:r w:rsidRPr="00905609">
        <w:t>.</w:t>
      </w:r>
    </w:p>
    <w:p w:rsidR="000B5C96" w:rsidRDefault="000B5C96" w:rsidP="003F606A">
      <w:pPr>
        <w:pStyle w:val="BodyText"/>
      </w:pPr>
      <w:r w:rsidRPr="00905609">
        <w:t xml:space="preserve">This proposal would have an ongoing impact that extends beyond the </w:t>
      </w:r>
      <w:r>
        <w:t xml:space="preserve">2016-17 Budget </w:t>
      </w:r>
      <w:r w:rsidRPr="00905609">
        <w:t xml:space="preserve">forward estimates period.  </w:t>
      </w:r>
    </w:p>
    <w:p w:rsidR="000B5C96" w:rsidRPr="00905609" w:rsidRDefault="000B5C96" w:rsidP="003F606A">
      <w:pPr>
        <w:pStyle w:val="BodyText"/>
      </w:pPr>
      <w:r w:rsidRPr="00905609">
        <w:t>The underlying cash balance financial implications of this proposal differ from the fiscal balance financial implications because of a claims processing lag for</w:t>
      </w:r>
      <w:r>
        <w:t xml:space="preserve"> health related expenses</w:t>
      </w:r>
      <w:r w:rsidRPr="00905609">
        <w:t xml:space="preserve">.  </w:t>
      </w:r>
    </w:p>
    <w:p w:rsidR="000B5C96" w:rsidRPr="00905609" w:rsidRDefault="000B5C96" w:rsidP="003F606A">
      <w:pPr>
        <w:pStyle w:val="BodyText"/>
      </w:pPr>
      <w:r w:rsidRPr="00905609">
        <w:t>This costing is considered to be of low reliability as it is based on assumptions about the number of surviving ADF personnel and members of communities affected by British nuclear tests and their ongoing total health care costs.</w:t>
      </w:r>
    </w:p>
    <w:p w:rsidR="000B5C96" w:rsidRPr="00FC6579" w:rsidRDefault="000B5C96" w:rsidP="003F606A">
      <w:pPr>
        <w:pStyle w:val="Caption"/>
      </w:pPr>
      <w:r w:rsidRPr="00905609">
        <w:t>Table 1: Financial implications (outturn prices)</w:t>
      </w:r>
      <w:r w:rsidRPr="00905609">
        <w:rPr>
          <w:vertAlign w:val="superscript"/>
        </w:rPr>
        <w:t>(a)(b)</w:t>
      </w:r>
    </w:p>
    <w:tbl>
      <w:tblPr>
        <w:tblStyle w:val="TableGrid"/>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7"/>
        <w:gridCol w:w="1135"/>
        <w:gridCol w:w="1134"/>
        <w:gridCol w:w="1134"/>
        <w:gridCol w:w="1134"/>
        <w:gridCol w:w="1133"/>
      </w:tblGrid>
      <w:tr w:rsidR="000B5C96" w:rsidRPr="00E16D66"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pStyle w:val="TableText"/>
              <w:keepNext/>
              <w:keepLines/>
              <w:spacing w:line="240" w:lineRule="auto"/>
              <w:ind w:left="57" w:right="57"/>
              <w:rPr>
                <w:rFonts w:ascii="Calibri" w:hAnsi="Calibri"/>
                <w:color w:val="auto"/>
                <w:szCs w:val="20"/>
              </w:rPr>
            </w:pPr>
            <w:r w:rsidRPr="00E16D66">
              <w:rPr>
                <w:rFonts w:ascii="Calibri" w:hAnsi="Calibri"/>
                <w:color w:val="auto"/>
                <w:szCs w:val="20"/>
              </w:rPr>
              <w:t>Impact on ($m)</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E16D66">
              <w:rPr>
                <w:rFonts w:ascii="Calibri" w:hAnsi="Calibri"/>
                <w:color w:val="auto"/>
                <w:szCs w:val="20"/>
              </w:rPr>
              <w:t>2016–17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E16D66">
              <w:rPr>
                <w:rFonts w:ascii="Calibri" w:hAnsi="Calibri"/>
                <w:color w:val="auto"/>
                <w:szCs w:val="20"/>
              </w:rPr>
              <w:t>2017–18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E16D66">
              <w:rPr>
                <w:rFonts w:ascii="Calibri" w:hAnsi="Calibri"/>
                <w:color w:val="auto"/>
                <w:szCs w:val="20"/>
              </w:rPr>
              <w:t>2018–19</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E16D66">
              <w:rPr>
                <w:rFonts w:ascii="Calibri" w:hAnsi="Calibri"/>
                <w:color w:val="auto"/>
                <w:szCs w:val="20"/>
              </w:rPr>
              <w:t>2019–20</w:t>
            </w:r>
          </w:p>
        </w:tc>
        <w:tc>
          <w:tcPr>
            <w:tcW w:w="68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E16D66">
              <w:rPr>
                <w:rFonts w:ascii="Calibri" w:hAnsi="Calibri"/>
                <w:b/>
                <w:color w:val="auto"/>
                <w:szCs w:val="20"/>
              </w:rPr>
              <w:t>Total</w:t>
            </w:r>
          </w:p>
        </w:tc>
      </w:tr>
      <w:tr w:rsidR="000B5C96" w:rsidRPr="003A345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left"/>
              <w:rPr>
                <w:szCs w:val="20"/>
              </w:rPr>
            </w:pPr>
            <w:r>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Pr>
                <w:rFonts w:ascii="Calibri" w:hAnsi="Calibri"/>
                <w:szCs w:val="20"/>
              </w:rPr>
              <w:t>-21.1</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Pr>
                <w:rFonts w:ascii="Calibri" w:hAnsi="Calibri"/>
                <w:szCs w:val="20"/>
              </w:rPr>
              <w:t>-21.3</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Pr>
                <w:rFonts w:ascii="Calibri" w:hAnsi="Calibri"/>
                <w:szCs w:val="20"/>
              </w:rPr>
              <w:t>-105.2</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Pr>
                <w:rFonts w:ascii="Calibri" w:hAnsi="Calibri"/>
                <w:szCs w:val="20"/>
              </w:rPr>
              <w:t>-43.2</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C363AE"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Pr>
                <w:rFonts w:ascii="Calibri" w:hAnsi="Calibri"/>
                <w:b/>
                <w:szCs w:val="20"/>
              </w:rPr>
              <w:t>-189.8</w:t>
            </w:r>
          </w:p>
        </w:tc>
      </w:tr>
      <w:tr w:rsidR="000B5C96" w:rsidRPr="003A3459" w:rsidTr="003F606A">
        <w:trPr>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left"/>
              <w:rPr>
                <w:szCs w:val="20"/>
              </w:rPr>
            </w:pPr>
            <w:r>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Pr>
                <w:szCs w:val="20"/>
              </w:rPr>
              <w:t>-19.1</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Pr>
                <w:szCs w:val="20"/>
              </w:rPr>
              <w:t>-21.3</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Pr>
                <w:szCs w:val="20"/>
              </w:rPr>
              <w:t>-103.2</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Pr>
                <w:szCs w:val="20"/>
              </w:rPr>
              <w:t>-43.2</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C363AE"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Pr>
                <w:b/>
                <w:szCs w:val="20"/>
              </w:rPr>
              <w:t>-185.8</w:t>
            </w:r>
          </w:p>
        </w:tc>
      </w:tr>
    </w:tbl>
    <w:p w:rsidR="000B5C96" w:rsidRDefault="000B5C96" w:rsidP="00555964">
      <w:pPr>
        <w:pStyle w:val="Footnotes"/>
        <w:numPr>
          <w:ilvl w:val="0"/>
          <w:numId w:val="363"/>
        </w:numPr>
        <w:ind w:left="284" w:hanging="284"/>
      </w:pPr>
      <w:r w:rsidRPr="00572B37">
        <w:t>A positive number indicates an increase in the relevant budget balance, a negative number a decrease.</w:t>
      </w:r>
    </w:p>
    <w:p w:rsidR="000B5C96" w:rsidRPr="00572B37" w:rsidRDefault="000B5C96" w:rsidP="000B5C96">
      <w:pPr>
        <w:pStyle w:val="Footnotes"/>
        <w:numPr>
          <w:ilvl w:val="0"/>
          <w:numId w:val="7"/>
        </w:numPr>
        <w:ind w:left="284" w:hanging="284"/>
      </w:pPr>
      <w:r>
        <w:t>Figures may not sum to totals due to rounding.</w:t>
      </w:r>
    </w:p>
    <w:p w:rsidR="000B5C96" w:rsidRPr="00FC6579" w:rsidRDefault="000B5C96" w:rsidP="003F606A">
      <w:pPr>
        <w:pStyle w:val="CostingsH7"/>
      </w:pPr>
      <w:r w:rsidRPr="00FC6579">
        <w:t>Key assumptions</w:t>
      </w:r>
    </w:p>
    <w:p w:rsidR="000B5C96" w:rsidRDefault="000B5C96" w:rsidP="003F606A">
      <w:pPr>
        <w:pStyle w:val="BodyText"/>
      </w:pPr>
      <w:r>
        <w:t>The Parliamentary Budget Office (PBO) has assumed that:</w:t>
      </w:r>
    </w:p>
    <w:p w:rsidR="000B5C96" w:rsidRDefault="000B5C96" w:rsidP="000B5C96">
      <w:pPr>
        <w:pStyle w:val="ListBullet"/>
        <w:numPr>
          <w:ilvl w:val="0"/>
          <w:numId w:val="123"/>
        </w:numPr>
        <w:ind w:left="454" w:hanging="454"/>
      </w:pPr>
      <w:r>
        <w:t>the average cost per Atomic Survivors health care card is based on the veterans’ Gold Card and grows in line with per person costs of the Medicare Benefits Schedule</w:t>
      </w:r>
    </w:p>
    <w:p w:rsidR="000B5C96" w:rsidRPr="00612EC1" w:rsidRDefault="000B5C96" w:rsidP="000B5C96">
      <w:pPr>
        <w:pStyle w:val="ListBullet"/>
        <w:numPr>
          <w:ilvl w:val="0"/>
          <w:numId w:val="123"/>
        </w:numPr>
        <w:ind w:left="454" w:hanging="454"/>
      </w:pPr>
      <w:r w:rsidRPr="00612EC1">
        <w:t>recipients eligible for the Atomic Survivors health care card would have a similar mortality rate to that of ADF members who were also present at the British nuclear tests conducted in Australia in the 1950s and 1960s.</w:t>
      </w:r>
    </w:p>
    <w:p w:rsidR="000B5C96" w:rsidRPr="00FC6579" w:rsidRDefault="000B5C96" w:rsidP="003F606A">
      <w:pPr>
        <w:pStyle w:val="CostingsH7"/>
      </w:pPr>
      <w:r w:rsidRPr="00FC6579">
        <w:t>Methodology</w:t>
      </w:r>
    </w:p>
    <w:p w:rsidR="000B5C96" w:rsidRDefault="000B5C96" w:rsidP="003F606A">
      <w:pPr>
        <w:pStyle w:val="BodyText"/>
      </w:pPr>
      <w:r>
        <w:t xml:space="preserve">Expenditure on the inquiry was estimated as the cost of five qualified health professionals for one year, plus an allowance for travel expenses to remote communities.  </w:t>
      </w:r>
    </w:p>
    <w:p w:rsidR="000B5C96" w:rsidRDefault="000B5C96" w:rsidP="003F606A">
      <w:pPr>
        <w:pStyle w:val="BodyText"/>
      </w:pPr>
      <w:r>
        <w:t xml:space="preserve">The compensation package estimate is $60 million in 2018-19 as stated in the proposal.  </w:t>
      </w:r>
    </w:p>
    <w:p w:rsidR="000B5C96" w:rsidRDefault="000B5C96" w:rsidP="003F606A">
      <w:pPr>
        <w:pStyle w:val="BodyText"/>
      </w:pPr>
      <w:r>
        <w:t>The administered expenditure estimates for the Atomic Survivors health care card and the extension of the veterans’ Gold Card to nuclear veterans were calculated by multiplying the cost per card by the number of eligible recipients.</w:t>
      </w:r>
    </w:p>
    <w:p w:rsidR="000B5C96" w:rsidRDefault="000B5C96" w:rsidP="003F606A">
      <w:pPr>
        <w:pStyle w:val="BodyText"/>
      </w:pPr>
      <w:r>
        <w:t>Departmental estimates for implementation of the proposal were included to account for administration of the Atomic Survivors health care card and extension of the Gold Card to new recipients.</w:t>
      </w:r>
    </w:p>
    <w:p w:rsidR="000B5C96" w:rsidRPr="00002D5D" w:rsidRDefault="000B5C96" w:rsidP="003F606A">
      <w:pPr>
        <w:pStyle w:val="BodyText"/>
      </w:pPr>
      <w:r>
        <w:t>Administered financial implications have been rounded to the nearest $1 million.  Departmental financial implications have been rounded to the nearest $0.1 million.</w:t>
      </w:r>
    </w:p>
    <w:p w:rsidR="000B5C96" w:rsidRPr="00FC6579" w:rsidRDefault="000B5C96" w:rsidP="003F606A">
      <w:pPr>
        <w:pStyle w:val="CostingsH7"/>
      </w:pPr>
      <w:r w:rsidRPr="00FC6579">
        <w:t>Data sources</w:t>
      </w:r>
    </w:p>
    <w:p w:rsidR="000B5C96" w:rsidRPr="00905609" w:rsidRDefault="000B5C96" w:rsidP="000B5C96">
      <w:pPr>
        <w:pStyle w:val="ListBullet"/>
        <w:numPr>
          <w:ilvl w:val="0"/>
          <w:numId w:val="123"/>
        </w:numPr>
        <w:ind w:left="454" w:hanging="454"/>
      </w:pPr>
      <w:r w:rsidRPr="00905609">
        <w:t>Estimated average Gold Card and White Card costs for the 2014</w:t>
      </w:r>
      <w:r w:rsidRPr="00905609">
        <w:noBreakHyphen/>
        <w:t>15 financial year, as supplied by the Department of Veterans</w:t>
      </w:r>
      <w:r>
        <w:t>’</w:t>
      </w:r>
      <w:r w:rsidRPr="00905609">
        <w:t xml:space="preserve"> Affairs (DVA).</w:t>
      </w:r>
    </w:p>
    <w:p w:rsidR="000B5C96" w:rsidRPr="00905609" w:rsidRDefault="000B5C96" w:rsidP="000B5C96">
      <w:pPr>
        <w:pStyle w:val="ListBullet"/>
        <w:numPr>
          <w:ilvl w:val="0"/>
          <w:numId w:val="123"/>
        </w:numPr>
        <w:ind w:left="454" w:hanging="454"/>
      </w:pPr>
      <w:r w:rsidRPr="00905609">
        <w:t>DVA study of British nuclear test participants.</w:t>
      </w:r>
    </w:p>
    <w:p w:rsidR="000B5C96" w:rsidRPr="00905609" w:rsidRDefault="000B5C96" w:rsidP="000B5C96">
      <w:pPr>
        <w:pStyle w:val="ListBullet"/>
        <w:numPr>
          <w:ilvl w:val="0"/>
          <w:numId w:val="123"/>
        </w:numPr>
        <w:ind w:left="454" w:hanging="454"/>
      </w:pPr>
      <w:r w:rsidRPr="00905609">
        <w:t>DVA study of Korean War veterans’ mortality.</w:t>
      </w:r>
    </w:p>
    <w:p w:rsidR="000B5C96" w:rsidRPr="00905609" w:rsidRDefault="000B5C96" w:rsidP="000B5C96">
      <w:pPr>
        <w:pStyle w:val="ListBullet"/>
        <w:numPr>
          <w:ilvl w:val="0"/>
          <w:numId w:val="123"/>
        </w:numPr>
        <w:ind w:left="454" w:hanging="454"/>
      </w:pPr>
      <w:r w:rsidRPr="00905609">
        <w:t>PBO report no. 4/2015</w:t>
      </w:r>
      <w:r>
        <w:t>,</w:t>
      </w:r>
      <w:r w:rsidRPr="00905609">
        <w:t xml:space="preserve"> Medicare Benefits Schedule: Spending trends and projections.</w:t>
      </w:r>
    </w:p>
    <w:p w:rsidR="000B5C96" w:rsidRPr="00905609" w:rsidRDefault="000B5C96" w:rsidP="000B5C96">
      <w:pPr>
        <w:pStyle w:val="ListBullet"/>
        <w:numPr>
          <w:ilvl w:val="0"/>
          <w:numId w:val="123"/>
        </w:numPr>
        <w:ind w:left="454" w:hanging="454"/>
      </w:pPr>
      <w:r w:rsidRPr="00905609">
        <w:t>The Department of Finance provided 2016</w:t>
      </w:r>
      <w:r w:rsidRPr="00905609">
        <w:noBreakHyphen/>
        <w:t>17 Pre-election Economic and Fiscal Outlook indexation and efficiency dividend parameters.</w:t>
      </w:r>
    </w:p>
    <w:p w:rsidR="000B5C96" w:rsidRPr="00FC6579" w:rsidRDefault="000B5C96" w:rsidP="000B5C96">
      <w:pPr>
        <w:pStyle w:val="ListBullet"/>
        <w:numPr>
          <w:ilvl w:val="0"/>
          <w:numId w:val="123"/>
        </w:numPr>
        <w:ind w:left="454" w:hanging="454"/>
        <w:rPr>
          <w:highlight w:val="yellow"/>
        </w:rPr>
        <w:sectPr w:rsidR="000B5C96" w:rsidRPr="00FC6579" w:rsidSect="003F606A">
          <w:headerReference w:type="even" r:id="rId686"/>
          <w:headerReference w:type="default" r:id="rId687"/>
          <w:footerReference w:type="even" r:id="rId688"/>
          <w:footerReference w:type="default" r:id="rId689"/>
          <w:headerReference w:type="first" r:id="rId690"/>
          <w:footerReference w:type="first" r:id="rId691"/>
          <w:pgSz w:w="11906" w:h="16838"/>
          <w:pgMar w:top="1361" w:right="1797" w:bottom="1474" w:left="1797" w:header="283" w:footer="454" w:gutter="0"/>
          <w:cols w:space="708"/>
          <w:docGrid w:linePitch="360"/>
        </w:sectPr>
      </w:pPr>
    </w:p>
    <w:p w:rsidR="000B5C96" w:rsidRPr="00E16D66" w:rsidRDefault="000B5C96" w:rsidP="000B5C96">
      <w:pPr>
        <w:pStyle w:val="Heading6"/>
        <w:numPr>
          <w:ilvl w:val="0"/>
          <w:numId w:val="5"/>
        </w:numPr>
        <w:tabs>
          <w:tab w:val="right" w:pos="1418"/>
          <w:tab w:val="right" w:pos="1701"/>
          <w:tab w:val="right" w:pos="1985"/>
        </w:tabs>
      </w:pPr>
      <w:r w:rsidRPr="00E16D66">
        <w:t>Attachment A: Nuclear veterans – atomic survivors healthcare card—financial implications</w:t>
      </w:r>
    </w:p>
    <w:p w:rsidR="000B5C96" w:rsidRPr="00E16D66" w:rsidRDefault="000B5C96" w:rsidP="003F606A">
      <w:pPr>
        <w:pStyle w:val="Caption"/>
        <w:rPr>
          <w:vertAlign w:val="superscript"/>
        </w:rPr>
      </w:pPr>
      <w:r w:rsidRPr="00E16D66">
        <w:t>Table A1: Nuclear veterans – atomic survivors healthcare card—Fiscal balance</w:t>
      </w:r>
      <w:r w:rsidRPr="00E16D66">
        <w:rPr>
          <w:vertAlign w:val="superscript"/>
        </w:rPr>
        <w:t>(a)(b)</w:t>
      </w:r>
    </w:p>
    <w:tbl>
      <w:tblPr>
        <w:tblStyle w:val="TableGrid116"/>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E16D66"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rPr>
                <w:b/>
                <w:szCs w:val="20"/>
              </w:rPr>
            </w:pPr>
            <w:r w:rsidRPr="00E16D66">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16D66">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16D66">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16D66">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16D66">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E16D66">
              <w:rPr>
                <w:b/>
              </w:rPr>
              <w:t>Total to 2019–20</w:t>
            </w:r>
          </w:p>
        </w:tc>
      </w:tr>
      <w:tr w:rsidR="000B5C96" w:rsidRPr="00E16D6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keepNext/>
              <w:keepLines/>
              <w:spacing w:line="240" w:lineRule="auto"/>
              <w:ind w:left="57" w:right="57"/>
              <w:rPr>
                <w:szCs w:val="20"/>
              </w:rPr>
            </w:pPr>
            <w:r w:rsidRPr="00E16D66">
              <w:rPr>
                <w:szCs w:val="20"/>
              </w:rPr>
              <w:t>Inquiry</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-2.0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 w:val="20"/>
              </w:rPr>
            </w:pPr>
            <w:r w:rsidRPr="00E16D66">
              <w:rPr>
                <w:rFonts w:ascii="Calibri" w:hAnsi="Calibri"/>
                <w:b/>
                <w:i/>
                <w:sz w:val="20"/>
              </w:rPr>
              <w:t>-2.0</w:t>
            </w:r>
          </w:p>
        </w:tc>
      </w:tr>
      <w:tr w:rsidR="000B5C96" w:rsidRPr="00E16D66"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keepNext/>
              <w:keepLines/>
              <w:spacing w:line="240" w:lineRule="auto"/>
              <w:ind w:left="57" w:right="57"/>
              <w:rPr>
                <w:szCs w:val="20"/>
              </w:rPr>
            </w:pPr>
            <w:r w:rsidRPr="00E16D66">
              <w:rPr>
                <w:szCs w:val="20"/>
              </w:rPr>
              <w:t>Compensation package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-60.0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i/>
              </w:rPr>
            </w:pPr>
            <w:r w:rsidRPr="00E16D66">
              <w:rPr>
                <w:b/>
                <w:i/>
              </w:rPr>
              <w:t>-60.0</w:t>
            </w:r>
          </w:p>
        </w:tc>
      </w:tr>
      <w:tr w:rsidR="000B5C96" w:rsidRPr="00E16D6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keepNext/>
              <w:keepLines/>
              <w:spacing w:line="240" w:lineRule="auto"/>
              <w:ind w:left="57" w:right="57"/>
              <w:rPr>
                <w:szCs w:val="20"/>
              </w:rPr>
            </w:pPr>
            <w:r w:rsidRPr="00E16D66">
              <w:rPr>
                <w:szCs w:val="20"/>
              </w:rPr>
              <w:t>Atomic Survivors health care card</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-28.0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-27.0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 w:val="20"/>
              </w:rPr>
            </w:pPr>
            <w:r w:rsidRPr="00E16D66">
              <w:rPr>
                <w:rFonts w:ascii="Calibri" w:hAnsi="Calibri"/>
                <w:b/>
                <w:i/>
                <w:sz w:val="20"/>
              </w:rPr>
              <w:t>-55.0</w:t>
            </w:r>
          </w:p>
        </w:tc>
      </w:tr>
      <w:tr w:rsidR="000B5C96" w:rsidRPr="00E16D66"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keepNext/>
              <w:keepLines/>
              <w:spacing w:line="240" w:lineRule="auto"/>
              <w:ind w:left="57" w:right="57"/>
              <w:rPr>
                <w:szCs w:val="20"/>
              </w:rPr>
            </w:pPr>
            <w:r w:rsidRPr="00E16D66">
              <w:rPr>
                <w:szCs w:val="20"/>
              </w:rPr>
              <w:t>Extend veterans’ Gold Card to nuclear veterans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-21.0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-19.0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-17.0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-16.0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i/>
              </w:rPr>
            </w:pPr>
            <w:r w:rsidRPr="00E16D66">
              <w:rPr>
                <w:b/>
                <w:i/>
              </w:rPr>
              <w:t>-72.0</w:t>
            </w:r>
          </w:p>
        </w:tc>
      </w:tr>
      <w:tr w:rsidR="000B5C96" w:rsidRPr="00E16D6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keepNext/>
              <w:keepLines/>
              <w:spacing w:line="240" w:lineRule="auto"/>
              <w:ind w:left="57" w:right="57"/>
              <w:rPr>
                <w:szCs w:val="20"/>
              </w:rPr>
            </w:pPr>
            <w:r w:rsidRPr="00E16D66">
              <w:rPr>
                <w:szCs w:val="20"/>
              </w:rPr>
              <w:t>Departmental</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-0.1</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-0.3</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-0.2</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-0.2</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 w:val="20"/>
              </w:rPr>
            </w:pPr>
            <w:r w:rsidRPr="00E16D66">
              <w:rPr>
                <w:rFonts w:ascii="Calibri" w:hAnsi="Calibri"/>
                <w:b/>
                <w:i/>
                <w:sz w:val="20"/>
              </w:rPr>
              <w:t>-0.8</w:t>
            </w:r>
          </w:p>
        </w:tc>
      </w:tr>
      <w:tr w:rsidR="000B5C96" w:rsidRPr="00E16D66"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keepNext/>
              <w:keepLines/>
              <w:spacing w:line="240" w:lineRule="auto"/>
              <w:ind w:left="57" w:right="57"/>
              <w:rPr>
                <w:b/>
                <w:szCs w:val="20"/>
              </w:rPr>
            </w:pPr>
            <w:r w:rsidRPr="00E16D66">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rPr>
            </w:pPr>
            <w:r w:rsidRPr="00E16D66">
              <w:rPr>
                <w:b/>
              </w:rPr>
              <w:t>-21.1</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rPr>
            </w:pPr>
            <w:r w:rsidRPr="00E16D66">
              <w:rPr>
                <w:b/>
              </w:rPr>
              <w:t>-21.3</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rPr>
            </w:pPr>
            <w:r w:rsidRPr="00E16D66">
              <w:rPr>
                <w:b/>
              </w:rPr>
              <w:t>-105.2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rPr>
            </w:pPr>
            <w:r w:rsidRPr="00E16D66">
              <w:rPr>
                <w:b/>
              </w:rPr>
              <w:t>-43.2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rPr>
            </w:pPr>
            <w:r w:rsidRPr="00E16D66">
              <w:rPr>
                <w:b/>
              </w:rPr>
              <w:t>-189.8</w:t>
            </w:r>
          </w:p>
        </w:tc>
      </w:tr>
    </w:tbl>
    <w:p w:rsidR="000B5C96" w:rsidRPr="00E16D66" w:rsidRDefault="000B5C96" w:rsidP="00555964">
      <w:pPr>
        <w:pStyle w:val="Footnotes"/>
        <w:numPr>
          <w:ilvl w:val="0"/>
          <w:numId w:val="131"/>
        </w:numPr>
        <w:ind w:left="284" w:hanging="284"/>
      </w:pPr>
      <w:r w:rsidRPr="00E16D66">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E16D66" w:rsidRDefault="000B5C96" w:rsidP="000B5C96">
      <w:pPr>
        <w:pStyle w:val="Footnotes"/>
        <w:numPr>
          <w:ilvl w:val="0"/>
          <w:numId w:val="131"/>
        </w:numPr>
        <w:ind w:left="284" w:hanging="284"/>
      </w:pPr>
      <w:r w:rsidRPr="00E16D66">
        <w:t>Figures may not sum to totals due to rounding.</w:t>
      </w:r>
    </w:p>
    <w:p w:rsidR="000B5C96" w:rsidRPr="00E16D66" w:rsidRDefault="000B5C96" w:rsidP="000B5C96">
      <w:pPr>
        <w:pStyle w:val="Footnotes"/>
        <w:numPr>
          <w:ilvl w:val="0"/>
          <w:numId w:val="121"/>
        </w:numPr>
        <w:ind w:left="284" w:hanging="284"/>
      </w:pPr>
      <w:r w:rsidRPr="00E16D66">
        <w:tab/>
        <w:t>Indicates nil.</w:t>
      </w:r>
    </w:p>
    <w:p w:rsidR="000B5C96" w:rsidRPr="00E16D66" w:rsidRDefault="000B5C96" w:rsidP="003F606A">
      <w:pPr>
        <w:pStyle w:val="Caption"/>
        <w:rPr>
          <w:vertAlign w:val="superscript"/>
        </w:rPr>
      </w:pPr>
      <w:r w:rsidRPr="00E16D66">
        <w:t>Table A2: Nuclear veterans – atomic survivors healthcare card—Underlying cash balance</w:t>
      </w:r>
      <w:r w:rsidRPr="00E16D66">
        <w:rPr>
          <w:vertAlign w:val="superscript"/>
        </w:rPr>
        <w:t>(a)(b)</w:t>
      </w:r>
    </w:p>
    <w:tbl>
      <w:tblPr>
        <w:tblStyle w:val="TableGrid116"/>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E16D66"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rPr>
                <w:b/>
                <w:szCs w:val="20"/>
              </w:rPr>
            </w:pPr>
            <w:r w:rsidRPr="00E16D66">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16D66">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16D66">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16D66">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E16D66">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E16D66"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E16D66">
              <w:rPr>
                <w:b/>
              </w:rPr>
              <w:t>Total</w:t>
            </w:r>
            <w:r w:rsidRPr="00E16D66">
              <w:rPr>
                <w:b/>
                <w:szCs w:val="20"/>
              </w:rPr>
              <w:t xml:space="preserve"> to 2019–20</w:t>
            </w:r>
          </w:p>
        </w:tc>
      </w:tr>
      <w:tr w:rsidR="000B5C96" w:rsidRPr="00E16D6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keepNext/>
              <w:keepLines/>
              <w:spacing w:line="240" w:lineRule="auto"/>
              <w:ind w:left="57" w:right="57"/>
              <w:rPr>
                <w:szCs w:val="20"/>
              </w:rPr>
            </w:pPr>
            <w:r w:rsidRPr="00E16D66">
              <w:rPr>
                <w:szCs w:val="20"/>
              </w:rPr>
              <w:t>Inquiry</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-2.0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 w:val="20"/>
              </w:rPr>
            </w:pPr>
            <w:r w:rsidRPr="00E16D66">
              <w:rPr>
                <w:rFonts w:ascii="Calibri" w:hAnsi="Calibri"/>
                <w:b/>
                <w:i/>
                <w:sz w:val="20"/>
              </w:rPr>
              <w:t>-2.0</w:t>
            </w:r>
          </w:p>
        </w:tc>
      </w:tr>
      <w:tr w:rsidR="000B5C96" w:rsidRPr="00E16D66"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keepNext/>
              <w:keepLines/>
              <w:spacing w:line="240" w:lineRule="auto"/>
              <w:ind w:left="57" w:right="57"/>
              <w:rPr>
                <w:szCs w:val="20"/>
              </w:rPr>
            </w:pPr>
            <w:r w:rsidRPr="00E16D66">
              <w:rPr>
                <w:szCs w:val="20"/>
              </w:rPr>
              <w:t>Compensation package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-60.0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i/>
              </w:rPr>
            </w:pPr>
            <w:r w:rsidRPr="00E16D66">
              <w:rPr>
                <w:b/>
                <w:i/>
              </w:rPr>
              <w:t>-60.0</w:t>
            </w:r>
          </w:p>
        </w:tc>
      </w:tr>
      <w:tr w:rsidR="000B5C96" w:rsidRPr="00E16D6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keepNext/>
              <w:keepLines/>
              <w:spacing w:line="240" w:lineRule="auto"/>
              <w:ind w:left="57" w:right="57"/>
              <w:rPr>
                <w:szCs w:val="20"/>
              </w:rPr>
            </w:pPr>
            <w:r w:rsidRPr="00E16D66">
              <w:rPr>
                <w:szCs w:val="20"/>
              </w:rPr>
              <w:t>Atomic Survivors health care card</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-26.0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-27.0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 w:val="20"/>
              </w:rPr>
            </w:pPr>
            <w:r w:rsidRPr="00E16D66">
              <w:rPr>
                <w:rFonts w:ascii="Calibri" w:hAnsi="Calibri"/>
                <w:b/>
                <w:i/>
                <w:sz w:val="20"/>
              </w:rPr>
              <w:t>-52.0</w:t>
            </w:r>
          </w:p>
        </w:tc>
      </w:tr>
      <w:tr w:rsidR="000B5C96" w:rsidRPr="00E16D66"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keepNext/>
              <w:keepLines/>
              <w:spacing w:line="240" w:lineRule="auto"/>
              <w:ind w:left="57" w:right="57"/>
              <w:rPr>
                <w:szCs w:val="20"/>
              </w:rPr>
            </w:pPr>
            <w:r w:rsidRPr="00E16D66">
              <w:rPr>
                <w:szCs w:val="20"/>
              </w:rPr>
              <w:t>Extend veterans’ Gold Card to nuclear veterans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-19.0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-19.0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-17.0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i/>
              </w:rPr>
            </w:pPr>
            <w:r w:rsidRPr="00E16D66">
              <w:rPr>
                <w:i/>
              </w:rPr>
              <w:t>-16.0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i/>
              </w:rPr>
            </w:pPr>
            <w:r w:rsidRPr="00E16D66">
              <w:rPr>
                <w:b/>
                <w:i/>
              </w:rPr>
              <w:t>-71.0</w:t>
            </w:r>
          </w:p>
        </w:tc>
      </w:tr>
      <w:tr w:rsidR="000B5C96" w:rsidRPr="00E16D66"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keepNext/>
              <w:keepLines/>
              <w:spacing w:line="240" w:lineRule="auto"/>
              <w:ind w:left="57" w:right="57"/>
              <w:rPr>
                <w:szCs w:val="20"/>
              </w:rPr>
            </w:pPr>
            <w:r w:rsidRPr="00E16D66">
              <w:rPr>
                <w:szCs w:val="20"/>
              </w:rPr>
              <w:t>Departmental</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-0.1</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-0.3</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-0.2</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rPr>
            </w:pPr>
            <w:r w:rsidRPr="00E16D66">
              <w:rPr>
                <w:rFonts w:ascii="Calibri" w:hAnsi="Calibri"/>
                <w:i/>
                <w:sz w:val="20"/>
              </w:rPr>
              <w:t>-0.2</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16D66"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 w:val="20"/>
              </w:rPr>
            </w:pPr>
            <w:r w:rsidRPr="00E16D66">
              <w:rPr>
                <w:rFonts w:ascii="Calibri" w:hAnsi="Calibri"/>
                <w:b/>
                <w:i/>
                <w:sz w:val="20"/>
              </w:rPr>
              <w:t>-0.8</w:t>
            </w:r>
          </w:p>
        </w:tc>
      </w:tr>
      <w:tr w:rsidR="000B5C96" w:rsidRPr="00E16D66"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keepNext/>
              <w:keepLines/>
              <w:spacing w:line="240" w:lineRule="auto"/>
              <w:ind w:left="57" w:right="57"/>
              <w:rPr>
                <w:b/>
                <w:szCs w:val="20"/>
              </w:rPr>
            </w:pPr>
            <w:r w:rsidRPr="00E16D66">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rPr>
            </w:pPr>
            <w:r w:rsidRPr="00E16D66">
              <w:rPr>
                <w:b/>
              </w:rPr>
              <w:t>-19.1</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rPr>
            </w:pPr>
            <w:r w:rsidRPr="00E16D66">
              <w:rPr>
                <w:b/>
              </w:rPr>
              <w:t>-21.3</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rPr>
            </w:pPr>
            <w:r w:rsidRPr="00E16D66">
              <w:rPr>
                <w:b/>
              </w:rPr>
              <w:t>-103.2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rPr>
            </w:pPr>
            <w:r w:rsidRPr="00E16D66">
              <w:rPr>
                <w:b/>
              </w:rPr>
              <w:t>-43.2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E16D66" w:rsidRDefault="000B5C96" w:rsidP="003F606A">
            <w:pPr>
              <w:spacing w:line="240" w:lineRule="auto"/>
              <w:ind w:left="57" w:right="57"/>
              <w:cnfStyle w:val="000000010000" w:firstRow="0" w:lastRow="0" w:firstColumn="0" w:lastColumn="0" w:oddVBand="0" w:evenVBand="0" w:oddHBand="0" w:evenHBand="1" w:firstRowFirstColumn="0" w:firstRowLastColumn="0" w:lastRowFirstColumn="0" w:lastRowLastColumn="0"/>
              <w:rPr>
                <w:b/>
              </w:rPr>
            </w:pPr>
            <w:r w:rsidRPr="00E16D66">
              <w:rPr>
                <w:b/>
              </w:rPr>
              <w:t>-185.8</w:t>
            </w:r>
          </w:p>
        </w:tc>
      </w:tr>
    </w:tbl>
    <w:p w:rsidR="000B5C96" w:rsidRPr="00E16D66" w:rsidRDefault="000B5C96" w:rsidP="000B5C96">
      <w:pPr>
        <w:pStyle w:val="Footnotes"/>
        <w:numPr>
          <w:ilvl w:val="0"/>
          <w:numId w:val="132"/>
        </w:numPr>
        <w:ind w:left="284" w:hanging="284"/>
      </w:pPr>
      <w:r w:rsidRPr="00E16D66">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0B5C96" w:rsidRPr="00E16D66" w:rsidRDefault="000B5C96" w:rsidP="000B5C96">
      <w:pPr>
        <w:pStyle w:val="Footnotes"/>
        <w:numPr>
          <w:ilvl w:val="0"/>
          <w:numId w:val="131"/>
        </w:numPr>
        <w:ind w:left="284" w:hanging="284"/>
      </w:pPr>
      <w:r w:rsidRPr="00E16D66">
        <w:t>Figures may not sum to totals due to rounding.</w:t>
      </w:r>
    </w:p>
    <w:p w:rsidR="000B5C96" w:rsidRPr="00E16D66" w:rsidRDefault="000B5C96" w:rsidP="000B5C96">
      <w:pPr>
        <w:pStyle w:val="Footnotes"/>
        <w:numPr>
          <w:ilvl w:val="0"/>
          <w:numId w:val="121"/>
        </w:numPr>
        <w:ind w:left="284" w:hanging="284"/>
        <w:sectPr w:rsidR="000B5C96" w:rsidRPr="00E16D66" w:rsidSect="008430E8">
          <w:pgSz w:w="11907" w:h="16839" w:code="9"/>
          <w:pgMar w:top="1361" w:right="1797" w:bottom="1474" w:left="1797" w:header="283" w:footer="454" w:gutter="0"/>
          <w:cols w:space="708"/>
          <w:docGrid w:linePitch="360"/>
        </w:sectPr>
      </w:pPr>
      <w:r w:rsidRPr="00E16D66">
        <w:tab/>
        <w:t>Indicates nil.</w:t>
      </w:r>
    </w:p>
    <w:p w:rsidR="000B5C96" w:rsidRDefault="000B5C96" w:rsidP="003F606A">
      <w:pPr>
        <w:pStyle w:val="Heading5"/>
      </w:pPr>
      <w:bookmarkStart w:id="253" w:name="_Toc458002006"/>
      <w:bookmarkStart w:id="254" w:name="_Toc458069491"/>
      <w:r>
        <w:t>GRN102: Nuclear waste</w:t>
      </w:r>
      <w:bookmarkEnd w:id="253"/>
      <w:bookmarkEnd w:id="254"/>
    </w:p>
    <w:p w:rsidR="000B5C96" w:rsidRPr="008A0AE1" w:rsidRDefault="000B5C96" w:rsidP="003F606A">
      <w:pPr>
        <w:pStyle w:val="BodyText"/>
      </w:pPr>
      <w:r>
        <w:rPr>
          <w:noProof/>
          <w:lang w:eastAsia="en-AU"/>
        </w:rPr>
        <w:drawing>
          <wp:inline distT="0" distB="0" distL="0" distR="0" wp14:anchorId="1E8A94BB" wp14:editId="45788F18">
            <wp:extent cx="2696845" cy="572135"/>
            <wp:effectExtent l="0" t="0" r="8255" b="0"/>
            <wp:docPr id="69" name="Picture 6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C34122" w:rsidRDefault="000B5C96" w:rsidP="000B5C96">
      <w:pPr>
        <w:pStyle w:val="Heading6"/>
        <w:numPr>
          <w:ilvl w:val="0"/>
          <w:numId w:val="5"/>
        </w:numPr>
        <w:tabs>
          <w:tab w:val="right" w:pos="1418"/>
          <w:tab w:val="right" w:pos="1701"/>
          <w:tab w:val="right" w:pos="1985"/>
        </w:tabs>
      </w:pPr>
      <w:r w:rsidRPr="00C34122">
        <w:t>Policy costing—2016 post-election report</w:t>
      </w:r>
    </w:p>
    <w:tbl>
      <w:tblPr>
        <w:tblStyle w:val="Style119"/>
        <w:tblW w:w="5000" w:type="pct"/>
        <w:tblLook w:val="04A0" w:firstRow="1" w:lastRow="0" w:firstColumn="1" w:lastColumn="0" w:noHBand="0" w:noVBand="1"/>
      </w:tblPr>
      <w:tblGrid>
        <w:gridCol w:w="3081"/>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rPr>
            </w:pPr>
            <w:r w:rsidRPr="00EA7F7A">
              <w:rPr>
                <w:b/>
              </w:rPr>
              <w:t>Name of proposal:</w:t>
            </w:r>
          </w:p>
        </w:tc>
        <w:tc>
          <w:tcPr>
            <w:tcW w:w="3194" w:type="pct"/>
          </w:tcPr>
          <w:p w:rsidR="000B5C96" w:rsidRPr="00EA7F7A" w:rsidRDefault="000B5C96" w:rsidP="003F606A">
            <w:pPr>
              <w:pStyle w:val="PullOutBoxHeading"/>
              <w:rPr>
                <w:b/>
              </w:rPr>
            </w:pPr>
            <w:r w:rsidRPr="00EA7F7A">
              <w:rPr>
                <w:b/>
              </w:rPr>
              <w:t>Nuclear Waste</w:t>
            </w:r>
          </w:p>
        </w:tc>
      </w:tr>
      <w:tr w:rsidR="000B5C96" w:rsidRPr="00C34122" w:rsidTr="003F606A">
        <w:tc>
          <w:tcPr>
            <w:tcW w:w="1806" w:type="pct"/>
          </w:tcPr>
          <w:p w:rsidR="000B5C96" w:rsidRPr="00C34122" w:rsidRDefault="000B5C96" w:rsidP="003F606A">
            <w:pPr>
              <w:pStyle w:val="PullOutBoxBodyText"/>
            </w:pPr>
            <w:r w:rsidRPr="00C34122">
              <w:t>Summary of proposal:</w:t>
            </w:r>
          </w:p>
        </w:tc>
        <w:tc>
          <w:tcPr>
            <w:tcW w:w="3194" w:type="pct"/>
          </w:tcPr>
          <w:p w:rsidR="000B5C96" w:rsidRPr="00C34122" w:rsidRDefault="000B5C96" w:rsidP="003F606A">
            <w:pPr>
              <w:pStyle w:val="PullOutBoxBodyText"/>
            </w:pPr>
            <w:r w:rsidRPr="00C34122">
              <w:t>The proposal would implement a National Radioactive Waste Plan.</w:t>
            </w:r>
          </w:p>
          <w:p w:rsidR="000B5C96" w:rsidRPr="00C34122" w:rsidRDefault="000B5C96" w:rsidP="003F606A">
            <w:pPr>
              <w:pStyle w:val="PullOutBoxBodyText"/>
            </w:pPr>
            <w:r w:rsidRPr="00C34122">
              <w:t>The components of this proposal are:</w:t>
            </w:r>
          </w:p>
          <w:p w:rsidR="000B5C96" w:rsidRPr="00C34122" w:rsidRDefault="000B5C96" w:rsidP="003F606A">
            <w:pPr>
              <w:pStyle w:val="PullOutBoxBodyText"/>
              <w:rPr>
                <w:u w:val="single"/>
              </w:rPr>
            </w:pPr>
            <w:r w:rsidRPr="00C34122">
              <w:rPr>
                <w:u w:val="single"/>
              </w:rPr>
              <w:t>Component 1</w:t>
            </w:r>
          </w:p>
          <w:p w:rsidR="000B5C96" w:rsidRPr="00C34122" w:rsidRDefault="000B5C96" w:rsidP="003F606A">
            <w:pPr>
              <w:pStyle w:val="PullOutBoxBodyText"/>
            </w:pPr>
            <w:r w:rsidRPr="00C34122">
              <w:t>Reaffirm prohibitions on the importation and disposal of international radioactive waste.</w:t>
            </w:r>
          </w:p>
          <w:p w:rsidR="000B5C96" w:rsidRPr="00C34122" w:rsidRDefault="000B5C96" w:rsidP="003F606A">
            <w:pPr>
              <w:pStyle w:val="PullOutBoxBodyText"/>
              <w:rPr>
                <w:u w:val="single"/>
              </w:rPr>
            </w:pPr>
            <w:r w:rsidRPr="00C34122">
              <w:rPr>
                <w:u w:val="single"/>
              </w:rPr>
              <w:t>Component 2</w:t>
            </w:r>
          </w:p>
          <w:p w:rsidR="000B5C96" w:rsidRPr="00C34122" w:rsidRDefault="000B5C96" w:rsidP="003F606A">
            <w:pPr>
              <w:pStyle w:val="PullOutBoxBodyText"/>
              <w:rPr>
                <w:rFonts w:eastAsia="Times New Roman"/>
                <w:lang w:eastAsia="en-AU"/>
              </w:rPr>
            </w:pPr>
            <w:r w:rsidRPr="00C34122">
              <w:rPr>
                <w:rFonts w:eastAsia="Times New Roman"/>
                <w:lang w:eastAsia="en-AU"/>
              </w:rPr>
              <w:t>Containerise and isolate intermediate radioactive waste at Lucas Heights.</w:t>
            </w:r>
          </w:p>
          <w:p w:rsidR="000B5C96" w:rsidRPr="00C34122" w:rsidRDefault="000B5C96" w:rsidP="003F606A">
            <w:pPr>
              <w:pStyle w:val="PullOutBoxBodyText"/>
              <w:rPr>
                <w:u w:val="single"/>
              </w:rPr>
            </w:pPr>
            <w:r w:rsidRPr="00C34122">
              <w:rPr>
                <w:u w:val="single"/>
              </w:rPr>
              <w:t>Component 3</w:t>
            </w:r>
          </w:p>
          <w:p w:rsidR="000B5C96" w:rsidRPr="00C34122" w:rsidRDefault="000B5C96" w:rsidP="003F606A">
            <w:pPr>
              <w:pStyle w:val="PullOutBoxBodyText"/>
              <w:rPr>
                <w:rFonts w:eastAsia="Times New Roman"/>
                <w:lang w:eastAsia="en-AU"/>
              </w:rPr>
            </w:pPr>
            <w:r w:rsidRPr="00C34122">
              <w:rPr>
                <w:rFonts w:eastAsia="Times New Roman"/>
                <w:lang w:eastAsia="en-AU"/>
              </w:rPr>
              <w:t>Stop the National Radioactive Waste Management Facility Project.</w:t>
            </w:r>
          </w:p>
          <w:p w:rsidR="000B5C96" w:rsidRPr="00C34122" w:rsidRDefault="000B5C96" w:rsidP="003F606A">
            <w:pPr>
              <w:pStyle w:val="PullOutBoxBodyText"/>
              <w:rPr>
                <w:u w:val="single"/>
              </w:rPr>
            </w:pPr>
            <w:r w:rsidRPr="00C34122">
              <w:rPr>
                <w:u w:val="single"/>
              </w:rPr>
              <w:t>Component 4</w:t>
            </w:r>
          </w:p>
          <w:p w:rsidR="000B5C96" w:rsidRPr="00C34122" w:rsidRDefault="000B5C96" w:rsidP="003F606A">
            <w:pPr>
              <w:pStyle w:val="PullOutBoxBodyText"/>
              <w:rPr>
                <w:rFonts w:eastAsia="Times New Roman"/>
                <w:lang w:eastAsia="en-AU"/>
              </w:rPr>
            </w:pPr>
            <w:r w:rsidRPr="00C34122">
              <w:rPr>
                <w:rFonts w:eastAsia="Times New Roman"/>
                <w:lang w:eastAsia="en-AU"/>
              </w:rPr>
              <w:t>Stop the Australian Nuclear Science and Technology Organisation (ANSTO) Nuclear Medicine Project.</w:t>
            </w:r>
          </w:p>
          <w:p w:rsidR="000B5C96" w:rsidRPr="00C34122" w:rsidRDefault="000B5C96" w:rsidP="003F606A">
            <w:pPr>
              <w:pStyle w:val="PullOutBoxBodyText"/>
              <w:rPr>
                <w:u w:val="single"/>
              </w:rPr>
            </w:pPr>
            <w:r w:rsidRPr="00C34122">
              <w:rPr>
                <w:u w:val="single"/>
              </w:rPr>
              <w:t>Component 5</w:t>
            </w:r>
          </w:p>
          <w:p w:rsidR="000B5C96" w:rsidRPr="00C34122" w:rsidRDefault="000B5C96" w:rsidP="003F606A">
            <w:pPr>
              <w:pStyle w:val="PullOutBoxBodyText"/>
              <w:rPr>
                <w:rFonts w:eastAsia="Times New Roman"/>
                <w:lang w:eastAsia="en-AU"/>
              </w:rPr>
            </w:pPr>
            <w:r w:rsidRPr="00C34122">
              <w:rPr>
                <w:rFonts w:eastAsia="Times New Roman"/>
                <w:lang w:eastAsia="en-AU"/>
              </w:rPr>
              <w:t xml:space="preserve">Undertake an 18-month independent inquiry into national nuclear waste management.  This inquiry would include an audit of all sites where nuclear waste is stored or produced and the transport of any unsafe materials to existing radioactive waste facilities. </w:t>
            </w:r>
          </w:p>
          <w:p w:rsidR="000B5C96" w:rsidRPr="00C34122" w:rsidRDefault="000B5C96" w:rsidP="003F606A">
            <w:pPr>
              <w:pStyle w:val="PullOutBoxBodyText"/>
            </w:pPr>
            <w:r w:rsidRPr="00C34122">
              <w:t>The proposal would have effect from 1 January 2017.</w:t>
            </w:r>
          </w:p>
        </w:tc>
      </w:tr>
      <w:tr w:rsidR="000B5C96" w:rsidRPr="00C34122" w:rsidTr="003F606A">
        <w:tc>
          <w:tcPr>
            <w:tcW w:w="1806" w:type="pct"/>
          </w:tcPr>
          <w:p w:rsidR="000B5C96" w:rsidRPr="00C34122" w:rsidRDefault="000B5C96" w:rsidP="003F606A">
            <w:pPr>
              <w:pStyle w:val="PullOutBoxBodyText"/>
            </w:pPr>
            <w:r w:rsidRPr="00C34122">
              <w:t>Party:</w:t>
            </w:r>
          </w:p>
        </w:tc>
        <w:tc>
          <w:tcPr>
            <w:tcW w:w="3194" w:type="pct"/>
          </w:tcPr>
          <w:p w:rsidR="000B5C96" w:rsidRPr="00C34122" w:rsidRDefault="000B5C96" w:rsidP="003F606A">
            <w:pPr>
              <w:pStyle w:val="PullOutBoxBodyText"/>
            </w:pPr>
            <w:r w:rsidRPr="00C34122">
              <w:t>Australian Greens</w:t>
            </w:r>
          </w:p>
        </w:tc>
      </w:tr>
      <w:tr w:rsidR="000B5C96" w:rsidRPr="00C34122" w:rsidTr="003F606A">
        <w:tc>
          <w:tcPr>
            <w:tcW w:w="1806" w:type="pct"/>
          </w:tcPr>
          <w:p w:rsidR="000B5C96" w:rsidRPr="00C34122" w:rsidRDefault="000B5C96" w:rsidP="003F606A">
            <w:pPr>
              <w:pStyle w:val="PullOutBoxBodyText"/>
            </w:pPr>
            <w:r w:rsidRPr="00C34122">
              <w:t>Expiry date for the costing:</w:t>
            </w:r>
          </w:p>
        </w:tc>
        <w:tc>
          <w:tcPr>
            <w:tcW w:w="3194" w:type="pct"/>
          </w:tcPr>
          <w:p w:rsidR="000B5C96" w:rsidRPr="00C34122" w:rsidRDefault="000B5C96" w:rsidP="003F606A">
            <w:pPr>
              <w:pStyle w:val="PullOutBoxBodyText"/>
            </w:pPr>
            <w:r w:rsidRPr="00C34122">
              <w:t>Release of the next economic and fiscal update</w:t>
            </w:r>
          </w:p>
        </w:tc>
      </w:tr>
    </w:tbl>
    <w:p w:rsidR="000B5C96" w:rsidRPr="00002D5D" w:rsidRDefault="000B5C96" w:rsidP="003F606A">
      <w:pPr>
        <w:pStyle w:val="CostingsH7"/>
      </w:pPr>
      <w:r w:rsidRPr="00002D5D">
        <w:t>Costing overview</w:t>
      </w:r>
    </w:p>
    <w:p w:rsidR="000B5C96" w:rsidRDefault="000B5C96" w:rsidP="003F606A">
      <w:pPr>
        <w:pStyle w:val="BodyText"/>
        <w:keepNext/>
        <w:keepLines/>
      </w:pPr>
      <w:r>
        <w:t>The total financial implications of this proposal are unquantifiable as the Parliamentary Budget Office (PBO) is unable to estimate what the audit and transport costs would be for an unknown quantity of nuclear waste under Component 5 of this proposal.  However, the PBO estimates that these costs could run into the hundreds of millions of dollars given the large number of potential sites requiring waste removal and significant transport costs for each site.</w:t>
      </w:r>
    </w:p>
    <w:p w:rsidR="000B5C96" w:rsidRDefault="000B5C96" w:rsidP="003F606A">
      <w:pPr>
        <w:pStyle w:val="BodyText"/>
      </w:pPr>
      <w:r>
        <w:t xml:space="preserve">The remaining components of this proposal would be expected to decrease the fiscal and underlying cash balances by $29 million over the 2016-17 Budget forward estimates period.  </w:t>
      </w:r>
      <w:r w:rsidRPr="00175F22">
        <w:t>This reflects</w:t>
      </w:r>
      <w:r>
        <w:t>:</w:t>
      </w:r>
    </w:p>
    <w:p w:rsidR="000B5C96" w:rsidRPr="002D7769" w:rsidRDefault="000B5C96" w:rsidP="000B5C96">
      <w:pPr>
        <w:pStyle w:val="ListBullet"/>
        <w:numPr>
          <w:ilvl w:val="0"/>
          <w:numId w:val="123"/>
        </w:numPr>
        <w:ind w:left="454" w:hanging="454"/>
      </w:pPr>
      <w:r w:rsidRPr="002D7769">
        <w:t>a decrease in Commonwealth non-tax revenue of $60 million that relates to foregone profits from isotope sales by the ANSTO Nuclear Medicine Project that are currently expected to be provided to Government in the form of dividends arising from an earlier equity injection</w:t>
      </w:r>
      <w:r>
        <w:t xml:space="preserve"> of </w:t>
      </w:r>
      <w:r w:rsidRPr="002D7769">
        <w:t>$168.2 million over the four years to 2016</w:t>
      </w:r>
    </w:p>
    <w:p w:rsidR="000B5C96" w:rsidRPr="002D7769" w:rsidRDefault="000B5C96" w:rsidP="000B5C96">
      <w:pPr>
        <w:pStyle w:val="ListBullet"/>
        <w:numPr>
          <w:ilvl w:val="0"/>
          <w:numId w:val="123"/>
        </w:numPr>
        <w:ind w:left="454" w:hanging="454"/>
      </w:pPr>
      <w:r w:rsidRPr="002D7769">
        <w:t xml:space="preserve">a decrease in administered expenditure of $30 million and a decrease in departmental expenditure of $1 million over this period.  Decreased administered and departmental expenditure relate to savings from stopping the National Radioactive Waste Management Facility Project.  </w:t>
      </w:r>
    </w:p>
    <w:p w:rsidR="000B5C96" w:rsidRDefault="000B5C96" w:rsidP="003F606A">
      <w:pPr>
        <w:pStyle w:val="BodyText"/>
      </w:pPr>
      <w:r w:rsidRPr="001A58EC">
        <w:t xml:space="preserve">A breakdown of the </w:t>
      </w:r>
      <w:r>
        <w:t>financial implications of this proposal for the period 2016-17 to 2019-20 is</w:t>
      </w:r>
      <w:r w:rsidRPr="001A58EC">
        <w:t xml:space="preserve"> included at </w:t>
      </w:r>
      <w:r w:rsidRPr="001A58EC">
        <w:rPr>
          <w:u w:val="single"/>
        </w:rPr>
        <w:t>Attachment A</w:t>
      </w:r>
      <w:r>
        <w:t>.</w:t>
      </w:r>
    </w:p>
    <w:p w:rsidR="000B5C96" w:rsidRPr="00B01573" w:rsidRDefault="000B5C96" w:rsidP="003F606A">
      <w:pPr>
        <w:pStyle w:val="BodyText"/>
      </w:pPr>
      <w:r w:rsidRPr="00B01573">
        <w:t xml:space="preserve">The proposal would have </w:t>
      </w:r>
      <w:r>
        <w:t xml:space="preserve">an </w:t>
      </w:r>
      <w:r w:rsidRPr="00B01573">
        <w:t xml:space="preserve">ongoing </w:t>
      </w:r>
      <w:r>
        <w:t xml:space="preserve">net cost to the Budget bottom line </w:t>
      </w:r>
      <w:r w:rsidRPr="00B01573">
        <w:t xml:space="preserve">of </w:t>
      </w:r>
      <w:r>
        <w:t>approximately $20 </w:t>
      </w:r>
      <w:r w:rsidRPr="00B01573">
        <w:t xml:space="preserve">million per </w:t>
      </w:r>
      <w:r>
        <w:t>year</w:t>
      </w:r>
      <w:r w:rsidRPr="00B01573">
        <w:t xml:space="preserve"> </w:t>
      </w:r>
      <w:r>
        <w:t>beyond</w:t>
      </w:r>
      <w:r w:rsidRPr="00B01573">
        <w:t xml:space="preserve"> the </w:t>
      </w:r>
      <w:r>
        <w:t xml:space="preserve">2016-17 Budget </w:t>
      </w:r>
      <w:r w:rsidRPr="00B01573">
        <w:t>forward estimates period.</w:t>
      </w:r>
    </w:p>
    <w:p w:rsidR="000B5C96" w:rsidRDefault="000B5C96" w:rsidP="003F606A">
      <w:pPr>
        <w:pStyle w:val="BodyText"/>
        <w:rPr>
          <w:lang w:eastAsia="en-AU"/>
        </w:rPr>
      </w:pPr>
      <w:r w:rsidRPr="008F5318">
        <w:rPr>
          <w:lang w:eastAsia="en-AU"/>
        </w:rPr>
        <w:t xml:space="preserve">This costing is considered </w:t>
      </w:r>
      <w:r>
        <w:rPr>
          <w:lang w:eastAsia="en-AU"/>
        </w:rPr>
        <w:t>unquantifiable and therefore no overall reliability rating has been assigned.  The quantified components of the costing are considered to be of high reliability as they are based on information provided by the Department of Industry, Innovation and Science (DIIS) and ANSTO.</w:t>
      </w:r>
    </w:p>
    <w:p w:rsidR="000B5C96" w:rsidRPr="00FC6579" w:rsidRDefault="000B5C96" w:rsidP="003F606A">
      <w:pPr>
        <w:pStyle w:val="Caption"/>
      </w:pPr>
      <w:r w:rsidRPr="00FC6579">
        <w:t>Table 1: Financial implications (outturn prices)</w:t>
      </w:r>
      <w:r w:rsidRPr="00611B22">
        <w:rPr>
          <w:vertAlign w:val="superscript"/>
        </w:rPr>
        <w:t>(a)</w:t>
      </w:r>
      <w:r>
        <w:rPr>
          <w:vertAlign w:val="superscript"/>
        </w:rPr>
        <w:t>(b)</w:t>
      </w:r>
    </w:p>
    <w:tbl>
      <w:tblPr>
        <w:tblStyle w:val="TableGrid"/>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6"/>
        <w:gridCol w:w="1134"/>
        <w:gridCol w:w="1135"/>
        <w:gridCol w:w="1135"/>
        <w:gridCol w:w="1135"/>
        <w:gridCol w:w="1133"/>
      </w:tblGrid>
      <w:tr w:rsidR="000B5C96" w:rsidRPr="00C34122"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C34122" w:rsidRDefault="000B5C96" w:rsidP="003F606A">
            <w:pPr>
              <w:pStyle w:val="TableText"/>
              <w:keepNext/>
              <w:keepLines/>
              <w:spacing w:line="240" w:lineRule="auto"/>
              <w:ind w:left="57" w:right="57"/>
              <w:rPr>
                <w:rFonts w:ascii="Calibri" w:hAnsi="Calibri"/>
                <w:color w:val="auto"/>
                <w:szCs w:val="20"/>
              </w:rPr>
            </w:pPr>
            <w:r w:rsidRPr="00C34122">
              <w:rPr>
                <w:rFonts w:ascii="Calibri" w:hAnsi="Calibri"/>
                <w:color w:val="auto"/>
                <w:szCs w:val="20"/>
              </w:rPr>
              <w:t>Impact on ($m)</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C3412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C34122">
              <w:rPr>
                <w:rFonts w:ascii="Calibri" w:hAnsi="Calibri"/>
                <w:color w:val="auto"/>
                <w:szCs w:val="20"/>
              </w:rPr>
              <w:t>2016–17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C3412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C34122">
              <w:rPr>
                <w:rFonts w:ascii="Calibri" w:hAnsi="Calibri"/>
                <w:color w:val="auto"/>
                <w:szCs w:val="20"/>
              </w:rPr>
              <w:t>2017–18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C3412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C34122">
              <w:rPr>
                <w:rFonts w:ascii="Calibri" w:hAnsi="Calibri"/>
                <w:color w:val="auto"/>
                <w:szCs w:val="20"/>
              </w:rPr>
              <w:t>2018–19</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C3412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C34122">
              <w:rPr>
                <w:rFonts w:ascii="Calibri" w:hAnsi="Calibri"/>
                <w:color w:val="auto"/>
                <w:szCs w:val="20"/>
              </w:rPr>
              <w:t>2019–20</w:t>
            </w:r>
          </w:p>
        </w:tc>
        <w:tc>
          <w:tcPr>
            <w:tcW w:w="68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C34122"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C34122">
              <w:rPr>
                <w:rFonts w:ascii="Calibri" w:hAnsi="Calibri"/>
                <w:b/>
                <w:color w:val="auto"/>
                <w:szCs w:val="20"/>
              </w:rPr>
              <w:t>Total</w:t>
            </w:r>
          </w:p>
        </w:tc>
      </w:tr>
      <w:tr w:rsidR="000B5C96" w:rsidRPr="003A345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left"/>
              <w:rPr>
                <w:szCs w:val="20"/>
              </w:rPr>
            </w:pPr>
            <w:r>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654D5"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1654D5">
              <w:rPr>
                <w:rFonts w:ascii="Calibri" w:hAnsi="Calibri"/>
                <w:noProof/>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654D5"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1654D5">
              <w:rPr>
                <w:rFonts w:ascii="Calibri" w:hAnsi="Calibri"/>
                <w:noProof/>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654D5"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1654D5">
              <w:rPr>
                <w:rFonts w:ascii="Calibri" w:hAnsi="Calibri"/>
                <w:noProof/>
                <w:szCs w:val="20"/>
              </w:rPr>
              <w:t>6</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654D5"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noProof/>
                <w:szCs w:val="20"/>
              </w:rPr>
            </w:pPr>
            <w:r w:rsidRPr="001654D5">
              <w:rPr>
                <w:rFonts w:ascii="Calibri" w:hAnsi="Calibri"/>
                <w:noProof/>
                <w:szCs w:val="20"/>
              </w:rPr>
              <w:t>-20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5921B6"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noProof/>
                <w:szCs w:val="20"/>
              </w:rPr>
            </w:pPr>
            <w:r w:rsidRPr="005921B6">
              <w:rPr>
                <w:rFonts w:ascii="Calibri" w:hAnsi="Calibri"/>
                <w:b/>
                <w:noProof/>
                <w:szCs w:val="20"/>
              </w:rPr>
              <w:t>*</w:t>
            </w:r>
          </w:p>
        </w:tc>
      </w:tr>
      <w:tr w:rsidR="000B5C96" w:rsidRPr="003A3459" w:rsidTr="003F606A">
        <w:trPr>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left"/>
              <w:rPr>
                <w:szCs w:val="20"/>
              </w:rPr>
            </w:pPr>
            <w:r>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654D5"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noProof/>
                <w:szCs w:val="20"/>
              </w:rPr>
            </w:pPr>
            <w:r w:rsidRPr="001654D5">
              <w:rPr>
                <w:noProof/>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654D5"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noProof/>
                <w:szCs w:val="20"/>
              </w:rPr>
            </w:pPr>
            <w:r w:rsidRPr="001654D5">
              <w:rPr>
                <w:noProof/>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654D5"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noProof/>
                <w:szCs w:val="20"/>
              </w:rPr>
            </w:pPr>
            <w:r w:rsidRPr="001654D5">
              <w:rPr>
                <w:noProof/>
                <w:szCs w:val="20"/>
              </w:rPr>
              <w:t>6</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1654D5"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noProof/>
                <w:szCs w:val="20"/>
              </w:rPr>
            </w:pPr>
            <w:r w:rsidRPr="001654D5">
              <w:rPr>
                <w:noProof/>
                <w:szCs w:val="20"/>
              </w:rPr>
              <w:t>-20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5921B6"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noProof/>
                <w:szCs w:val="20"/>
              </w:rPr>
            </w:pPr>
            <w:r w:rsidRPr="005921B6">
              <w:rPr>
                <w:b/>
                <w:noProof/>
                <w:szCs w:val="20"/>
              </w:rPr>
              <w:t>*</w:t>
            </w:r>
          </w:p>
        </w:tc>
      </w:tr>
    </w:tbl>
    <w:p w:rsidR="000B5C96" w:rsidRDefault="000B5C96" w:rsidP="00555964">
      <w:pPr>
        <w:pStyle w:val="Footnotes"/>
        <w:numPr>
          <w:ilvl w:val="0"/>
          <w:numId w:val="364"/>
        </w:numPr>
        <w:ind w:left="284" w:hanging="284"/>
      </w:pPr>
      <w:r w:rsidRPr="00C24DA7">
        <w:t>A positive number indicates an increase in the relevant budget balance, a negative number a decrease.</w:t>
      </w:r>
    </w:p>
    <w:p w:rsidR="000B5C96" w:rsidRPr="00C24DA7" w:rsidRDefault="000B5C96" w:rsidP="003F606A">
      <w:pPr>
        <w:pStyle w:val="Footnotes"/>
        <w:numPr>
          <w:ilvl w:val="0"/>
          <w:numId w:val="0"/>
        </w:numPr>
        <w:ind w:left="284" w:hanging="284"/>
      </w:pPr>
      <w:r w:rsidRPr="00C24DA7">
        <w:t>*</w:t>
      </w:r>
      <w:r>
        <w:tab/>
      </w:r>
      <w:r w:rsidRPr="00C24DA7">
        <w:t>Unquantifiable.</w:t>
      </w:r>
    </w:p>
    <w:p w:rsidR="000B5C96" w:rsidRPr="00FC6579" w:rsidRDefault="000B5C96" w:rsidP="003F606A">
      <w:pPr>
        <w:pStyle w:val="CostingsH7"/>
      </w:pPr>
      <w:r w:rsidRPr="00FC6579">
        <w:t>Key assumptions</w:t>
      </w:r>
    </w:p>
    <w:p w:rsidR="000B5C96" w:rsidRPr="005721AE" w:rsidRDefault="000B5C96" w:rsidP="003F606A">
      <w:pPr>
        <w:pStyle w:val="BodyText"/>
        <w:keepNext/>
        <w:keepLines/>
      </w:pPr>
      <w:r w:rsidRPr="005721AE">
        <w:t>The PBO has assumed that:</w:t>
      </w:r>
    </w:p>
    <w:p w:rsidR="000B5C96" w:rsidRDefault="000B5C96" w:rsidP="000B5C96">
      <w:pPr>
        <w:pStyle w:val="ListBullet"/>
        <w:keepNext/>
        <w:numPr>
          <w:ilvl w:val="0"/>
          <w:numId w:val="123"/>
        </w:numPr>
        <w:ind w:left="454" w:hanging="454"/>
      </w:pPr>
      <w:r>
        <w:t>C</w:t>
      </w:r>
      <w:r w:rsidRPr="005721AE">
        <w:t>omponent</w:t>
      </w:r>
      <w:r>
        <w:t xml:space="preserve"> 1</w:t>
      </w:r>
      <w:r w:rsidRPr="005721AE">
        <w:t xml:space="preserve"> of the proposal would require no additional departmental expense for DIIS</w:t>
      </w:r>
    </w:p>
    <w:p w:rsidR="000B5C96" w:rsidRPr="00C34122" w:rsidRDefault="000B5C96" w:rsidP="000B5C96">
      <w:pPr>
        <w:pStyle w:val="ListBullet"/>
        <w:numPr>
          <w:ilvl w:val="0"/>
          <w:numId w:val="123"/>
        </w:numPr>
        <w:ind w:left="454" w:hanging="454"/>
      </w:pPr>
      <w:r w:rsidRPr="00C34122">
        <w:rPr>
          <w:rFonts w:ascii="Calibri" w:hAnsi="Calibri"/>
        </w:rPr>
        <w:t>this proposal would be announced as Government policy immediately following the election and that DIIS and ANSTO would have been instructed not to enter into new contracts from that date.</w:t>
      </w:r>
    </w:p>
    <w:p w:rsidR="000B5C96" w:rsidRPr="00C34122" w:rsidRDefault="000B5C96" w:rsidP="003F606A">
      <w:pPr>
        <w:pStyle w:val="CostingsH7"/>
      </w:pPr>
      <w:r w:rsidRPr="00C34122">
        <w:t>Methodology</w:t>
      </w:r>
    </w:p>
    <w:p w:rsidR="000B5C96" w:rsidRPr="00C34122" w:rsidRDefault="000B5C96" w:rsidP="003F606A">
      <w:pPr>
        <w:pStyle w:val="BodyText"/>
      </w:pPr>
      <w:r w:rsidRPr="00C34122">
        <w:t xml:space="preserve">Component 2 would have no financial implications as this process is already underway and the costs for it were funded in the 2015-16 Budget (see </w:t>
      </w:r>
      <w:r w:rsidRPr="00C34122">
        <w:rPr>
          <w:i/>
        </w:rPr>
        <w:t>Data sources</w:t>
      </w:r>
      <w:r w:rsidRPr="00C34122">
        <w:t>).</w:t>
      </w:r>
    </w:p>
    <w:p w:rsidR="000B5C96" w:rsidRPr="00C34122" w:rsidRDefault="000B5C96" w:rsidP="003F606A">
      <w:pPr>
        <w:pStyle w:val="BodyText"/>
      </w:pPr>
      <w:r w:rsidRPr="00C34122">
        <w:t>The financial implications of Component 3 were estimated as the uncommitted administered expenditure estimates and related departmental expenditure estimates over the period 2016-17 to 2019-20.</w:t>
      </w:r>
    </w:p>
    <w:p w:rsidR="000B5C96" w:rsidRPr="00C34122" w:rsidRDefault="000B5C96" w:rsidP="003F606A">
      <w:pPr>
        <w:pStyle w:val="BodyText"/>
      </w:pPr>
      <w:r w:rsidRPr="00C34122">
        <w:t>The financial implications of Component 4 were estimated as the amount of revenue to the Commonwealth that would be foregone from the ANSTO nuclear medicine project ceasing international export of radioactive isotopes.</w:t>
      </w:r>
    </w:p>
    <w:p w:rsidR="000B5C96" w:rsidRPr="00C34122" w:rsidRDefault="000B5C96" w:rsidP="003F606A">
      <w:pPr>
        <w:pStyle w:val="CostingsH7"/>
      </w:pPr>
      <w:r w:rsidRPr="00C34122">
        <w:t>Data sources</w:t>
      </w:r>
    </w:p>
    <w:p w:rsidR="000B5C96" w:rsidRPr="00C34122" w:rsidRDefault="000B5C96" w:rsidP="003F606A">
      <w:pPr>
        <w:pStyle w:val="BodyText"/>
        <w:rPr>
          <w:lang w:eastAsia="en-AU"/>
        </w:rPr>
      </w:pPr>
      <w:r w:rsidRPr="00C34122">
        <w:rPr>
          <w:lang w:eastAsia="en-AU"/>
        </w:rPr>
        <w:t>DIIS provided expenditure estimates and amounts of committed and uncommitted funding for the period 2015-16 to 2019-20.</w:t>
      </w:r>
    </w:p>
    <w:p w:rsidR="000B5C96" w:rsidRPr="00C34122" w:rsidRDefault="000B5C96" w:rsidP="003F606A">
      <w:pPr>
        <w:pStyle w:val="BodyText"/>
        <w:rPr>
          <w:lang w:eastAsia="en-AU"/>
        </w:rPr>
      </w:pPr>
      <w:r w:rsidRPr="00C34122">
        <w:rPr>
          <w:lang w:eastAsia="en-AU"/>
        </w:rPr>
        <w:t>ANSTO provided expected dividends.</w:t>
      </w:r>
    </w:p>
    <w:p w:rsidR="000B5C96" w:rsidRDefault="000B5C96" w:rsidP="003F606A">
      <w:pPr>
        <w:pStyle w:val="BodyText"/>
        <w:rPr>
          <w:i/>
          <w:lang w:eastAsia="en-AU"/>
        </w:rPr>
        <w:sectPr w:rsidR="000B5C96" w:rsidSect="008430E8">
          <w:pgSz w:w="11907" w:h="16839" w:code="9"/>
          <w:pgMar w:top="1361" w:right="1797" w:bottom="1474" w:left="1797" w:header="283" w:footer="454" w:gutter="0"/>
          <w:cols w:space="708"/>
          <w:docGrid w:linePitch="360"/>
        </w:sectPr>
      </w:pPr>
      <w:r w:rsidRPr="00C34122">
        <w:rPr>
          <w:lang w:eastAsia="en-AU"/>
        </w:rPr>
        <w:t xml:space="preserve">2015-16 Budget measures, </w:t>
      </w:r>
      <w:r w:rsidRPr="00C34122">
        <w:rPr>
          <w:i/>
          <w:lang w:eastAsia="en-AU"/>
        </w:rPr>
        <w:t>Australian Nuclear Science and Technology Organisation — interim radioactive waste storage</w:t>
      </w:r>
      <w:r w:rsidRPr="00C34122">
        <w:rPr>
          <w:lang w:eastAsia="en-AU"/>
        </w:rPr>
        <w:t xml:space="preserve"> and </w:t>
      </w:r>
      <w:r w:rsidRPr="00C34122">
        <w:rPr>
          <w:i/>
          <w:lang w:eastAsia="en-AU"/>
        </w:rPr>
        <w:t>Australian Nuclear Science and Technology Organisation — repatriation of intermediate level radioactive waste</w:t>
      </w:r>
      <w:r w:rsidRPr="00E16A5C">
        <w:rPr>
          <w:lang w:eastAsia="en-AU"/>
        </w:rPr>
        <w:t>.</w:t>
      </w:r>
    </w:p>
    <w:p w:rsidR="000B5C96" w:rsidRPr="00515C0E" w:rsidRDefault="000B5C96" w:rsidP="000B5C96">
      <w:pPr>
        <w:pStyle w:val="Heading6"/>
        <w:numPr>
          <w:ilvl w:val="0"/>
          <w:numId w:val="5"/>
        </w:numPr>
        <w:tabs>
          <w:tab w:val="right" w:pos="1418"/>
          <w:tab w:val="right" w:pos="1701"/>
          <w:tab w:val="right" w:pos="1985"/>
        </w:tabs>
      </w:pPr>
      <w:r w:rsidRPr="00515C0E">
        <w:t>Attachment A: Nuclear Waste—financial implications</w:t>
      </w:r>
    </w:p>
    <w:p w:rsidR="000B5C96" w:rsidRPr="00515C0E" w:rsidRDefault="000B5C96" w:rsidP="003F606A">
      <w:pPr>
        <w:pStyle w:val="Caption"/>
        <w:rPr>
          <w:vertAlign w:val="superscript"/>
        </w:rPr>
      </w:pPr>
      <w:r w:rsidRPr="00515C0E">
        <w:t>Table A1: Nuclear Waste—Financial implications (outturn prices)</w:t>
      </w:r>
      <w:r w:rsidRPr="00515C0E">
        <w:rPr>
          <w:vertAlign w:val="superscript"/>
        </w:rPr>
        <w:t>(a)(b)</w:t>
      </w:r>
    </w:p>
    <w:tbl>
      <w:tblPr>
        <w:tblStyle w:val="TableGrid117"/>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5"/>
        <w:gridCol w:w="1134"/>
        <w:gridCol w:w="1134"/>
        <w:gridCol w:w="1134"/>
        <w:gridCol w:w="1134"/>
        <w:gridCol w:w="1134"/>
      </w:tblGrid>
      <w:tr w:rsidR="000B5C96" w:rsidRPr="00515C0E"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keepNext/>
              <w:keepLines/>
              <w:spacing w:line="240" w:lineRule="auto"/>
              <w:ind w:left="57" w:right="57"/>
              <w:rPr>
                <w:b/>
                <w:szCs w:val="20"/>
              </w:rPr>
            </w:pPr>
            <w:r w:rsidRPr="00515C0E">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15C0E">
              <w:t>2016–17</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15C0E">
              <w:t>2017–18</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15C0E">
              <w:t>2018–19</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515C0E">
              <w:t>2019–20</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515C0E">
              <w:rPr>
                <w:b/>
              </w:rPr>
              <w:t>Total</w:t>
            </w:r>
            <w:r w:rsidRPr="00515C0E">
              <w:rPr>
                <w:b/>
                <w:szCs w:val="20"/>
              </w:rPr>
              <w:t xml:space="preserve"> to 2019–20</w:t>
            </w:r>
          </w:p>
        </w:tc>
      </w:tr>
      <w:tr w:rsidR="000B5C96" w:rsidRPr="00515C0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515C0E" w:rsidRDefault="000B5C96" w:rsidP="003F606A">
            <w:pPr>
              <w:keepNext/>
              <w:keepLines/>
              <w:ind w:left="57" w:right="57"/>
              <w:rPr>
                <w:b/>
              </w:rPr>
            </w:pPr>
            <w:r w:rsidRPr="00515C0E">
              <w:rPr>
                <w:b/>
              </w:rPr>
              <w:t>Fiscal and underlying cash balances</w:t>
            </w:r>
          </w:p>
        </w:tc>
      </w:tr>
      <w:tr w:rsidR="000B5C96" w:rsidRPr="00515C0E"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515C0E" w:rsidRDefault="000B5C96" w:rsidP="003F606A">
            <w:pPr>
              <w:keepNext/>
              <w:keepLines/>
              <w:ind w:left="57" w:right="57"/>
              <w:rPr>
                <w:b/>
                <w:szCs w:val="20"/>
              </w:rPr>
            </w:pPr>
            <w:r w:rsidRPr="00515C0E">
              <w:rPr>
                <w:b/>
              </w:rPr>
              <w:t>Revenue</w:t>
            </w:r>
          </w:p>
        </w:tc>
      </w:tr>
      <w:tr w:rsidR="000B5C96" w:rsidRPr="00515C0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keepNext/>
              <w:keepLines/>
              <w:ind w:left="57" w:right="57"/>
              <w:rPr>
                <w:szCs w:val="20"/>
              </w:rPr>
            </w:pPr>
            <w:r w:rsidRPr="00515C0E">
              <w:rPr>
                <w:szCs w:val="20"/>
              </w:rPr>
              <w:t>Commonwealth non-tax revenue - ANSTO Nuclear Medicine Project</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-10 </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-20 </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-10 </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-20 </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15C0E">
              <w:rPr>
                <w:rFonts w:ascii="Calibri" w:hAnsi="Calibri"/>
                <w:b/>
                <w:i/>
              </w:rPr>
              <w:t xml:space="preserve">-60 </w:t>
            </w:r>
          </w:p>
        </w:tc>
      </w:tr>
      <w:tr w:rsidR="000B5C96" w:rsidRPr="00515C0E"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B5C96" w:rsidRPr="00515C0E" w:rsidRDefault="000B5C96" w:rsidP="003F606A">
            <w:pPr>
              <w:keepNext/>
              <w:keepLines/>
              <w:ind w:left="57" w:right="57"/>
              <w:rPr>
                <w:b/>
              </w:rPr>
            </w:pPr>
            <w:r w:rsidRPr="00515C0E">
              <w:rPr>
                <w:b/>
              </w:rPr>
              <w:t>Expenses</w:t>
            </w:r>
          </w:p>
        </w:tc>
      </w:tr>
      <w:tr w:rsidR="000B5C96" w:rsidRPr="00515C0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ind w:left="57" w:right="57"/>
              <w:rPr>
                <w:iCs/>
                <w:color w:val="000000"/>
              </w:rPr>
            </w:pPr>
            <w:r w:rsidRPr="00515C0E">
              <w:rPr>
                <w:iCs/>
                <w:color w:val="000000"/>
              </w:rPr>
              <w:t>DIIS administered</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 5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 10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 15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15C0E">
              <w:rPr>
                <w:rFonts w:ascii="Calibri" w:hAnsi="Calibri"/>
                <w:b/>
                <w:i/>
              </w:rPr>
              <w:t xml:space="preserve"> 30 </w:t>
            </w:r>
          </w:p>
        </w:tc>
      </w:tr>
      <w:tr w:rsidR="000B5C96" w:rsidRPr="00515C0E"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ind w:left="57" w:right="57"/>
              <w:rPr>
                <w:iCs/>
                <w:color w:val="000000"/>
              </w:rPr>
            </w:pPr>
            <w:r w:rsidRPr="00515C0E">
              <w:rPr>
                <w:iCs/>
                <w:color w:val="000000"/>
              </w:rPr>
              <w:t>DIIS departmental</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cnfStyle w:val="000000010000" w:firstRow="0" w:lastRow="0" w:firstColumn="0" w:lastColumn="0" w:oddVBand="0" w:evenVBand="0" w:oddHBand="0" w:evenHBand="1" w:firstRowFirstColumn="0" w:firstRowLastColumn="0" w:lastRowFirstColumn="0" w:lastRowLastColumn="0"/>
              <w:rPr>
                <w:i/>
              </w:rPr>
            </w:pPr>
            <w:r w:rsidRPr="00515C0E">
              <w:rPr>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cnfStyle w:val="000000010000" w:firstRow="0" w:lastRow="0" w:firstColumn="0" w:lastColumn="0" w:oddVBand="0" w:evenVBand="0" w:oddHBand="0" w:evenHBand="1" w:firstRowFirstColumn="0" w:firstRowLastColumn="0" w:lastRowFirstColumn="0" w:lastRowLastColumn="0"/>
              <w:rPr>
                <w:i/>
              </w:rPr>
            </w:pPr>
            <w:r w:rsidRPr="00515C0E">
              <w:rPr>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cnfStyle w:val="000000010000" w:firstRow="0" w:lastRow="0" w:firstColumn="0" w:lastColumn="0" w:oddVBand="0" w:evenVBand="0" w:oddHBand="0" w:evenHBand="1" w:firstRowFirstColumn="0" w:firstRowLastColumn="0" w:lastRowFirstColumn="0" w:lastRowLastColumn="0"/>
              <w:rPr>
                <w:i/>
              </w:rPr>
            </w:pPr>
            <w:r w:rsidRPr="00515C0E">
              <w:rPr>
                <w:i/>
              </w:rPr>
              <w:t xml:space="preserve"> 1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cnfStyle w:val="000000010000" w:firstRow="0" w:lastRow="0" w:firstColumn="0" w:lastColumn="0" w:oddVBand="0" w:evenVBand="0" w:oddHBand="0" w:evenHBand="1" w:firstRowFirstColumn="0" w:firstRowLastColumn="0" w:lastRowFirstColumn="0" w:lastRowLastColumn="0"/>
              <w:rPr>
                <w:i/>
              </w:rPr>
            </w:pPr>
            <w:r w:rsidRPr="00515C0E">
              <w:rPr>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cnfStyle w:val="000000010000" w:firstRow="0" w:lastRow="0" w:firstColumn="0" w:lastColumn="0" w:oddVBand="0" w:evenVBand="0" w:oddHBand="0" w:evenHBand="1" w:firstRowFirstColumn="0" w:firstRowLastColumn="0" w:lastRowFirstColumn="0" w:lastRowLastColumn="0"/>
              <w:rPr>
                <w:b/>
                <w:i/>
              </w:rPr>
            </w:pPr>
            <w:r w:rsidRPr="00515C0E">
              <w:rPr>
                <w:b/>
                <w:i/>
              </w:rPr>
              <w:t xml:space="preserve"> 1 </w:t>
            </w:r>
          </w:p>
        </w:tc>
      </w:tr>
      <w:tr w:rsidR="000B5C96" w:rsidRPr="00515C0E"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bottom"/>
          </w:tcPr>
          <w:p w:rsidR="000B5C96" w:rsidRPr="00515C0E" w:rsidRDefault="000B5C96" w:rsidP="003F606A">
            <w:pPr>
              <w:keepNext/>
              <w:keepLines/>
              <w:ind w:left="57" w:right="57"/>
              <w:rPr>
                <w:iCs/>
                <w:color w:val="000000"/>
              </w:rPr>
            </w:pPr>
            <w:r w:rsidRPr="00515C0E">
              <w:rPr>
                <w:szCs w:val="20"/>
              </w:rPr>
              <w:t>National Nuclear Waste Management Inquiry</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515C0E">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tcPr>
          <w:p w:rsidR="000B5C96" w:rsidRPr="00515C0E" w:rsidRDefault="000B5C96" w:rsidP="003F606A">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515C0E">
              <w:rPr>
                <w:rFonts w:ascii="Calibri" w:hAnsi="Calibri"/>
                <w:b/>
                <w:i/>
              </w:rPr>
              <w:t xml:space="preserve"> * </w:t>
            </w:r>
          </w:p>
        </w:tc>
      </w:tr>
      <w:tr w:rsidR="000B5C96" w:rsidRPr="00515C0E" w:rsidTr="003F606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B5C96" w:rsidRPr="00515C0E" w:rsidRDefault="000B5C96" w:rsidP="003F606A">
            <w:pPr>
              <w:keepNext/>
              <w:keepLines/>
              <w:ind w:left="57" w:right="57"/>
              <w:rPr>
                <w:b/>
                <w:szCs w:val="20"/>
              </w:rPr>
            </w:pPr>
            <w:r w:rsidRPr="00515C0E">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515C0E" w:rsidRDefault="000B5C96" w:rsidP="003F606A">
            <w:pPr>
              <w:cnfStyle w:val="000000010000" w:firstRow="0" w:lastRow="0" w:firstColumn="0" w:lastColumn="0" w:oddVBand="0" w:evenVBand="0" w:oddHBand="0" w:evenHBand="1" w:firstRowFirstColumn="0" w:firstRowLastColumn="0" w:lastRowFirstColumn="0" w:lastRowLastColumn="0"/>
            </w:pPr>
            <w:r w:rsidRPr="00515C0E">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515C0E" w:rsidRDefault="000B5C96" w:rsidP="003F606A">
            <w:pPr>
              <w:cnfStyle w:val="000000010000" w:firstRow="0" w:lastRow="0" w:firstColumn="0" w:lastColumn="0" w:oddVBand="0" w:evenVBand="0" w:oddHBand="0" w:evenHBand="1" w:firstRowFirstColumn="0" w:firstRowLastColumn="0" w:lastRowFirstColumn="0" w:lastRowLastColumn="0"/>
            </w:pPr>
            <w:r w:rsidRPr="00515C0E">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515C0E" w:rsidRDefault="000B5C96" w:rsidP="003F606A">
            <w:pPr>
              <w:cnfStyle w:val="000000010000" w:firstRow="0" w:lastRow="0" w:firstColumn="0" w:lastColumn="0" w:oddVBand="0" w:evenVBand="0" w:oddHBand="0" w:evenHBand="1" w:firstRowFirstColumn="0" w:firstRowLastColumn="0" w:lastRowFirstColumn="0" w:lastRowLastColumn="0"/>
            </w:pPr>
            <w:r w:rsidRPr="00515C0E">
              <w:t xml:space="preserve"> 6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515C0E" w:rsidRDefault="000B5C96" w:rsidP="003F606A">
            <w:pPr>
              <w:cnfStyle w:val="000000010000" w:firstRow="0" w:lastRow="0" w:firstColumn="0" w:lastColumn="0" w:oddVBand="0" w:evenVBand="0" w:oddHBand="0" w:evenHBand="1" w:firstRowFirstColumn="0" w:firstRowLastColumn="0" w:lastRowFirstColumn="0" w:lastRowLastColumn="0"/>
            </w:pPr>
            <w:r w:rsidRPr="00515C0E">
              <w:t xml:space="preserve">-20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B5C96" w:rsidRPr="00515C0E" w:rsidRDefault="000B5C96" w:rsidP="003F606A">
            <w:pPr>
              <w:cnfStyle w:val="000000010000" w:firstRow="0" w:lastRow="0" w:firstColumn="0" w:lastColumn="0" w:oddVBand="0" w:evenVBand="0" w:oddHBand="0" w:evenHBand="1" w:firstRowFirstColumn="0" w:firstRowLastColumn="0" w:lastRowFirstColumn="0" w:lastRowLastColumn="0"/>
              <w:rPr>
                <w:b/>
              </w:rPr>
            </w:pPr>
            <w:r w:rsidRPr="00515C0E">
              <w:rPr>
                <w:b/>
              </w:rPr>
              <w:t xml:space="preserve"> * </w:t>
            </w:r>
          </w:p>
        </w:tc>
      </w:tr>
    </w:tbl>
    <w:p w:rsidR="000B5C96" w:rsidRPr="00515C0E" w:rsidRDefault="000B5C96" w:rsidP="000B5C96">
      <w:pPr>
        <w:pStyle w:val="Footnotes"/>
        <w:numPr>
          <w:ilvl w:val="0"/>
          <w:numId w:val="133"/>
        </w:numPr>
        <w:ind w:left="284" w:hanging="284"/>
      </w:pPr>
      <w:r w:rsidRPr="00515C0E">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0B5C96" w:rsidRPr="00515C0E" w:rsidRDefault="000B5C96" w:rsidP="000B5C96">
      <w:pPr>
        <w:pStyle w:val="Footnotes"/>
        <w:numPr>
          <w:ilvl w:val="0"/>
          <w:numId w:val="128"/>
        </w:numPr>
        <w:ind w:left="284" w:hanging="284"/>
      </w:pPr>
      <w:r w:rsidRPr="00515C0E">
        <w:t>Figures may not sum to totals due to rounding.</w:t>
      </w:r>
    </w:p>
    <w:p w:rsidR="000B5C96" w:rsidRPr="00515C0E" w:rsidRDefault="000B5C96" w:rsidP="003F606A">
      <w:pPr>
        <w:pStyle w:val="Footnotes"/>
        <w:numPr>
          <w:ilvl w:val="0"/>
          <w:numId w:val="0"/>
        </w:numPr>
        <w:ind w:left="284" w:hanging="284"/>
      </w:pPr>
      <w:r w:rsidRPr="00515C0E">
        <w:t>..</w:t>
      </w:r>
      <w:r>
        <w:tab/>
      </w:r>
      <w:r w:rsidRPr="00515C0E">
        <w:tab/>
        <w:t xml:space="preserve">Not zero but rounded to zero. </w:t>
      </w:r>
    </w:p>
    <w:p w:rsidR="000B5C96" w:rsidRPr="00515C0E" w:rsidRDefault="000B5C96" w:rsidP="003F606A">
      <w:pPr>
        <w:pStyle w:val="Footnotes"/>
        <w:numPr>
          <w:ilvl w:val="0"/>
          <w:numId w:val="0"/>
        </w:numPr>
        <w:ind w:left="284" w:hanging="284"/>
      </w:pPr>
      <w:r w:rsidRPr="00515C0E">
        <w:t>*</w:t>
      </w:r>
      <w:r>
        <w:tab/>
      </w:r>
      <w:r>
        <w:tab/>
      </w:r>
      <w:r w:rsidRPr="00515C0E">
        <w:tab/>
        <w:t>Unquantifiable.</w:t>
      </w:r>
    </w:p>
    <w:p w:rsidR="000B5C96" w:rsidRPr="00515C0E" w:rsidRDefault="000B5C96" w:rsidP="003F606A">
      <w:pPr>
        <w:pStyle w:val="Footnotes"/>
        <w:numPr>
          <w:ilvl w:val="0"/>
          <w:numId w:val="0"/>
        </w:numPr>
        <w:ind w:left="284" w:hanging="284"/>
      </w:pPr>
      <w:r>
        <w:t>-</w:t>
      </w:r>
      <w:r>
        <w:tab/>
      </w:r>
      <w:r w:rsidRPr="00515C0E">
        <w:t>Indicates nil.</w:t>
      </w:r>
    </w:p>
    <w:p w:rsidR="000B5C96" w:rsidRPr="00932EA9" w:rsidRDefault="000B5C96" w:rsidP="000B5C96">
      <w:pPr>
        <w:pStyle w:val="Footnotes"/>
        <w:numPr>
          <w:ilvl w:val="0"/>
          <w:numId w:val="128"/>
        </w:numPr>
        <w:rPr>
          <w:rFonts w:eastAsia="Times New Roman"/>
          <w:i/>
          <w:lang w:eastAsia="en-AU"/>
        </w:rPr>
        <w:sectPr w:rsidR="000B5C96" w:rsidRPr="00932EA9"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55" w:name="_Toc458002007"/>
      <w:bookmarkStart w:id="256" w:name="_Toc458069492"/>
      <w:r>
        <w:t>GRN103: Innovation nation - Set up an Innovation Commissioner</w:t>
      </w:r>
      <w:bookmarkEnd w:id="255"/>
      <w:bookmarkEnd w:id="256"/>
    </w:p>
    <w:p w:rsidR="000B5C96" w:rsidRPr="008C5B57" w:rsidRDefault="000B5C96" w:rsidP="003F606A">
      <w:pPr>
        <w:pStyle w:val="BodyText"/>
      </w:pPr>
      <w:r>
        <w:rPr>
          <w:noProof/>
          <w:lang w:eastAsia="en-AU"/>
        </w:rPr>
        <w:drawing>
          <wp:inline distT="0" distB="0" distL="0" distR="0" wp14:anchorId="3685562E" wp14:editId="3447FA74">
            <wp:extent cx="2696845" cy="572135"/>
            <wp:effectExtent l="0" t="0" r="8255" b="0"/>
            <wp:docPr id="495" name="Picture 49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C21ED" w:rsidRDefault="000B5C96" w:rsidP="000B5C96">
      <w:pPr>
        <w:pStyle w:val="Heading6"/>
        <w:numPr>
          <w:ilvl w:val="0"/>
          <w:numId w:val="5"/>
        </w:numPr>
        <w:tabs>
          <w:tab w:val="right" w:pos="1418"/>
          <w:tab w:val="right" w:pos="1701"/>
          <w:tab w:val="right" w:pos="1985"/>
        </w:tabs>
      </w:pPr>
      <w:r w:rsidRPr="00002D5D">
        <w:t>Policy costing—</w:t>
      </w:r>
      <w:r>
        <w:t>2016 post-election report</w:t>
      </w:r>
    </w:p>
    <w:tbl>
      <w:tblPr>
        <w:tblStyle w:val="Style1"/>
        <w:tblW w:w="5000" w:type="pct"/>
        <w:tblLook w:val="04A0" w:firstRow="1" w:lastRow="0" w:firstColumn="1" w:lastColumn="0" w:noHBand="0" w:noVBand="1"/>
      </w:tblPr>
      <w:tblGrid>
        <w:gridCol w:w="3081"/>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sz w:val="22"/>
              </w:rPr>
            </w:pPr>
            <w:r w:rsidRPr="00EA7F7A">
              <w:rPr>
                <w:b/>
                <w:sz w:val="22"/>
              </w:rPr>
              <w:t>Name of proposal:</w:t>
            </w:r>
          </w:p>
        </w:tc>
        <w:tc>
          <w:tcPr>
            <w:tcW w:w="3194" w:type="pct"/>
          </w:tcPr>
          <w:p w:rsidR="000B5C96" w:rsidRPr="00EA7F7A" w:rsidRDefault="000B5C96" w:rsidP="003F606A">
            <w:pPr>
              <w:pStyle w:val="PullOutBoxHeading"/>
              <w:rPr>
                <w:b/>
                <w:sz w:val="22"/>
              </w:rPr>
            </w:pPr>
            <w:r w:rsidRPr="00EA7F7A">
              <w:rPr>
                <w:b/>
                <w:sz w:val="22"/>
              </w:rPr>
              <w:t>Innovation nation - Set up an Innovation Commissioner</w:t>
            </w:r>
          </w:p>
        </w:tc>
      </w:tr>
      <w:tr w:rsidR="000B5C96" w:rsidRPr="00281E20" w:rsidTr="003F606A">
        <w:tc>
          <w:tcPr>
            <w:tcW w:w="1806" w:type="pct"/>
          </w:tcPr>
          <w:p w:rsidR="000B5C96" w:rsidRPr="00281E20" w:rsidRDefault="000B5C96" w:rsidP="003F606A">
            <w:pPr>
              <w:pStyle w:val="PullOutBoxBodyText"/>
            </w:pPr>
            <w:r w:rsidRPr="00281E20">
              <w:t>Summary of proposal:</w:t>
            </w:r>
          </w:p>
        </w:tc>
        <w:tc>
          <w:tcPr>
            <w:tcW w:w="3194" w:type="pct"/>
          </w:tcPr>
          <w:p w:rsidR="000B5C96" w:rsidRDefault="000B5C96" w:rsidP="003F606A">
            <w:pPr>
              <w:pStyle w:val="PullOutBoxBodyText"/>
            </w:pPr>
            <w:r w:rsidRPr="00AF4491">
              <w:t>The proposal would set up an Innovation Commissioner to work with industry, universities, business, government agencies and Innovation and Science Australia to advance the innovation agenda.</w:t>
            </w:r>
          </w:p>
          <w:p w:rsidR="000B5C96" w:rsidRPr="00752FC3" w:rsidRDefault="000B5C96" w:rsidP="003F606A">
            <w:pPr>
              <w:pStyle w:val="PullOutBoxBodyText"/>
            </w:pPr>
            <w:r>
              <w:t>The Innovation Commissioner would also be responsible for developing a comprehensive innovation strategy, including a National Social Innovation Strategy.</w:t>
            </w:r>
          </w:p>
          <w:p w:rsidR="000B5C96" w:rsidRPr="004C6542" w:rsidRDefault="000B5C96" w:rsidP="003F606A">
            <w:pPr>
              <w:pStyle w:val="PullOutBoxBodyText"/>
            </w:pPr>
            <w:r w:rsidRPr="001430CC">
              <w:t xml:space="preserve">The proposal would have effect from </w:t>
            </w:r>
            <w:r>
              <w:t>1 July 2017</w:t>
            </w:r>
            <w:r w:rsidRPr="001430CC">
              <w:t>.</w:t>
            </w:r>
          </w:p>
        </w:tc>
      </w:tr>
      <w:tr w:rsidR="000B5C96" w:rsidRPr="00281E20" w:rsidTr="003F606A">
        <w:tc>
          <w:tcPr>
            <w:tcW w:w="1806" w:type="pct"/>
          </w:tcPr>
          <w:p w:rsidR="000B5C96" w:rsidRPr="00281E20" w:rsidRDefault="000B5C96" w:rsidP="003F606A">
            <w:pPr>
              <w:pStyle w:val="PullOutBoxBodyText"/>
            </w:pPr>
            <w:r w:rsidRPr="00281E20">
              <w:t>Party</w:t>
            </w:r>
            <w:r>
              <w:t>:</w:t>
            </w:r>
          </w:p>
        </w:tc>
        <w:tc>
          <w:tcPr>
            <w:tcW w:w="3194" w:type="pct"/>
          </w:tcPr>
          <w:p w:rsidR="000B5C96" w:rsidRPr="00752FC3" w:rsidRDefault="000B5C96" w:rsidP="003F606A">
            <w:pPr>
              <w:pStyle w:val="PullOutBoxBodyText"/>
            </w:pPr>
            <w:r>
              <w:t>Australian Greens</w:t>
            </w:r>
          </w:p>
        </w:tc>
      </w:tr>
      <w:tr w:rsidR="000B5C96" w:rsidRPr="00281E20" w:rsidTr="003F606A">
        <w:tc>
          <w:tcPr>
            <w:tcW w:w="1806" w:type="pct"/>
          </w:tcPr>
          <w:p w:rsidR="000B5C96" w:rsidRPr="00281E20" w:rsidRDefault="000B5C96" w:rsidP="003F606A">
            <w:pPr>
              <w:pStyle w:val="PullOutBoxBodyText"/>
            </w:pPr>
            <w:r w:rsidRPr="00281E20">
              <w:t>Expiry date for the costing:</w:t>
            </w:r>
          </w:p>
        </w:tc>
        <w:tc>
          <w:tcPr>
            <w:tcW w:w="3194" w:type="pct"/>
          </w:tcPr>
          <w:p w:rsidR="000B5C96" w:rsidRPr="00752FC3" w:rsidRDefault="000B5C96" w:rsidP="003F606A">
            <w:pPr>
              <w:pStyle w:val="PullOutBoxBodyText"/>
            </w:pPr>
            <w:r>
              <w:t>R</w:t>
            </w:r>
            <w:r w:rsidRPr="0064604B">
              <w:t xml:space="preserve">elease of the </w:t>
            </w:r>
            <w:r>
              <w:t>next economic and fiscal update</w:t>
            </w:r>
          </w:p>
        </w:tc>
      </w:tr>
    </w:tbl>
    <w:p w:rsidR="000B5C96" w:rsidRPr="00002D5D" w:rsidRDefault="000B5C96" w:rsidP="003F606A">
      <w:pPr>
        <w:pStyle w:val="CostingsH7"/>
      </w:pPr>
      <w:r w:rsidRPr="00002D5D">
        <w:t>Costing overview</w:t>
      </w:r>
    </w:p>
    <w:p w:rsidR="000B5C96" w:rsidRDefault="000B5C96" w:rsidP="003F606A">
      <w:pPr>
        <w:pStyle w:val="BodyText"/>
      </w:pPr>
      <w:r>
        <w:t xml:space="preserve">This proposal would be expected to decrease both the fiscal and underlying cash balances by </w:t>
      </w:r>
      <w:r w:rsidRPr="001430CC">
        <w:t>$</w:t>
      </w:r>
      <w:r>
        <w:t>3</w:t>
      </w:r>
      <w:r w:rsidRPr="001430CC">
        <w:t>.</w:t>
      </w:r>
      <w:r>
        <w:t>1 </w:t>
      </w:r>
      <w:r w:rsidRPr="001430CC">
        <w:t xml:space="preserve">million over the 2016-17 Budget forward </w:t>
      </w:r>
      <w:r>
        <w:t>estimates period.  This reflects an increase in Departmental expenses only.  This impact includes ongoing expenditure of around $0.9 million per annum associated with the appointment of the Innovation Commissioner (and the provision of support staff) and additional expenditure of $0.4 million in 2017-18 for the development of the National Social Innovation Strategy.</w:t>
      </w:r>
    </w:p>
    <w:p w:rsidR="000B5C96" w:rsidRPr="00002D5D" w:rsidRDefault="000B5C96" w:rsidP="003F606A">
      <w:pPr>
        <w:pStyle w:val="BodyText"/>
        <w:rPr>
          <w:highlight w:val="yellow"/>
        </w:rPr>
      </w:pPr>
      <w:r>
        <w:t>This costing is considered to be of high reliability as it is based on the cost of similar existing commissioners.</w:t>
      </w:r>
    </w:p>
    <w:p w:rsidR="000B5C96" w:rsidRPr="00FC6579" w:rsidRDefault="000B5C96" w:rsidP="003F606A">
      <w:pPr>
        <w:pStyle w:val="Caption"/>
      </w:pPr>
      <w:r w:rsidRPr="00FC6579">
        <w:t>Table 1: Financial implications (outturn prices)</w:t>
      </w:r>
      <w:r w:rsidRPr="00B46F22">
        <w:rPr>
          <w:vertAlign w:val="superscript"/>
        </w:rPr>
        <w:t>(a)</w:t>
      </w:r>
      <w:r>
        <w:rPr>
          <w:vertAlign w:val="superscript"/>
        </w:rPr>
        <w:t>(b)</w:t>
      </w:r>
    </w:p>
    <w:tbl>
      <w:tblPr>
        <w:tblStyle w:val="TableGrid"/>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6"/>
        <w:gridCol w:w="1134"/>
        <w:gridCol w:w="1135"/>
        <w:gridCol w:w="1135"/>
        <w:gridCol w:w="1135"/>
        <w:gridCol w:w="1133"/>
      </w:tblGrid>
      <w:tr w:rsidR="000B5C96" w:rsidRPr="003D1FBF"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3D1FBF" w:rsidRDefault="000B5C96" w:rsidP="003F606A">
            <w:pPr>
              <w:pStyle w:val="TableText"/>
              <w:keepNext/>
              <w:keepLines/>
              <w:spacing w:line="240" w:lineRule="auto"/>
              <w:ind w:left="57" w:right="57"/>
              <w:rPr>
                <w:rFonts w:ascii="Calibri" w:hAnsi="Calibri"/>
                <w:color w:val="auto"/>
                <w:szCs w:val="20"/>
              </w:rPr>
            </w:pPr>
            <w:r w:rsidRPr="003D1FBF">
              <w:rPr>
                <w:rFonts w:ascii="Calibri" w:hAnsi="Calibri"/>
                <w:color w:val="auto"/>
                <w:szCs w:val="20"/>
              </w:rPr>
              <w:t>Impact on ($m)</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3D1FBF"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3D1FBF">
              <w:rPr>
                <w:rFonts w:ascii="Calibri" w:hAnsi="Calibri"/>
                <w:color w:val="auto"/>
                <w:szCs w:val="20"/>
              </w:rPr>
              <w:t>2016–17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3D1FBF"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3D1FBF">
              <w:rPr>
                <w:rFonts w:ascii="Calibri" w:hAnsi="Calibri"/>
                <w:color w:val="auto"/>
                <w:szCs w:val="20"/>
              </w:rPr>
              <w:t>2017–18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3D1FBF"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3D1FBF">
              <w:rPr>
                <w:rFonts w:ascii="Calibri" w:hAnsi="Calibri"/>
                <w:color w:val="auto"/>
                <w:szCs w:val="20"/>
              </w:rPr>
              <w:t>2018–19</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3D1FBF"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3D1FBF">
              <w:rPr>
                <w:rFonts w:ascii="Calibri" w:hAnsi="Calibri"/>
                <w:color w:val="auto"/>
                <w:szCs w:val="20"/>
              </w:rPr>
              <w:t>2019–20</w:t>
            </w:r>
          </w:p>
        </w:tc>
        <w:tc>
          <w:tcPr>
            <w:tcW w:w="68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3D1FBF"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3D1FBF">
              <w:rPr>
                <w:rFonts w:ascii="Calibri" w:hAnsi="Calibri"/>
                <w:b/>
                <w:color w:val="auto"/>
                <w:szCs w:val="20"/>
              </w:rPr>
              <w:t>Total</w:t>
            </w:r>
          </w:p>
        </w:tc>
      </w:tr>
      <w:tr w:rsidR="000B5C96" w:rsidRPr="001430CC"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1430CC" w:rsidRDefault="000B5C96" w:rsidP="003F606A">
            <w:pPr>
              <w:pStyle w:val="TableTextCentred"/>
              <w:keepNext/>
              <w:keepLines/>
              <w:spacing w:line="240" w:lineRule="auto"/>
              <w:ind w:left="57" w:right="57"/>
              <w:jc w:val="left"/>
              <w:rPr>
                <w:szCs w:val="20"/>
              </w:rPr>
            </w:pPr>
            <w:r w:rsidRPr="001430CC">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1430CC"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Cs/>
                <w:color w:val="000000"/>
                <w:szCs w:val="20"/>
              </w:rPr>
            </w:pPr>
            <w:r w:rsidRPr="001430CC">
              <w:rPr>
                <w:bCs/>
                <w:color w:val="000000"/>
                <w:szCs w:val="20"/>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1430CC"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Cs/>
                <w:color w:val="000000"/>
                <w:szCs w:val="20"/>
              </w:rPr>
            </w:pPr>
            <w:r w:rsidRPr="001430CC">
              <w:rPr>
                <w:bCs/>
                <w:color w:val="000000"/>
                <w:szCs w:val="20"/>
              </w:rPr>
              <w:t>-</w:t>
            </w:r>
            <w:r>
              <w:rPr>
                <w:bCs/>
                <w:color w:val="000000"/>
                <w:szCs w:val="20"/>
              </w:rPr>
              <w:t>1</w:t>
            </w:r>
            <w:r w:rsidRPr="001430CC">
              <w:rPr>
                <w:bCs/>
                <w:color w:val="000000"/>
                <w:szCs w:val="20"/>
              </w:rPr>
              <w:t>.</w:t>
            </w:r>
            <w:r>
              <w:rPr>
                <w:bCs/>
                <w:color w:val="000000"/>
                <w:szCs w:val="20"/>
              </w:rPr>
              <w:t>3</w:t>
            </w:r>
            <w:r w:rsidRPr="001430CC">
              <w:rPr>
                <w:bCs/>
                <w:color w:val="000000"/>
                <w:szCs w:val="20"/>
              </w:rPr>
              <w:t xml:space="preserve"> </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1430CC"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Cs/>
                <w:color w:val="000000"/>
                <w:szCs w:val="20"/>
              </w:rPr>
            </w:pPr>
            <w:r w:rsidRPr="001430CC">
              <w:rPr>
                <w:bCs/>
                <w:color w:val="000000"/>
                <w:szCs w:val="20"/>
              </w:rPr>
              <w:t xml:space="preserve">-0.9 </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1430CC"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Cs/>
                <w:color w:val="000000"/>
                <w:szCs w:val="20"/>
              </w:rPr>
            </w:pPr>
            <w:r w:rsidRPr="001430CC">
              <w:rPr>
                <w:bCs/>
                <w:color w:val="000000"/>
                <w:szCs w:val="20"/>
              </w:rPr>
              <w:t xml:space="preserve">-0.9 </w:t>
            </w:r>
          </w:p>
        </w:tc>
        <w:tc>
          <w:tcPr>
            <w:tcW w:w="681"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1430CC" w:rsidRDefault="000B5C96" w:rsidP="003F606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bCs/>
                <w:color w:val="000000"/>
                <w:szCs w:val="20"/>
              </w:rPr>
            </w:pPr>
            <w:r>
              <w:rPr>
                <w:b/>
                <w:bCs/>
                <w:color w:val="000000"/>
                <w:szCs w:val="20"/>
              </w:rPr>
              <w:t>-3</w:t>
            </w:r>
            <w:r w:rsidRPr="001430CC">
              <w:rPr>
                <w:b/>
                <w:bCs/>
                <w:color w:val="000000"/>
                <w:szCs w:val="20"/>
              </w:rPr>
              <w:t>.</w:t>
            </w:r>
            <w:r>
              <w:rPr>
                <w:b/>
                <w:bCs/>
                <w:color w:val="000000"/>
                <w:szCs w:val="20"/>
              </w:rPr>
              <w:t>1</w:t>
            </w:r>
            <w:r w:rsidRPr="001430CC">
              <w:rPr>
                <w:b/>
                <w:bCs/>
                <w:color w:val="000000"/>
                <w:szCs w:val="20"/>
              </w:rPr>
              <w:t xml:space="preserve"> </w:t>
            </w:r>
          </w:p>
        </w:tc>
      </w:tr>
      <w:tr w:rsidR="000B5C96" w:rsidRPr="001430CC" w:rsidTr="003F606A">
        <w:trPr>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1430CC" w:rsidRDefault="000B5C96" w:rsidP="003F606A">
            <w:pPr>
              <w:pStyle w:val="TableTextCentred"/>
              <w:keepNext/>
              <w:keepLines/>
              <w:spacing w:line="240" w:lineRule="auto"/>
              <w:ind w:left="57" w:right="57"/>
              <w:jc w:val="left"/>
              <w:rPr>
                <w:szCs w:val="20"/>
              </w:rPr>
            </w:pPr>
            <w:r w:rsidRPr="001430CC">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1430C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Cs/>
                <w:color w:val="000000"/>
                <w:szCs w:val="20"/>
              </w:rPr>
            </w:pPr>
            <w:r w:rsidRPr="001430CC">
              <w:rPr>
                <w:bCs/>
                <w:color w:val="000000"/>
                <w:szCs w:val="20"/>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1430C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Cs/>
                <w:color w:val="000000"/>
                <w:szCs w:val="20"/>
              </w:rPr>
            </w:pPr>
            <w:r>
              <w:rPr>
                <w:bCs/>
                <w:color w:val="000000"/>
                <w:szCs w:val="20"/>
              </w:rPr>
              <w:t>-1</w:t>
            </w:r>
            <w:r w:rsidRPr="001430CC">
              <w:rPr>
                <w:bCs/>
                <w:color w:val="000000"/>
                <w:szCs w:val="20"/>
              </w:rPr>
              <w:t>.</w:t>
            </w:r>
            <w:r>
              <w:rPr>
                <w:bCs/>
                <w:color w:val="000000"/>
                <w:szCs w:val="20"/>
              </w:rPr>
              <w:t>3</w:t>
            </w:r>
            <w:r w:rsidRPr="001430CC">
              <w:rPr>
                <w:bCs/>
                <w:color w:val="000000"/>
                <w:szCs w:val="20"/>
              </w:rPr>
              <w:t xml:space="preserve"> </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1430C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Cs/>
                <w:color w:val="000000"/>
                <w:szCs w:val="20"/>
              </w:rPr>
            </w:pPr>
            <w:r w:rsidRPr="001430CC">
              <w:rPr>
                <w:bCs/>
                <w:color w:val="000000"/>
                <w:szCs w:val="20"/>
              </w:rPr>
              <w:t xml:space="preserve">-0.9 </w:t>
            </w:r>
          </w:p>
        </w:tc>
        <w:tc>
          <w:tcPr>
            <w:tcW w:w="682"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1430C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Cs/>
                <w:color w:val="000000"/>
                <w:szCs w:val="20"/>
              </w:rPr>
            </w:pPr>
            <w:r w:rsidRPr="001430CC">
              <w:rPr>
                <w:bCs/>
                <w:color w:val="000000"/>
                <w:szCs w:val="20"/>
              </w:rPr>
              <w:t xml:space="preserve">-0.9 </w:t>
            </w:r>
          </w:p>
        </w:tc>
        <w:tc>
          <w:tcPr>
            <w:tcW w:w="681" w:type="pct"/>
            <w:tcBorders>
              <w:top w:val="single" w:sz="4" w:space="0" w:color="788184"/>
              <w:left w:val="single" w:sz="4" w:space="0" w:color="788184"/>
              <w:bottom w:val="single" w:sz="4" w:space="0" w:color="788184"/>
              <w:right w:val="single" w:sz="4" w:space="0" w:color="788184"/>
            </w:tcBorders>
            <w:shd w:val="clear" w:color="auto" w:fill="auto"/>
            <w:vAlign w:val="bottom"/>
          </w:tcPr>
          <w:p w:rsidR="000B5C96" w:rsidRPr="001430CC" w:rsidRDefault="000B5C96" w:rsidP="003F606A">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bCs/>
                <w:color w:val="000000"/>
                <w:szCs w:val="20"/>
              </w:rPr>
            </w:pPr>
            <w:r>
              <w:rPr>
                <w:b/>
                <w:bCs/>
                <w:color w:val="000000"/>
                <w:szCs w:val="20"/>
              </w:rPr>
              <w:t>-3</w:t>
            </w:r>
            <w:r w:rsidRPr="001430CC">
              <w:rPr>
                <w:b/>
                <w:bCs/>
                <w:color w:val="000000"/>
                <w:szCs w:val="20"/>
              </w:rPr>
              <w:t>.</w:t>
            </w:r>
            <w:r>
              <w:rPr>
                <w:b/>
                <w:bCs/>
                <w:color w:val="000000"/>
                <w:szCs w:val="20"/>
              </w:rPr>
              <w:t>1</w:t>
            </w:r>
            <w:r w:rsidRPr="001430CC">
              <w:rPr>
                <w:b/>
                <w:bCs/>
                <w:color w:val="000000"/>
                <w:szCs w:val="20"/>
              </w:rPr>
              <w:t xml:space="preserve"> </w:t>
            </w:r>
          </w:p>
        </w:tc>
      </w:tr>
    </w:tbl>
    <w:p w:rsidR="000B5C96" w:rsidRDefault="000B5C96" w:rsidP="00555964">
      <w:pPr>
        <w:pStyle w:val="Footnotes"/>
        <w:numPr>
          <w:ilvl w:val="0"/>
          <w:numId w:val="365"/>
        </w:numPr>
        <w:ind w:left="0" w:firstLine="284"/>
      </w:pPr>
      <w:r w:rsidRPr="006C7184">
        <w:t>A positive number indicates an increase in the relevant budget balance, a negative number a decrease.</w:t>
      </w:r>
    </w:p>
    <w:p w:rsidR="000B5C96" w:rsidRPr="006C7184" w:rsidRDefault="000B5C96" w:rsidP="000B5C96">
      <w:pPr>
        <w:pStyle w:val="Footnotes"/>
        <w:numPr>
          <w:ilvl w:val="0"/>
          <w:numId w:val="7"/>
        </w:numPr>
        <w:ind w:left="284" w:hanging="284"/>
      </w:pPr>
      <w:r>
        <w:t>Figures may not sum to totals due to rounding.</w:t>
      </w:r>
    </w:p>
    <w:p w:rsidR="000B5C96" w:rsidRPr="006C7184" w:rsidRDefault="000B5C96" w:rsidP="000B5C96">
      <w:pPr>
        <w:pStyle w:val="Footnotes"/>
        <w:numPr>
          <w:ilvl w:val="0"/>
          <w:numId w:val="121"/>
        </w:numPr>
        <w:ind w:left="284" w:hanging="284"/>
      </w:pPr>
      <w:r w:rsidRPr="006C7184">
        <w:t>Indicates nil.</w:t>
      </w:r>
    </w:p>
    <w:p w:rsidR="000B5C96" w:rsidRPr="00FC6579" w:rsidRDefault="000B5C96" w:rsidP="003F606A">
      <w:pPr>
        <w:pStyle w:val="CostingsH7"/>
      </w:pPr>
      <w:r w:rsidRPr="00FC6579">
        <w:t>Key assumptions</w:t>
      </w:r>
    </w:p>
    <w:p w:rsidR="000B5C96" w:rsidRDefault="000B5C96" w:rsidP="003F606A">
      <w:pPr>
        <w:pStyle w:val="BodyText"/>
      </w:pPr>
      <w:r>
        <w:t xml:space="preserve">It has been assumed that: </w:t>
      </w:r>
    </w:p>
    <w:p w:rsidR="000B5C96" w:rsidRDefault="000B5C96" w:rsidP="000B5C96">
      <w:pPr>
        <w:pStyle w:val="ListBullet"/>
        <w:numPr>
          <w:ilvl w:val="0"/>
          <w:numId w:val="123"/>
        </w:numPr>
        <w:ind w:left="454" w:hanging="454"/>
      </w:pPr>
      <w:r>
        <w:t>the Innovation Commissioner would be provided with support staff</w:t>
      </w:r>
    </w:p>
    <w:p w:rsidR="000B5C96" w:rsidRPr="00002D5D" w:rsidRDefault="000B5C96" w:rsidP="000B5C96">
      <w:pPr>
        <w:pStyle w:val="ListBullet"/>
        <w:numPr>
          <w:ilvl w:val="0"/>
          <w:numId w:val="123"/>
        </w:numPr>
        <w:ind w:left="454" w:hanging="454"/>
      </w:pPr>
      <w:r>
        <w:t>additional funding would be provided in 2017</w:t>
      </w:r>
      <w:r>
        <w:noBreakHyphen/>
        <w:t>18 for the development of the National Social Innovation Strategy.</w:t>
      </w:r>
    </w:p>
    <w:p w:rsidR="000B5C96" w:rsidRPr="00FC6579" w:rsidRDefault="000B5C96" w:rsidP="003F606A">
      <w:pPr>
        <w:pStyle w:val="CostingsH7"/>
      </w:pPr>
      <w:r w:rsidRPr="00FC6579">
        <w:t>Methodology</w:t>
      </w:r>
    </w:p>
    <w:p w:rsidR="000B5C96" w:rsidRPr="00002D5D" w:rsidRDefault="000B5C96" w:rsidP="003F606A">
      <w:pPr>
        <w:pStyle w:val="BodyText"/>
      </w:pPr>
      <w:r w:rsidRPr="00AF4491">
        <w:t xml:space="preserve">Departmental expenditure estimates are based on costs associated with existing disability commissioners (including support staff estimates). </w:t>
      </w:r>
      <w:r>
        <w:t xml:space="preserve"> </w:t>
      </w:r>
      <w:r w:rsidRPr="00AF4491">
        <w:t>Estimates account for the net effect of indexation parameters and the efficiency dividend, in accordance with the Department of Finance’s costing practices.</w:t>
      </w:r>
    </w:p>
    <w:p w:rsidR="000B5C96" w:rsidRPr="00FC6579" w:rsidRDefault="000B5C96" w:rsidP="003F606A">
      <w:pPr>
        <w:pStyle w:val="CostingsH7"/>
      </w:pPr>
      <w:r w:rsidRPr="00FC6579">
        <w:t>Data sources</w:t>
      </w:r>
    </w:p>
    <w:p w:rsidR="000B5C96" w:rsidRDefault="000B5C96" w:rsidP="003F606A">
      <w:pPr>
        <w:pStyle w:val="BodyText"/>
      </w:pPr>
      <w:r>
        <w:t xml:space="preserve">Department of Finance provided indexation and efficiency dividend parameters. </w:t>
      </w:r>
    </w:p>
    <w:p w:rsidR="000B5C96" w:rsidRDefault="000B5C96" w:rsidP="003F606A">
      <w:pPr>
        <w:pStyle w:val="BodyText"/>
      </w:pPr>
      <w:r w:rsidRPr="009E696B">
        <w:t xml:space="preserve">Determination 2015/10: Judicial and Related Offices – Remuneration and Allowances </w:t>
      </w:r>
      <w:hyperlink r:id="rId692" w:history="1">
        <w:r w:rsidRPr="00DD1BCF">
          <w:rPr>
            <w:rStyle w:val="Hyperlink"/>
          </w:rPr>
          <w:t>http://remtribunal.gov.au/media/documents/2016/2015-determinations/2015-10-principal-determination-judicial-and-related-offices-remuneration-and-allowances/2015-10-Judicial-and-Related-Det-1-July-2015.pdf</w:t>
        </w:r>
      </w:hyperlink>
      <w:r>
        <w:rPr>
          <w:color w:val="0000FF"/>
        </w:rPr>
        <w:t>.</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57" w:name="_Toc458002008"/>
      <w:bookmarkStart w:id="258" w:name="_Toc458069493"/>
      <w:r>
        <w:t>GRN104: Homelessness Services Action Plan</w:t>
      </w:r>
      <w:bookmarkEnd w:id="257"/>
      <w:bookmarkEnd w:id="258"/>
    </w:p>
    <w:p w:rsidR="000B5C96" w:rsidRPr="008C5B57" w:rsidRDefault="000B5C96" w:rsidP="003F606A">
      <w:pPr>
        <w:pStyle w:val="BodyText"/>
      </w:pPr>
      <w:r>
        <w:rPr>
          <w:noProof/>
          <w:lang w:eastAsia="en-AU"/>
        </w:rPr>
        <w:drawing>
          <wp:inline distT="0" distB="0" distL="0" distR="0" wp14:anchorId="48600284" wp14:editId="264D5BA5">
            <wp:extent cx="2696845" cy="572135"/>
            <wp:effectExtent l="0" t="0" r="8255" b="0"/>
            <wp:docPr id="71" name="Picture 7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C21ED" w:rsidRDefault="000B5C96" w:rsidP="000B5C96">
      <w:pPr>
        <w:pStyle w:val="Heading6"/>
        <w:numPr>
          <w:ilvl w:val="0"/>
          <w:numId w:val="5"/>
        </w:numPr>
        <w:tabs>
          <w:tab w:val="right" w:pos="1418"/>
          <w:tab w:val="right" w:pos="1701"/>
          <w:tab w:val="right" w:pos="1985"/>
        </w:tabs>
      </w:pPr>
      <w:r w:rsidRPr="00002D5D">
        <w:t>Policy costing—</w:t>
      </w:r>
      <w:r>
        <w:t>2016 post-election report</w:t>
      </w:r>
    </w:p>
    <w:tbl>
      <w:tblPr>
        <w:tblStyle w:val="Style1"/>
        <w:tblW w:w="5000" w:type="pct"/>
        <w:tblLook w:val="04A0" w:firstRow="1" w:lastRow="0" w:firstColumn="1" w:lastColumn="0" w:noHBand="0" w:noVBand="1"/>
      </w:tblPr>
      <w:tblGrid>
        <w:gridCol w:w="3081"/>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sz w:val="22"/>
              </w:rPr>
            </w:pPr>
            <w:r w:rsidRPr="00EA7F7A">
              <w:rPr>
                <w:b/>
                <w:sz w:val="22"/>
              </w:rPr>
              <w:t>Name of proposal:</w:t>
            </w:r>
          </w:p>
        </w:tc>
        <w:tc>
          <w:tcPr>
            <w:tcW w:w="3194" w:type="pct"/>
          </w:tcPr>
          <w:p w:rsidR="000B5C96" w:rsidRPr="00EA7F7A" w:rsidRDefault="000B5C96" w:rsidP="003F606A">
            <w:pPr>
              <w:pStyle w:val="PullOutBoxHeading"/>
              <w:rPr>
                <w:b/>
                <w:sz w:val="22"/>
              </w:rPr>
            </w:pPr>
            <w:r w:rsidRPr="00EA7F7A">
              <w:rPr>
                <w:b/>
                <w:sz w:val="22"/>
              </w:rPr>
              <w:t>Homelessness Services Action Plan</w:t>
            </w:r>
          </w:p>
        </w:tc>
      </w:tr>
      <w:tr w:rsidR="000B5C96" w:rsidRPr="002D40E9" w:rsidTr="003F606A">
        <w:tc>
          <w:tcPr>
            <w:tcW w:w="1806" w:type="pct"/>
          </w:tcPr>
          <w:p w:rsidR="000B5C96" w:rsidRPr="002D40E9" w:rsidRDefault="000B5C96" w:rsidP="003F606A">
            <w:pPr>
              <w:pStyle w:val="PullOutBoxBodyText"/>
            </w:pPr>
            <w:r w:rsidRPr="002D40E9">
              <w:t>Summary of proposal:</w:t>
            </w:r>
          </w:p>
        </w:tc>
        <w:tc>
          <w:tcPr>
            <w:tcW w:w="3194" w:type="pct"/>
          </w:tcPr>
          <w:p w:rsidR="000B5C96" w:rsidRPr="002D40E9" w:rsidRDefault="000B5C96" w:rsidP="003F606A">
            <w:pPr>
              <w:pStyle w:val="PullOutBoxBodyText"/>
            </w:pPr>
            <w:r w:rsidRPr="002D40E9">
              <w:t>The proposal would increase the amount of funding for homelessness services provided by the Australian Government over 10 years.  In particular, funding for Street Outreach, Street to Home initiatives, and intervention and prevention programs provided under the original National Partnership Agreement on Homelessness (NPAH) funding would be doubled from 2012-13 levels.</w:t>
            </w:r>
          </w:p>
          <w:p w:rsidR="000B5C96" w:rsidRPr="002D40E9" w:rsidRDefault="000B5C96" w:rsidP="003F606A">
            <w:pPr>
              <w:pStyle w:val="PullOutBoxBodyText"/>
            </w:pPr>
            <w:r w:rsidRPr="002D40E9">
              <w:t>In addition to the above, the proposal would increase the amount of Commonwealth funding for Specialist Homelessness Services (SHS) under the National Affordable Housing Agreement (NAHA) by a fixed amount of $507 million per year.</w:t>
            </w:r>
          </w:p>
          <w:p w:rsidR="000B5C96" w:rsidRPr="002D40E9" w:rsidRDefault="000B5C96" w:rsidP="003F606A">
            <w:pPr>
              <w:pStyle w:val="PullOutBoxBodyText"/>
            </w:pPr>
            <w:r w:rsidRPr="002D40E9">
              <w:t>The proposal would have effect from 1 September 2016.</w:t>
            </w:r>
          </w:p>
        </w:tc>
      </w:tr>
      <w:tr w:rsidR="000B5C96" w:rsidRPr="002D40E9" w:rsidTr="003F606A">
        <w:tc>
          <w:tcPr>
            <w:tcW w:w="1806" w:type="pct"/>
          </w:tcPr>
          <w:p w:rsidR="000B5C96" w:rsidRPr="002D40E9" w:rsidRDefault="000B5C96" w:rsidP="003F606A">
            <w:pPr>
              <w:pStyle w:val="PullOutBoxBodyText"/>
            </w:pPr>
            <w:r w:rsidRPr="002D40E9">
              <w:t>Party:</w:t>
            </w:r>
          </w:p>
        </w:tc>
        <w:tc>
          <w:tcPr>
            <w:tcW w:w="3194" w:type="pct"/>
          </w:tcPr>
          <w:p w:rsidR="000B5C96" w:rsidRPr="002D40E9" w:rsidRDefault="000B5C96" w:rsidP="003F606A">
            <w:pPr>
              <w:pStyle w:val="PullOutBoxBodyText"/>
            </w:pPr>
            <w:r w:rsidRPr="002D40E9">
              <w:t>Australian Greens</w:t>
            </w:r>
          </w:p>
        </w:tc>
      </w:tr>
      <w:tr w:rsidR="000B5C96" w:rsidRPr="002D40E9" w:rsidTr="003F606A">
        <w:tc>
          <w:tcPr>
            <w:tcW w:w="1806" w:type="pct"/>
          </w:tcPr>
          <w:p w:rsidR="000B5C96" w:rsidRPr="002D40E9" w:rsidRDefault="000B5C96" w:rsidP="003F606A">
            <w:pPr>
              <w:pStyle w:val="PullOutBoxBodyText"/>
            </w:pPr>
            <w:r w:rsidRPr="002D40E9">
              <w:t>Expiry date for the costing:</w:t>
            </w:r>
          </w:p>
        </w:tc>
        <w:tc>
          <w:tcPr>
            <w:tcW w:w="3194" w:type="pct"/>
          </w:tcPr>
          <w:p w:rsidR="000B5C96" w:rsidRPr="002D40E9" w:rsidRDefault="000B5C96" w:rsidP="003F606A">
            <w:pPr>
              <w:pStyle w:val="PullOutBoxBodyText"/>
            </w:pPr>
            <w:r w:rsidRPr="002D40E9">
              <w:t>Release of the next economic and fiscal update</w:t>
            </w:r>
          </w:p>
        </w:tc>
      </w:tr>
    </w:tbl>
    <w:p w:rsidR="000B5C96" w:rsidRPr="00AA1657" w:rsidRDefault="000B5C96" w:rsidP="003F606A">
      <w:pPr>
        <w:pStyle w:val="CostingsH7"/>
      </w:pPr>
      <w:r w:rsidRPr="00002D5D">
        <w:t>Costing overview</w:t>
      </w:r>
    </w:p>
    <w:p w:rsidR="000B5C96" w:rsidRDefault="000B5C96" w:rsidP="003F606A">
      <w:pPr>
        <w:pStyle w:val="BodyText"/>
      </w:pPr>
      <w:r>
        <w:t xml:space="preserve">The Commonwealth currently provides funding for homelessness services to the states and territories </w:t>
      </w:r>
      <w:r w:rsidRPr="005E00C5">
        <w:t xml:space="preserve">under both the </w:t>
      </w:r>
      <w:r>
        <w:t xml:space="preserve">NAHA and </w:t>
      </w:r>
      <w:r w:rsidRPr="005E00C5">
        <w:t xml:space="preserve">the </w:t>
      </w:r>
      <w:r>
        <w:t xml:space="preserve">NPAH.  This proposal would increase the amount of Commonwealth funding under these agreements over 10 years.  </w:t>
      </w:r>
    </w:p>
    <w:p w:rsidR="000B5C96" w:rsidRDefault="000B5C96" w:rsidP="003F606A">
      <w:pPr>
        <w:pStyle w:val="BodyText"/>
      </w:pPr>
      <w:r>
        <w:t>The proposal would be expected to decrease both the fiscal and underlying cash balances by $3,074 m</w:t>
      </w:r>
      <w:r w:rsidRPr="007973FC">
        <w:t>illion</w:t>
      </w:r>
      <w:r>
        <w:t xml:space="preserve"> over the 2016-17 Budget forward estimates period.  </w:t>
      </w:r>
      <w:r w:rsidRPr="001D00AD">
        <w:t>Th</w:t>
      </w:r>
      <w:r>
        <w:t>ese financial implications are</w:t>
      </w:r>
      <w:r w:rsidRPr="001D00AD">
        <w:t xml:space="preserve"> </w:t>
      </w:r>
      <w:r>
        <w:t>entirely due to</w:t>
      </w:r>
      <w:r w:rsidRPr="001D00AD">
        <w:t xml:space="preserve"> </w:t>
      </w:r>
      <w:r>
        <w:t>an</w:t>
      </w:r>
      <w:r w:rsidRPr="001D00AD">
        <w:t xml:space="preserve"> increase in administered expenditure </w:t>
      </w:r>
      <w:r>
        <w:t>over this period</w:t>
      </w:r>
      <w:r w:rsidRPr="001D00AD">
        <w:t>.</w:t>
      </w:r>
      <w:r>
        <w:t xml:space="preserve">  Departmental costs are not expected to be significant and have not been included in the costing. </w:t>
      </w:r>
    </w:p>
    <w:p w:rsidR="000B5C96" w:rsidRDefault="000B5C96" w:rsidP="003F606A">
      <w:pPr>
        <w:pStyle w:val="BodyText"/>
      </w:pPr>
      <w:r>
        <w:t>The proposal would have financial implications beyond the 2016-17 Budget forward estimates period.</w:t>
      </w:r>
    </w:p>
    <w:p w:rsidR="000B5C96" w:rsidRDefault="000B5C96" w:rsidP="003F606A">
      <w:pPr>
        <w:pStyle w:val="BodyText"/>
      </w:pPr>
      <w:r>
        <w:t>This costing is considered to be of high reliability as it is based on specified increases to existing programs, based on historical funding levels.</w:t>
      </w:r>
    </w:p>
    <w:p w:rsidR="000B5C96" w:rsidRPr="00FC6579" w:rsidRDefault="000B5C96" w:rsidP="003F606A">
      <w:pPr>
        <w:pStyle w:val="Caption"/>
      </w:pPr>
      <w:r w:rsidRPr="00FC6579">
        <w:t>Table 1: Financial implications (outturn prices)</w:t>
      </w:r>
      <w:r w:rsidRPr="00611B22">
        <w:rPr>
          <w:vertAlign w:val="superscript"/>
        </w:rPr>
        <w:t>(a)</w:t>
      </w:r>
      <w:r>
        <w:rPr>
          <w:vertAlign w:val="superscript"/>
        </w:rPr>
        <w:t>(b)</w:t>
      </w:r>
    </w:p>
    <w:tbl>
      <w:tblPr>
        <w:tblStyle w:val="TableGrid"/>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6"/>
        <w:gridCol w:w="1134"/>
        <w:gridCol w:w="1135"/>
        <w:gridCol w:w="1135"/>
        <w:gridCol w:w="1135"/>
        <w:gridCol w:w="1133"/>
      </w:tblGrid>
      <w:tr w:rsidR="000B5C96" w:rsidRPr="002D40E9"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2D40E9" w:rsidRDefault="000B5C96" w:rsidP="003F606A">
            <w:pPr>
              <w:pStyle w:val="TableText"/>
              <w:keepNext/>
              <w:keepLines/>
              <w:spacing w:line="240" w:lineRule="auto"/>
              <w:ind w:left="57" w:right="57"/>
              <w:rPr>
                <w:rFonts w:ascii="Calibri" w:hAnsi="Calibri"/>
                <w:color w:val="auto"/>
                <w:szCs w:val="20"/>
              </w:rPr>
            </w:pPr>
            <w:r w:rsidRPr="002D40E9">
              <w:rPr>
                <w:rFonts w:ascii="Calibri" w:hAnsi="Calibri"/>
                <w:color w:val="auto"/>
                <w:szCs w:val="20"/>
              </w:rPr>
              <w:t>Impact on ($m)</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2D40E9"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2D40E9">
              <w:rPr>
                <w:rFonts w:ascii="Calibri" w:hAnsi="Calibri"/>
                <w:color w:val="auto"/>
                <w:szCs w:val="20"/>
              </w:rPr>
              <w:t>2016–17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2D40E9"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2D40E9">
              <w:rPr>
                <w:rFonts w:ascii="Calibri" w:hAnsi="Calibri"/>
                <w:color w:val="auto"/>
                <w:szCs w:val="20"/>
              </w:rPr>
              <w:t>2017–18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2D40E9"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2D40E9">
              <w:rPr>
                <w:rFonts w:ascii="Calibri" w:hAnsi="Calibri"/>
                <w:color w:val="auto"/>
                <w:szCs w:val="20"/>
              </w:rPr>
              <w:t>2018–19</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2D40E9"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2D40E9">
              <w:rPr>
                <w:rFonts w:ascii="Calibri" w:hAnsi="Calibri"/>
                <w:color w:val="auto"/>
                <w:szCs w:val="20"/>
              </w:rPr>
              <w:t>2019–20</w:t>
            </w:r>
          </w:p>
        </w:tc>
        <w:tc>
          <w:tcPr>
            <w:tcW w:w="68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2D40E9"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2D40E9">
              <w:rPr>
                <w:rFonts w:ascii="Calibri" w:hAnsi="Calibri"/>
                <w:b/>
                <w:color w:val="auto"/>
                <w:szCs w:val="20"/>
              </w:rPr>
              <w:t>Total</w:t>
            </w:r>
          </w:p>
        </w:tc>
      </w:tr>
      <w:tr w:rsidR="000B5C96" w:rsidRPr="003A345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left"/>
              <w:rPr>
                <w:szCs w:val="20"/>
              </w:rPr>
            </w:pPr>
            <w:r>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Pr>
                <w:rFonts w:ascii="Calibri" w:hAnsi="Calibri"/>
                <w:szCs w:val="20"/>
              </w:rPr>
              <w:t>-593.0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Pr>
                <w:rFonts w:ascii="Calibri" w:hAnsi="Calibri"/>
                <w:szCs w:val="20"/>
              </w:rPr>
              <w:t>-827.0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Pr>
                <w:rFonts w:ascii="Calibri" w:hAnsi="Calibri"/>
                <w:szCs w:val="20"/>
              </w:rPr>
              <w:t>-827.0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Pr>
                <w:rFonts w:ascii="Calibri" w:hAnsi="Calibri"/>
                <w:szCs w:val="20"/>
              </w:rPr>
              <w:t>-827.0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C363AE"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Pr>
                <w:rFonts w:ascii="Calibri" w:hAnsi="Calibri"/>
                <w:b/>
                <w:szCs w:val="20"/>
              </w:rPr>
              <w:t>-3,074.0</w:t>
            </w:r>
          </w:p>
        </w:tc>
      </w:tr>
      <w:tr w:rsidR="000B5C96" w:rsidRPr="003A3459" w:rsidTr="003F606A">
        <w:trPr>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left"/>
              <w:rPr>
                <w:szCs w:val="20"/>
              </w:rPr>
            </w:pPr>
            <w:r>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Pr>
                <w:szCs w:val="20"/>
              </w:rPr>
              <w:t>-593.0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Pr>
                <w:szCs w:val="20"/>
              </w:rPr>
              <w:t>-827.0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Pr>
                <w:szCs w:val="20"/>
              </w:rPr>
              <w:t>-827.0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Pr>
                <w:szCs w:val="20"/>
              </w:rPr>
              <w:t>-827.0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C363AE"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Pr>
                <w:b/>
                <w:szCs w:val="20"/>
              </w:rPr>
              <w:t>-3,074.0</w:t>
            </w:r>
          </w:p>
        </w:tc>
      </w:tr>
    </w:tbl>
    <w:p w:rsidR="000B5C96" w:rsidRDefault="000B5C96" w:rsidP="00555964">
      <w:pPr>
        <w:pStyle w:val="Footnotes"/>
        <w:numPr>
          <w:ilvl w:val="0"/>
          <w:numId w:val="366"/>
        </w:numPr>
        <w:ind w:left="284" w:hanging="284"/>
      </w:pPr>
      <w:r w:rsidRPr="00CB7FF9">
        <w:t>A positive number indicates an increase in the relevant budget balance, a negative number represents a decrease.</w:t>
      </w:r>
    </w:p>
    <w:p w:rsidR="000B5C96" w:rsidRPr="00CB7FF9" w:rsidRDefault="000B5C96" w:rsidP="000B5C96">
      <w:pPr>
        <w:pStyle w:val="Footnotes"/>
        <w:numPr>
          <w:ilvl w:val="0"/>
          <w:numId w:val="7"/>
        </w:numPr>
        <w:ind w:left="284" w:hanging="284"/>
      </w:pPr>
      <w:r>
        <w:t>Figures may not sum to totals due to rounding.</w:t>
      </w:r>
    </w:p>
    <w:p w:rsidR="000B5C96" w:rsidRPr="00FC6579" w:rsidRDefault="000B5C96" w:rsidP="003F606A">
      <w:pPr>
        <w:pStyle w:val="CostingsH7"/>
      </w:pPr>
      <w:r w:rsidRPr="00FC6579">
        <w:t>Methodology</w:t>
      </w:r>
    </w:p>
    <w:p w:rsidR="000B5C96" w:rsidRDefault="000B5C96" w:rsidP="003F606A">
      <w:pPr>
        <w:pStyle w:val="BodyText"/>
      </w:pPr>
      <w:r>
        <w:t xml:space="preserve">The total cost of the proposal is the sum of the increased amounts of expenditure for each component of the proposal.  </w:t>
      </w:r>
    </w:p>
    <w:p w:rsidR="000B5C96" w:rsidRPr="003F7189" w:rsidRDefault="000B5C96" w:rsidP="003F606A">
      <w:pPr>
        <w:pStyle w:val="CostingsH8"/>
      </w:pPr>
      <w:r w:rsidRPr="003F7189">
        <w:t>National Partnership Agreement on Homelessness funding</w:t>
      </w:r>
    </w:p>
    <w:p w:rsidR="000B5C96" w:rsidRDefault="000B5C96" w:rsidP="000B5C96">
      <w:pPr>
        <w:pStyle w:val="ListBullet"/>
        <w:numPr>
          <w:ilvl w:val="0"/>
          <w:numId w:val="123"/>
        </w:numPr>
        <w:ind w:left="454" w:hanging="454"/>
      </w:pPr>
      <w:r>
        <w:t xml:space="preserve">NPAH funding for 2012-13 was $160 million.  This nominal funding level was doubled and applied to 2016-17 and later years.  </w:t>
      </w:r>
    </w:p>
    <w:p w:rsidR="000B5C96" w:rsidRPr="004F6FB4" w:rsidRDefault="000B5C96" w:rsidP="000B5C96">
      <w:pPr>
        <w:pStyle w:val="ListBullet2"/>
        <w:numPr>
          <w:ilvl w:val="0"/>
          <w:numId w:val="124"/>
        </w:numPr>
        <w:ind w:left="908" w:hanging="454"/>
      </w:pPr>
      <w:r>
        <w:t>In 2016-</w:t>
      </w:r>
      <w:r w:rsidRPr="004F6FB4">
        <w:t>17 the current level of NPAH funding provided in the budget estimates is $115 million.  The financial implication of this component of the proposal in 2016</w:t>
      </w:r>
      <w:r>
        <w:noBreakHyphen/>
      </w:r>
      <w:r w:rsidRPr="004F6FB4">
        <w:t xml:space="preserve">17 would be the difference between the budget base and the proposed new expenditure level. </w:t>
      </w:r>
    </w:p>
    <w:p w:rsidR="000B5C96" w:rsidRDefault="000B5C96" w:rsidP="000B5C96">
      <w:pPr>
        <w:pStyle w:val="ListBullet2"/>
        <w:numPr>
          <w:ilvl w:val="0"/>
          <w:numId w:val="124"/>
        </w:numPr>
        <w:ind w:left="908" w:hanging="454"/>
      </w:pPr>
      <w:r w:rsidRPr="004F6FB4">
        <w:t>Beyond 2016-17 there is currently no funding appropriated for the NPAH.  Doubling the amount of the original NPAH funding would cost the Commonwealth $320 million per year from</w:t>
      </w:r>
      <w:r>
        <w:t xml:space="preserve"> 2017</w:t>
      </w:r>
      <w:r>
        <w:noBreakHyphen/>
        <w:t xml:space="preserve">18.  </w:t>
      </w:r>
    </w:p>
    <w:p w:rsidR="000B5C96" w:rsidRPr="003F7189" w:rsidRDefault="000B5C96" w:rsidP="003F606A">
      <w:pPr>
        <w:pStyle w:val="CostingsH8"/>
      </w:pPr>
      <w:r w:rsidRPr="003F7189">
        <w:t>Special Homelessness Services</w:t>
      </w:r>
    </w:p>
    <w:p w:rsidR="000B5C96" w:rsidRDefault="000B5C96" w:rsidP="000B5C96">
      <w:pPr>
        <w:pStyle w:val="ListBullet"/>
        <w:numPr>
          <w:ilvl w:val="0"/>
          <w:numId w:val="123"/>
        </w:numPr>
        <w:ind w:left="454" w:hanging="454"/>
      </w:pPr>
      <w:r>
        <w:t xml:space="preserve">Total spending on Specialist Homelessness Services was approximately $507 million in </w:t>
      </w:r>
      <w:r>
        <w:br w:type="textWrapping" w:clear="all"/>
        <w:t xml:space="preserve">2011-12.  This included the Commonwealth contribution under both NAHA and NPAH.  As specified, an additional $507 million per year of Commonwealth funding would allow the expenditure on Specialist Homelessness Services to be doubled relative to the 2011-12 amount.  </w:t>
      </w:r>
    </w:p>
    <w:p w:rsidR="000B5C96" w:rsidRPr="00FC6579" w:rsidRDefault="000B5C96" w:rsidP="003F606A">
      <w:pPr>
        <w:pStyle w:val="CostingsH7"/>
      </w:pPr>
      <w:r w:rsidRPr="00FC6579">
        <w:t>Data sources</w:t>
      </w:r>
    </w:p>
    <w:p w:rsidR="000B5C96" w:rsidRPr="000C21A3" w:rsidRDefault="000B5C96" w:rsidP="003F606A">
      <w:pPr>
        <w:pStyle w:val="BodyText"/>
      </w:pPr>
      <w:r w:rsidRPr="000C21A3">
        <w:t>ABS Cat. No. 2049.0 - Census of Population and Housing: Estimating homelessness, 2011</w:t>
      </w:r>
      <w:r>
        <w:t>.</w:t>
      </w:r>
    </w:p>
    <w:p w:rsidR="000B5C96" w:rsidRDefault="000B5C96" w:rsidP="003F606A">
      <w:pPr>
        <w:pStyle w:val="BodyText"/>
      </w:pPr>
      <w:r>
        <w:t xml:space="preserve">Report on Government Services 2013, Chapter 17: Homelessness Services, Table 17A.2, available at: </w:t>
      </w:r>
      <w:hyperlink r:id="rId693" w:history="1">
        <w:r w:rsidRPr="006A3572">
          <w:rPr>
            <w:rStyle w:val="Hyperlink"/>
          </w:rPr>
          <w:t>http://www.pc.gov.au/research/ongoing/report-on-government-services/2013/2013</w:t>
        </w:r>
      </w:hyperlink>
      <w:r w:rsidRPr="004274E6">
        <w:rPr>
          <w:rStyle w:val="Hyperlink"/>
        </w:rPr>
        <w:t>.</w:t>
      </w:r>
    </w:p>
    <w:p w:rsidR="000B5C96" w:rsidRDefault="000B5C96" w:rsidP="003F606A">
      <w:pPr>
        <w:pStyle w:val="BodyText"/>
      </w:pPr>
      <w:r w:rsidRPr="000C21A3">
        <w:t>National Affordable Housing Agreement</w:t>
      </w:r>
      <w:r>
        <w:t>,</w:t>
      </w:r>
      <w:r w:rsidRPr="000C21A3">
        <w:t xml:space="preserve"> </w:t>
      </w:r>
      <w:r>
        <w:t xml:space="preserve">available at: </w:t>
      </w:r>
      <w:hyperlink r:id="rId694" w:history="1">
        <w:r w:rsidRPr="007E6B3B">
          <w:rPr>
            <w:rStyle w:val="Hyperlink"/>
          </w:rPr>
          <w:t>http://www.federalfinancialrelations.gov.au/content/national_agreements.aspx</w:t>
        </w:r>
      </w:hyperlink>
      <w:r>
        <w:t xml:space="preserve"> </w:t>
      </w:r>
    </w:p>
    <w:p w:rsidR="000B5C96" w:rsidRPr="00972F3C" w:rsidRDefault="000B5C96" w:rsidP="003F606A">
      <w:pPr>
        <w:pStyle w:val="BodyText"/>
        <w:rPr>
          <w:rStyle w:val="Hyperlink"/>
          <w:u w:val="none"/>
        </w:rPr>
      </w:pPr>
      <w:r w:rsidRPr="004274E6">
        <w:t>National Partnership Agreement on Homelessness – 2015-2017, available at:</w:t>
      </w:r>
      <w:r>
        <w:t xml:space="preserve"> </w:t>
      </w:r>
      <w:hyperlink r:id="rId695" w:history="1">
        <w:r w:rsidRPr="007E6B3B">
          <w:rPr>
            <w:rStyle w:val="Hyperlink"/>
          </w:rPr>
          <w:t>http://www.federalfinancialrelations.gov.au/content/npa/housing/national-partnership/homelessness_NP_2015.pdf</w:t>
        </w:r>
      </w:hyperlink>
      <w:r>
        <w:t xml:space="preserve">  </w:t>
      </w:r>
    </w:p>
    <w:p w:rsidR="000B5C96" w:rsidRPr="004274E6" w:rsidRDefault="000B5C96" w:rsidP="003F606A">
      <w:pPr>
        <w:pStyle w:val="BodyText"/>
        <w:rPr>
          <w:rStyle w:val="Hyperlink"/>
        </w:rPr>
      </w:pPr>
      <w:r w:rsidRPr="004274E6">
        <w:t xml:space="preserve">National Partnership Agreement on Homelessness (suspended), available at: </w:t>
      </w:r>
      <w:hyperlink r:id="rId696" w:history="1">
        <w:r w:rsidRPr="007E6B3B">
          <w:rPr>
            <w:rStyle w:val="Hyperlink"/>
          </w:rPr>
          <w:t>http://www.federalfinancialrelations.gov.au/content/npa/housing/national-partnership/past/homelessness_NP_superseded2.pdf</w:t>
        </w:r>
      </w:hyperlink>
      <w:r>
        <w:t xml:space="preserve"> </w:t>
      </w:r>
      <w:r w:rsidRPr="004274E6">
        <w:t xml:space="preserve"> </w:t>
      </w:r>
    </w:p>
    <w:p w:rsidR="000B5C96" w:rsidRPr="00FC6579" w:rsidRDefault="000B5C96" w:rsidP="003F606A">
      <w:pPr>
        <w:pStyle w:val="BodyText"/>
      </w:pPr>
      <w:r>
        <w:t xml:space="preserve">2016-17 Budget Paper No. 3. </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Default="000B5C96" w:rsidP="003F606A">
      <w:pPr>
        <w:pStyle w:val="Heading5"/>
      </w:pPr>
      <w:bookmarkStart w:id="259" w:name="_Toc458002009"/>
      <w:bookmarkStart w:id="260" w:name="_Toc458069494"/>
      <w:r>
        <w:t>GRN105: Protecting our Precious Places - restoration of funding for the Commonwealth Environmental Water Holder</w:t>
      </w:r>
      <w:bookmarkEnd w:id="259"/>
      <w:bookmarkEnd w:id="260"/>
    </w:p>
    <w:p w:rsidR="000B5C96" w:rsidRPr="008C5B57" w:rsidRDefault="000B5C96" w:rsidP="003F606A">
      <w:pPr>
        <w:pStyle w:val="BodyText"/>
      </w:pPr>
      <w:r>
        <w:rPr>
          <w:noProof/>
          <w:lang w:eastAsia="en-AU"/>
        </w:rPr>
        <w:drawing>
          <wp:inline distT="0" distB="0" distL="0" distR="0" wp14:anchorId="00C18CAE" wp14:editId="1C3EAA7B">
            <wp:extent cx="2696845" cy="572135"/>
            <wp:effectExtent l="0" t="0" r="8255" b="0"/>
            <wp:docPr id="72" name="Picture 7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2C21ED" w:rsidRDefault="000B5C96" w:rsidP="000B5C96">
      <w:pPr>
        <w:pStyle w:val="Heading6"/>
        <w:numPr>
          <w:ilvl w:val="0"/>
          <w:numId w:val="5"/>
        </w:numPr>
        <w:tabs>
          <w:tab w:val="right" w:pos="1418"/>
          <w:tab w:val="right" w:pos="1701"/>
          <w:tab w:val="right" w:pos="1985"/>
        </w:tabs>
      </w:pPr>
      <w:r w:rsidRPr="00002D5D">
        <w:t>Policy costing—</w:t>
      </w:r>
      <w:r>
        <w:t>2016 post-election report</w:t>
      </w:r>
    </w:p>
    <w:tbl>
      <w:tblPr>
        <w:tblStyle w:val="Style1"/>
        <w:tblW w:w="5000" w:type="pct"/>
        <w:tblLook w:val="04A0" w:firstRow="1" w:lastRow="0" w:firstColumn="1" w:lastColumn="0" w:noHBand="0" w:noVBand="1"/>
      </w:tblPr>
      <w:tblGrid>
        <w:gridCol w:w="3081"/>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sz w:val="22"/>
              </w:rPr>
            </w:pPr>
            <w:r w:rsidRPr="00EA7F7A">
              <w:rPr>
                <w:b/>
                <w:sz w:val="22"/>
              </w:rPr>
              <w:t>Name of proposal:</w:t>
            </w:r>
          </w:p>
        </w:tc>
        <w:tc>
          <w:tcPr>
            <w:tcW w:w="3194" w:type="pct"/>
          </w:tcPr>
          <w:p w:rsidR="000B5C96" w:rsidRPr="00EA7F7A" w:rsidRDefault="000B5C96" w:rsidP="003F606A">
            <w:pPr>
              <w:pStyle w:val="PullOutBoxHeading"/>
              <w:rPr>
                <w:b/>
                <w:sz w:val="22"/>
              </w:rPr>
            </w:pPr>
            <w:r w:rsidRPr="00EA7F7A">
              <w:rPr>
                <w:b/>
                <w:sz w:val="22"/>
              </w:rPr>
              <w:t>Protecting our precious places - restoration of funding for the Commonwealth Environmental Water Holder</w:t>
            </w:r>
          </w:p>
        </w:tc>
      </w:tr>
      <w:tr w:rsidR="000B5C96" w:rsidRPr="00281E20" w:rsidTr="003F606A">
        <w:tc>
          <w:tcPr>
            <w:tcW w:w="1806" w:type="pct"/>
          </w:tcPr>
          <w:p w:rsidR="000B5C96" w:rsidRPr="00281E20" w:rsidRDefault="000B5C96" w:rsidP="003F606A">
            <w:pPr>
              <w:pStyle w:val="PullOutBoxBodyText"/>
            </w:pPr>
            <w:r w:rsidRPr="00281E20">
              <w:t>Summary of proposal:</w:t>
            </w:r>
          </w:p>
        </w:tc>
        <w:tc>
          <w:tcPr>
            <w:tcW w:w="3194" w:type="pct"/>
          </w:tcPr>
          <w:p w:rsidR="000B5C96" w:rsidRDefault="000B5C96" w:rsidP="003F606A">
            <w:pPr>
              <w:pStyle w:val="PullOutBoxBodyText"/>
            </w:pPr>
            <w:r w:rsidRPr="00BB27DF">
              <w:t xml:space="preserve">The proposal would </w:t>
            </w:r>
            <w:r>
              <w:t>restore</w:t>
            </w:r>
            <w:r w:rsidRPr="00BB27DF">
              <w:t xml:space="preserve"> funding for the Commonwealth Environmental Water Holder </w:t>
            </w:r>
            <w:r>
              <w:t>to its 2015</w:t>
            </w:r>
            <w:r>
              <w:noBreakHyphen/>
            </w:r>
            <w:r w:rsidRPr="00BB27DF">
              <w:t>16 levels</w:t>
            </w:r>
            <w:r>
              <w:t xml:space="preserve"> across the forward estimates with the costs to be indexed by the Consumer Price Index (CPI) </w:t>
            </w:r>
          </w:p>
          <w:p w:rsidR="000B5C96" w:rsidRPr="00A37D10" w:rsidRDefault="000B5C96" w:rsidP="003F606A">
            <w:pPr>
              <w:pStyle w:val="PullOutBoxBodyText"/>
              <w:rPr>
                <w:sz w:val="2"/>
                <w:szCs w:val="2"/>
              </w:rPr>
            </w:pPr>
            <w:r>
              <w:t>The proposal would have effect from 1 September 2016.</w:t>
            </w:r>
          </w:p>
        </w:tc>
      </w:tr>
      <w:tr w:rsidR="000B5C96" w:rsidRPr="00281E20" w:rsidTr="003F606A">
        <w:tc>
          <w:tcPr>
            <w:tcW w:w="1806" w:type="pct"/>
          </w:tcPr>
          <w:p w:rsidR="000B5C96" w:rsidRPr="00281E20" w:rsidRDefault="000B5C96" w:rsidP="003F606A">
            <w:pPr>
              <w:pStyle w:val="PullOutBoxBodyText"/>
            </w:pPr>
            <w:r w:rsidRPr="00281E20">
              <w:t>Party</w:t>
            </w:r>
            <w:r>
              <w:t>:</w:t>
            </w:r>
          </w:p>
        </w:tc>
        <w:tc>
          <w:tcPr>
            <w:tcW w:w="3194" w:type="pct"/>
          </w:tcPr>
          <w:p w:rsidR="000B5C96" w:rsidRPr="00390FD6" w:rsidRDefault="000B5C96" w:rsidP="003F606A">
            <w:pPr>
              <w:pStyle w:val="PullOutBoxBodyText"/>
            </w:pPr>
            <w:r w:rsidRPr="00BB27DF">
              <w:t>Australian Greens</w:t>
            </w:r>
          </w:p>
        </w:tc>
      </w:tr>
      <w:tr w:rsidR="000B5C96" w:rsidRPr="00281E20" w:rsidTr="003F606A">
        <w:tc>
          <w:tcPr>
            <w:tcW w:w="1806" w:type="pct"/>
          </w:tcPr>
          <w:p w:rsidR="000B5C96" w:rsidRPr="00281E20" w:rsidRDefault="000B5C96" w:rsidP="003F606A">
            <w:pPr>
              <w:pStyle w:val="PullOutBoxBodyText"/>
            </w:pPr>
            <w:r w:rsidRPr="00281E20">
              <w:t>Expiry date for the costing:</w:t>
            </w:r>
          </w:p>
        </w:tc>
        <w:tc>
          <w:tcPr>
            <w:tcW w:w="3194" w:type="pct"/>
          </w:tcPr>
          <w:p w:rsidR="000B5C96" w:rsidRPr="00752FC3" w:rsidRDefault="000B5C96" w:rsidP="003F606A">
            <w:pPr>
              <w:pStyle w:val="PullOutBoxBodyText"/>
            </w:pPr>
            <w:r w:rsidRPr="00D17F31">
              <w:t xml:space="preserve">Release of the next economic and fiscal </w:t>
            </w:r>
            <w:r>
              <w:t>update</w:t>
            </w:r>
          </w:p>
        </w:tc>
      </w:tr>
    </w:tbl>
    <w:p w:rsidR="000B5C96" w:rsidRPr="00002D5D" w:rsidRDefault="000B5C96" w:rsidP="003F606A">
      <w:pPr>
        <w:pStyle w:val="CostingsH7"/>
      </w:pPr>
      <w:r w:rsidRPr="00002D5D">
        <w:t>Costing overview</w:t>
      </w:r>
    </w:p>
    <w:p w:rsidR="000B5C96" w:rsidRDefault="000B5C96" w:rsidP="003F606A">
      <w:pPr>
        <w:pStyle w:val="BodyText"/>
      </w:pPr>
      <w:r w:rsidRPr="00EB6CDD">
        <w:t xml:space="preserve">This proposal </w:t>
      </w:r>
      <w:r>
        <w:t>would be</w:t>
      </w:r>
      <w:r w:rsidRPr="00EB6CDD">
        <w:t xml:space="preserve"> expected to decrease the fiscal </w:t>
      </w:r>
      <w:r>
        <w:t xml:space="preserve">and </w:t>
      </w:r>
      <w:r w:rsidRPr="00EB6CDD">
        <w:t>underlying cash</w:t>
      </w:r>
      <w:r>
        <w:t xml:space="preserve"> </w:t>
      </w:r>
      <w:r w:rsidRPr="00EB6CDD">
        <w:t>balances by $</w:t>
      </w:r>
      <w:r>
        <w:t>122.0 </w:t>
      </w:r>
      <w:r w:rsidRPr="00EB6CDD">
        <w:t>million over the 2016</w:t>
      </w:r>
      <w:r w:rsidRPr="00EB6CDD">
        <w:noBreakHyphen/>
        <w:t xml:space="preserve">17 Budget forward estimates period.  </w:t>
      </w:r>
      <w:r w:rsidRPr="00980DA0">
        <w:t xml:space="preserve"> </w:t>
      </w:r>
      <w:r>
        <w:t xml:space="preserve">This is entirely due to an increase </w:t>
      </w:r>
      <w:r w:rsidRPr="00794111">
        <w:t>in departme</w:t>
      </w:r>
      <w:r>
        <w:t>ntal expenditure</w:t>
      </w:r>
      <w:r w:rsidRPr="00794111">
        <w:t>.</w:t>
      </w:r>
    </w:p>
    <w:p w:rsidR="000B5C96" w:rsidRPr="00EB6CDD" w:rsidRDefault="000B5C96" w:rsidP="003F606A">
      <w:pPr>
        <w:pStyle w:val="BodyText"/>
      </w:pPr>
      <w:r>
        <w:t>This proposal would have an ongoing financial impact beyond the 2016</w:t>
      </w:r>
      <w:r>
        <w:noBreakHyphen/>
        <w:t>17 Budget forward estimates period.</w:t>
      </w:r>
    </w:p>
    <w:p w:rsidR="000B5C96" w:rsidRPr="00002D5D" w:rsidRDefault="000B5C96" w:rsidP="003F606A">
      <w:pPr>
        <w:pStyle w:val="BodyText"/>
        <w:rPr>
          <w:highlight w:val="yellow"/>
        </w:rPr>
      </w:pPr>
      <w:r w:rsidRPr="00EB6CDD">
        <w:rPr>
          <w:lang w:eastAsia="en-AU"/>
        </w:rPr>
        <w:t xml:space="preserve">This costing is considered to be of high reliability. </w:t>
      </w:r>
      <w:r>
        <w:rPr>
          <w:lang w:eastAsia="en-AU"/>
        </w:rPr>
        <w:t xml:space="preserve"> </w:t>
      </w:r>
      <w:r w:rsidRPr="00EB6CDD">
        <w:rPr>
          <w:lang w:eastAsia="en-AU"/>
        </w:rPr>
        <w:t>It is based on financial information and</w:t>
      </w:r>
      <w:r>
        <w:rPr>
          <w:lang w:eastAsia="en-AU"/>
        </w:rPr>
        <w:t xml:space="preserve"> economic parameters recently published in the 2016-17 Budget documents.</w:t>
      </w:r>
    </w:p>
    <w:p w:rsidR="000B5C96" w:rsidRPr="00FC6579" w:rsidRDefault="000B5C96" w:rsidP="003F606A">
      <w:pPr>
        <w:pStyle w:val="Caption"/>
      </w:pPr>
      <w:r w:rsidRPr="00FC6579">
        <w:t>Table 1: Financial implications (outturn prices)</w:t>
      </w:r>
      <w:r w:rsidRPr="00611B22">
        <w:rPr>
          <w:vertAlign w:val="superscript"/>
        </w:rPr>
        <w:t>(a)</w:t>
      </w:r>
      <w:r>
        <w:rPr>
          <w:vertAlign w:val="superscript"/>
        </w:rPr>
        <w:t>(b)</w:t>
      </w:r>
    </w:p>
    <w:tbl>
      <w:tblPr>
        <w:tblStyle w:val="TableGrid"/>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6"/>
        <w:gridCol w:w="1134"/>
        <w:gridCol w:w="1135"/>
        <w:gridCol w:w="1135"/>
        <w:gridCol w:w="1135"/>
        <w:gridCol w:w="1133"/>
      </w:tblGrid>
      <w:tr w:rsidR="000B5C96" w:rsidRPr="00484E3E"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84E3E" w:rsidRDefault="000B5C96" w:rsidP="003F606A">
            <w:pPr>
              <w:pStyle w:val="TableText"/>
              <w:keepNext/>
              <w:keepLines/>
              <w:spacing w:line="240" w:lineRule="auto"/>
              <w:ind w:left="57" w:right="57"/>
              <w:rPr>
                <w:rFonts w:ascii="Calibri" w:hAnsi="Calibri"/>
                <w:color w:val="auto"/>
                <w:szCs w:val="20"/>
              </w:rPr>
            </w:pPr>
            <w:r w:rsidRPr="00484E3E">
              <w:rPr>
                <w:rFonts w:ascii="Calibri" w:hAnsi="Calibri"/>
                <w:color w:val="auto"/>
                <w:szCs w:val="20"/>
              </w:rPr>
              <w:t>Impact on ($m)</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84E3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484E3E">
              <w:rPr>
                <w:rFonts w:ascii="Calibri" w:hAnsi="Calibri"/>
                <w:color w:val="auto"/>
                <w:szCs w:val="20"/>
              </w:rPr>
              <w:t>2016–17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84E3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484E3E">
              <w:rPr>
                <w:rFonts w:ascii="Calibri" w:hAnsi="Calibri"/>
                <w:color w:val="auto"/>
                <w:szCs w:val="20"/>
              </w:rPr>
              <w:t>2017–18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84E3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484E3E">
              <w:rPr>
                <w:rFonts w:ascii="Calibri" w:hAnsi="Calibri"/>
                <w:color w:val="auto"/>
                <w:szCs w:val="20"/>
              </w:rPr>
              <w:t>2018–19</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84E3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484E3E">
              <w:rPr>
                <w:rFonts w:ascii="Calibri" w:hAnsi="Calibri"/>
                <w:color w:val="auto"/>
                <w:szCs w:val="20"/>
              </w:rPr>
              <w:t>2019–20</w:t>
            </w:r>
          </w:p>
        </w:tc>
        <w:tc>
          <w:tcPr>
            <w:tcW w:w="68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84E3E"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484E3E">
              <w:rPr>
                <w:rFonts w:ascii="Calibri" w:hAnsi="Calibri"/>
                <w:b/>
                <w:color w:val="auto"/>
                <w:szCs w:val="20"/>
              </w:rPr>
              <w:t>Total</w:t>
            </w:r>
          </w:p>
        </w:tc>
      </w:tr>
      <w:tr w:rsidR="000B5C96" w:rsidRPr="003A345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left"/>
              <w:rPr>
                <w:szCs w:val="20"/>
              </w:rPr>
            </w:pPr>
            <w:r>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3120E" w:rsidRDefault="000B5C96" w:rsidP="003F606A">
            <w:pPr>
              <w:pStyle w:val="TableTextRight"/>
              <w:spacing w:line="240" w:lineRule="auto"/>
              <w:ind w:left="57" w:right="57"/>
              <w:cnfStyle w:val="000000100000" w:firstRow="0" w:lastRow="0" w:firstColumn="0" w:lastColumn="0" w:oddVBand="0" w:evenVBand="0" w:oddHBand="1" w:evenHBand="0" w:firstRowFirstColumn="0" w:firstRowLastColumn="0" w:lastRowFirstColumn="0" w:lastRowLastColumn="0"/>
            </w:pPr>
            <w:r w:rsidRPr="00E3120E">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3120E" w:rsidRDefault="000B5C96" w:rsidP="003F606A">
            <w:pPr>
              <w:pStyle w:val="TableTextRight"/>
              <w:spacing w:line="240" w:lineRule="auto"/>
              <w:ind w:left="57" w:right="57"/>
              <w:cnfStyle w:val="000000100000" w:firstRow="0" w:lastRow="0" w:firstColumn="0" w:lastColumn="0" w:oddVBand="0" w:evenVBand="0" w:oddHBand="1" w:evenHBand="0" w:firstRowFirstColumn="0" w:firstRowLastColumn="0" w:lastRowFirstColumn="0" w:lastRowLastColumn="0"/>
            </w:pPr>
            <w:r w:rsidRPr="00E3120E">
              <w:t xml:space="preserve">-38.5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3120E" w:rsidRDefault="000B5C96" w:rsidP="003F606A">
            <w:pPr>
              <w:pStyle w:val="TableTextRight"/>
              <w:spacing w:line="240" w:lineRule="auto"/>
              <w:ind w:left="57" w:right="57"/>
              <w:cnfStyle w:val="000000100000" w:firstRow="0" w:lastRow="0" w:firstColumn="0" w:lastColumn="0" w:oddVBand="0" w:evenVBand="0" w:oddHBand="1" w:evenHBand="0" w:firstRowFirstColumn="0" w:firstRowLastColumn="0" w:lastRowFirstColumn="0" w:lastRowLastColumn="0"/>
            </w:pPr>
            <w:r w:rsidRPr="00E3120E">
              <w:t>-39.5</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3120E" w:rsidRDefault="000B5C96" w:rsidP="003F606A">
            <w:pPr>
              <w:pStyle w:val="TableTextRight"/>
              <w:spacing w:line="240" w:lineRule="auto"/>
              <w:ind w:left="57" w:right="57"/>
              <w:cnfStyle w:val="000000100000" w:firstRow="0" w:lastRow="0" w:firstColumn="0" w:lastColumn="0" w:oddVBand="0" w:evenVBand="0" w:oddHBand="1" w:evenHBand="0" w:firstRowFirstColumn="0" w:firstRowLastColumn="0" w:lastRowFirstColumn="0" w:lastRowLastColumn="0"/>
            </w:pPr>
            <w:r w:rsidRPr="00E3120E">
              <w:t>-44.0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D17F31" w:rsidRDefault="000B5C96" w:rsidP="003F606A">
            <w:pPr>
              <w:pStyle w:val="TableTextRight"/>
              <w:spacing w:line="240" w:lineRule="auto"/>
              <w:ind w:left="57" w:right="57"/>
              <w:cnfStyle w:val="000000100000" w:firstRow="0" w:lastRow="0" w:firstColumn="0" w:lastColumn="0" w:oddVBand="0" w:evenVBand="0" w:oddHBand="1" w:evenHBand="0" w:firstRowFirstColumn="0" w:firstRowLastColumn="0" w:lastRowFirstColumn="0" w:lastRowLastColumn="0"/>
              <w:rPr>
                <w:b/>
              </w:rPr>
            </w:pPr>
            <w:r w:rsidRPr="00D17F31">
              <w:rPr>
                <w:b/>
              </w:rPr>
              <w:t xml:space="preserve">-122.0 </w:t>
            </w:r>
          </w:p>
        </w:tc>
      </w:tr>
      <w:tr w:rsidR="000B5C96" w:rsidRPr="003A3459" w:rsidTr="003F606A">
        <w:trPr>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3A3459" w:rsidRDefault="000B5C96" w:rsidP="003F606A">
            <w:pPr>
              <w:pStyle w:val="TableTextCentred"/>
              <w:keepNext/>
              <w:keepLines/>
              <w:spacing w:line="240" w:lineRule="auto"/>
              <w:ind w:left="57" w:right="57"/>
              <w:jc w:val="left"/>
              <w:rPr>
                <w:szCs w:val="20"/>
              </w:rPr>
            </w:pPr>
            <w:r>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3120E" w:rsidRDefault="000B5C96" w:rsidP="003F606A">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pPr>
            <w:r w:rsidRPr="00E3120E">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3120E" w:rsidRDefault="000B5C96" w:rsidP="003F606A">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pPr>
            <w:r w:rsidRPr="00E3120E">
              <w:t xml:space="preserve">-38.5   </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3120E" w:rsidRDefault="000B5C96" w:rsidP="003F606A">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pPr>
            <w:r w:rsidRPr="00E3120E">
              <w:t>-39.5</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E3120E" w:rsidRDefault="000B5C96" w:rsidP="003F606A">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pPr>
            <w:r w:rsidRPr="00E3120E">
              <w:t>-44.0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D17F31" w:rsidRDefault="000B5C96" w:rsidP="003F606A">
            <w:pPr>
              <w:pStyle w:val="TableTextRight"/>
              <w:spacing w:line="240" w:lineRule="auto"/>
              <w:ind w:left="57" w:right="57"/>
              <w:cnfStyle w:val="000000000000" w:firstRow="0" w:lastRow="0" w:firstColumn="0" w:lastColumn="0" w:oddVBand="0" w:evenVBand="0" w:oddHBand="0" w:evenHBand="0" w:firstRowFirstColumn="0" w:firstRowLastColumn="0" w:lastRowFirstColumn="0" w:lastRowLastColumn="0"/>
              <w:rPr>
                <w:b/>
              </w:rPr>
            </w:pPr>
            <w:r w:rsidRPr="00D17F31">
              <w:rPr>
                <w:b/>
              </w:rPr>
              <w:t xml:space="preserve">-122.0 </w:t>
            </w:r>
          </w:p>
        </w:tc>
      </w:tr>
    </w:tbl>
    <w:p w:rsidR="000B5C96" w:rsidRDefault="000B5C96" w:rsidP="00555964">
      <w:pPr>
        <w:pStyle w:val="Footnotes"/>
        <w:numPr>
          <w:ilvl w:val="0"/>
          <w:numId w:val="367"/>
        </w:numPr>
        <w:ind w:left="284" w:hanging="284"/>
      </w:pPr>
      <w:r w:rsidRPr="0098462D">
        <w:t>A negative number indicates a decrease in the relevant budget balance.</w:t>
      </w:r>
    </w:p>
    <w:p w:rsidR="000B5C96" w:rsidRPr="0098462D" w:rsidRDefault="000B5C96" w:rsidP="000B5C96">
      <w:pPr>
        <w:pStyle w:val="Footnotes"/>
        <w:numPr>
          <w:ilvl w:val="0"/>
          <w:numId w:val="7"/>
        </w:numPr>
        <w:ind w:left="284" w:hanging="284"/>
      </w:pPr>
      <w:r w:rsidRPr="0098462D">
        <w:t>Figures may not sum to totals due to rounding.</w:t>
      </w:r>
    </w:p>
    <w:p w:rsidR="000B5C96" w:rsidRPr="0098462D" w:rsidRDefault="000B5C96" w:rsidP="000B5C96">
      <w:pPr>
        <w:pStyle w:val="Footnotes"/>
        <w:numPr>
          <w:ilvl w:val="0"/>
          <w:numId w:val="121"/>
        </w:numPr>
        <w:ind w:left="284" w:hanging="284"/>
      </w:pPr>
      <w:r w:rsidRPr="0098462D">
        <w:t>Indicates nil.</w:t>
      </w:r>
    </w:p>
    <w:p w:rsidR="000B5C96" w:rsidRPr="00FC6579" w:rsidRDefault="000B5C96" w:rsidP="003F606A">
      <w:pPr>
        <w:pStyle w:val="CostingsH7"/>
      </w:pPr>
      <w:r w:rsidRPr="00FC6579">
        <w:t>Methodology</w:t>
      </w:r>
    </w:p>
    <w:p w:rsidR="000B5C96" w:rsidRPr="00D17F31" w:rsidRDefault="000B5C96" w:rsidP="003F606A">
      <w:pPr>
        <w:pStyle w:val="BodyText"/>
        <w:keepNext/>
        <w:keepLines/>
      </w:pPr>
      <w:r w:rsidRPr="00D17F31">
        <w:t xml:space="preserve">The 2016-17 Budget forward estimates for Program 4.2 of the Department of </w:t>
      </w:r>
      <w:r>
        <w:t xml:space="preserve">the </w:t>
      </w:r>
      <w:r w:rsidRPr="00D17F31">
        <w:t>Environment, Commonwealth Environmental Water, published in Portfolio Budget Statements, was used as the baseline for this proposal.  The budget estimate for the 2015-16 financial year was indexed by CPI for each of the 2016-17</w:t>
      </w:r>
      <w:r>
        <w:t xml:space="preserve"> Budget </w:t>
      </w:r>
      <w:r w:rsidRPr="00D17F31">
        <w:t>forward estimate years</w:t>
      </w:r>
      <w:r>
        <w:t>. This</w:t>
      </w:r>
      <w:r w:rsidRPr="00D17F31">
        <w:t xml:space="preserve"> projected level of expenditure </w:t>
      </w:r>
      <w:r>
        <w:t xml:space="preserve">was then </w:t>
      </w:r>
      <w:r w:rsidRPr="00D17F31">
        <w:t>subtracted from the baseline to calculate the financial implications of the proposal.</w:t>
      </w:r>
    </w:p>
    <w:p w:rsidR="000B5C96" w:rsidRPr="00FC6579" w:rsidRDefault="000B5C96" w:rsidP="003F606A">
      <w:pPr>
        <w:pStyle w:val="CostingsH7"/>
      </w:pPr>
      <w:r w:rsidRPr="00FC6579">
        <w:t>Data sources</w:t>
      </w:r>
    </w:p>
    <w:p w:rsidR="000B5C96" w:rsidRDefault="000B5C96" w:rsidP="003F606A">
      <w:pPr>
        <w:pStyle w:val="BodyText"/>
      </w:pPr>
      <w:r w:rsidRPr="00D17F31">
        <w:t xml:space="preserve">Department of </w:t>
      </w:r>
      <w:r>
        <w:t xml:space="preserve">the </w:t>
      </w:r>
      <w:r w:rsidRPr="00D17F31">
        <w:t>Environment 2016-1</w:t>
      </w:r>
      <w:r>
        <w:t xml:space="preserve">7 Portfolio Budget Statements. </w:t>
      </w:r>
    </w:p>
    <w:p w:rsidR="000B5C96" w:rsidRPr="00CA5D42" w:rsidRDefault="000B5C96" w:rsidP="003F606A">
      <w:pPr>
        <w:pStyle w:val="BodyText"/>
      </w:pPr>
      <w:r w:rsidRPr="00D17F31">
        <w:t>The Department of Finance provided indexation and efficiency dividend parameters.</w:t>
      </w:r>
    </w:p>
    <w:p w:rsidR="000B5C96" w:rsidRDefault="000B5C96" w:rsidP="003F606A">
      <w:pPr>
        <w:pStyle w:val="BodyText"/>
        <w:sectPr w:rsidR="000B5C96" w:rsidSect="008430E8">
          <w:pgSz w:w="11907" w:h="16839" w:code="9"/>
          <w:pgMar w:top="1361" w:right="1797" w:bottom="1474" w:left="1797" w:header="283" w:footer="454" w:gutter="0"/>
          <w:cols w:space="708"/>
          <w:docGrid w:linePitch="360"/>
        </w:sectPr>
      </w:pPr>
    </w:p>
    <w:p w:rsidR="000B5C96" w:rsidRPr="00367C10" w:rsidRDefault="000B5C96" w:rsidP="003F606A">
      <w:pPr>
        <w:pStyle w:val="Heading5"/>
      </w:pPr>
      <w:bookmarkStart w:id="261" w:name="_Toc458002010"/>
      <w:bookmarkStart w:id="262" w:name="_Toc458069495"/>
      <w:r>
        <w:t>GRN106: Protecting the Great Barrier Reef - doubling existing emergency response preparedness fund for oil spills and other pollution</w:t>
      </w:r>
      <w:bookmarkEnd w:id="261"/>
      <w:bookmarkEnd w:id="262"/>
    </w:p>
    <w:p w:rsidR="000B5C96" w:rsidRPr="008A0AE1" w:rsidRDefault="000B5C96" w:rsidP="003F606A">
      <w:pPr>
        <w:pStyle w:val="BodyText"/>
      </w:pPr>
      <w:r>
        <w:rPr>
          <w:noProof/>
          <w:lang w:eastAsia="en-AU"/>
        </w:rPr>
        <w:drawing>
          <wp:inline distT="0" distB="0" distL="0" distR="0" wp14:anchorId="2B1EFE2A" wp14:editId="5F094931">
            <wp:extent cx="2696845" cy="572135"/>
            <wp:effectExtent l="0" t="0" r="8255" b="0"/>
            <wp:docPr id="73" name="Picture 7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B5C96" w:rsidRPr="00951F39" w:rsidRDefault="000B5C96" w:rsidP="000B5C96">
      <w:pPr>
        <w:pStyle w:val="Heading6"/>
        <w:numPr>
          <w:ilvl w:val="0"/>
          <w:numId w:val="5"/>
        </w:numPr>
        <w:tabs>
          <w:tab w:val="right" w:pos="1418"/>
          <w:tab w:val="right" w:pos="1701"/>
          <w:tab w:val="right" w:pos="1985"/>
        </w:tabs>
      </w:pPr>
      <w:r w:rsidRPr="00951F39">
        <w:t>Policy costing—2016 post-election report</w:t>
      </w:r>
    </w:p>
    <w:tbl>
      <w:tblPr>
        <w:tblStyle w:val="Style1"/>
        <w:tblW w:w="5000" w:type="pct"/>
        <w:tblLook w:val="04A0" w:firstRow="1" w:lastRow="0" w:firstColumn="1" w:lastColumn="0" w:noHBand="0" w:noVBand="1"/>
      </w:tblPr>
      <w:tblGrid>
        <w:gridCol w:w="3081"/>
        <w:gridCol w:w="5448"/>
      </w:tblGrid>
      <w:tr w:rsidR="000B5C96" w:rsidRPr="00EA7F7A" w:rsidTr="003F606A">
        <w:trPr>
          <w:cnfStyle w:val="100000000000" w:firstRow="1" w:lastRow="0" w:firstColumn="0" w:lastColumn="0" w:oddVBand="0" w:evenVBand="0" w:oddHBand="0" w:evenHBand="0" w:firstRowFirstColumn="0" w:firstRowLastColumn="0" w:lastRowFirstColumn="0" w:lastRowLastColumn="0"/>
        </w:trPr>
        <w:tc>
          <w:tcPr>
            <w:tcW w:w="1806" w:type="pct"/>
          </w:tcPr>
          <w:p w:rsidR="000B5C96" w:rsidRPr="00EA7F7A" w:rsidRDefault="000B5C96" w:rsidP="003F606A">
            <w:pPr>
              <w:pStyle w:val="PullOutBoxHeading"/>
              <w:rPr>
                <w:b/>
                <w:sz w:val="22"/>
              </w:rPr>
            </w:pPr>
            <w:r w:rsidRPr="00EA7F7A">
              <w:rPr>
                <w:b/>
                <w:sz w:val="22"/>
              </w:rPr>
              <w:t>Name of proposal:</w:t>
            </w:r>
          </w:p>
        </w:tc>
        <w:tc>
          <w:tcPr>
            <w:tcW w:w="3194" w:type="pct"/>
          </w:tcPr>
          <w:p w:rsidR="000B5C96" w:rsidRPr="00EA7F7A" w:rsidRDefault="000B5C96" w:rsidP="003F606A">
            <w:pPr>
              <w:pStyle w:val="PullOutBoxHeading"/>
              <w:rPr>
                <w:b/>
                <w:sz w:val="22"/>
              </w:rPr>
            </w:pPr>
            <w:r w:rsidRPr="00EA7F7A">
              <w:rPr>
                <w:b/>
                <w:sz w:val="22"/>
              </w:rPr>
              <w:t>Protecting the Great Barrier Reef – doubling existing emergency response preparedness fund for oil spills and other pollution</w:t>
            </w:r>
          </w:p>
        </w:tc>
      </w:tr>
      <w:tr w:rsidR="000B5C96" w:rsidRPr="00951F39" w:rsidTr="003F606A">
        <w:tc>
          <w:tcPr>
            <w:tcW w:w="1806" w:type="pct"/>
          </w:tcPr>
          <w:p w:rsidR="000B5C96" w:rsidRPr="00951F39" w:rsidRDefault="000B5C96" w:rsidP="003F606A">
            <w:pPr>
              <w:pStyle w:val="PullOutBoxBodyText"/>
            </w:pPr>
            <w:r w:rsidRPr="00951F39">
              <w:t>Summary of proposal:</w:t>
            </w:r>
          </w:p>
        </w:tc>
        <w:tc>
          <w:tcPr>
            <w:tcW w:w="3194" w:type="pct"/>
          </w:tcPr>
          <w:p w:rsidR="000B5C96" w:rsidRPr="00951F39" w:rsidRDefault="000B5C96" w:rsidP="003F606A">
            <w:pPr>
              <w:pStyle w:val="PullOutBoxBodyText"/>
            </w:pPr>
            <w:r w:rsidRPr="00951F39">
              <w:t xml:space="preserve">The proposal would increase Australian Maritime Safety Authority (AMSA) collections under the Protection of the Sea Levy (the </w:t>
            </w:r>
            <w:r>
              <w:t>L</w:t>
            </w:r>
            <w:r w:rsidRPr="00951F39">
              <w:t>evy)</w:t>
            </w:r>
            <w:r>
              <w:t xml:space="preserve"> to raise an additional $20.0</w:t>
            </w:r>
            <w:r w:rsidRPr="00951F39">
              <w:t> million in pollution response reserves.</w:t>
            </w:r>
          </w:p>
          <w:p w:rsidR="000B5C96" w:rsidRPr="00951F39" w:rsidRDefault="000B5C96" w:rsidP="003F606A">
            <w:pPr>
              <w:pStyle w:val="PullOutBoxBodyText"/>
            </w:pPr>
            <w:r w:rsidRPr="00951F39">
              <w:t>This proposal would commence on 1 September 2016.</w:t>
            </w:r>
          </w:p>
        </w:tc>
      </w:tr>
      <w:tr w:rsidR="000B5C96" w:rsidRPr="00951F39" w:rsidTr="003F606A">
        <w:tc>
          <w:tcPr>
            <w:tcW w:w="1806" w:type="pct"/>
          </w:tcPr>
          <w:p w:rsidR="000B5C96" w:rsidRPr="00951F39" w:rsidRDefault="000B5C96" w:rsidP="003F606A">
            <w:pPr>
              <w:pStyle w:val="PullOutBoxBodyText"/>
            </w:pPr>
            <w:r w:rsidRPr="00951F39">
              <w:t>Party:</w:t>
            </w:r>
          </w:p>
        </w:tc>
        <w:tc>
          <w:tcPr>
            <w:tcW w:w="3194" w:type="pct"/>
          </w:tcPr>
          <w:p w:rsidR="000B5C96" w:rsidRPr="00951F39" w:rsidRDefault="000B5C96" w:rsidP="003F606A">
            <w:pPr>
              <w:pStyle w:val="PullOutBoxBodyText"/>
            </w:pPr>
            <w:r w:rsidRPr="00951F39">
              <w:t>Australian Greens</w:t>
            </w:r>
          </w:p>
        </w:tc>
      </w:tr>
      <w:tr w:rsidR="000B5C96" w:rsidRPr="00951F39" w:rsidTr="003F606A">
        <w:tc>
          <w:tcPr>
            <w:tcW w:w="1806" w:type="pct"/>
          </w:tcPr>
          <w:p w:rsidR="000B5C96" w:rsidRPr="00951F39" w:rsidRDefault="000B5C96" w:rsidP="003F606A">
            <w:pPr>
              <w:pStyle w:val="PullOutBoxBodyText"/>
            </w:pPr>
            <w:r w:rsidRPr="00951F39">
              <w:t>Expiry date for the costing:</w:t>
            </w:r>
          </w:p>
        </w:tc>
        <w:tc>
          <w:tcPr>
            <w:tcW w:w="3194" w:type="pct"/>
          </w:tcPr>
          <w:p w:rsidR="000B5C96" w:rsidRPr="00951F39" w:rsidRDefault="000B5C96" w:rsidP="003F606A">
            <w:pPr>
              <w:pStyle w:val="PullOutBoxBodyText"/>
            </w:pPr>
            <w:r w:rsidRPr="00951F39">
              <w:t>Release of the next economic and fiscal update</w:t>
            </w:r>
          </w:p>
        </w:tc>
      </w:tr>
    </w:tbl>
    <w:p w:rsidR="000B5C96" w:rsidRPr="00951F39" w:rsidRDefault="000B5C96" w:rsidP="003F606A">
      <w:pPr>
        <w:pStyle w:val="CostingsH7"/>
      </w:pPr>
      <w:r w:rsidRPr="00951F39">
        <w:t>Costing overview</w:t>
      </w:r>
    </w:p>
    <w:p w:rsidR="000B5C96" w:rsidRDefault="000B5C96" w:rsidP="003F606A">
      <w:pPr>
        <w:pStyle w:val="BodyText"/>
      </w:pPr>
      <w:r>
        <w:t>The Levy rate is set as a cost per net registered tonne per quarter on any vessel of 24 metres or longer carrying 10 tonnes or more of oil.  The Levy rate was reduced from 14.25 cents to 11.25 cents on 1 July 2014.  The higher rate of 14.25 cents was, in part, used to establish a $10.0 million pollution response reserve.  This proposal would raise the Levy rate to increase the reserve to $30.0 million.</w:t>
      </w:r>
    </w:p>
    <w:p w:rsidR="000B5C96" w:rsidRPr="00951F39" w:rsidRDefault="000B5C96" w:rsidP="003F606A">
      <w:pPr>
        <w:pStyle w:val="BodyText"/>
      </w:pPr>
      <w:r w:rsidRPr="00951F39">
        <w:t>This proposal would be expected to increase the fiscal and underlying cash balances by $</w:t>
      </w:r>
      <w:r>
        <w:t>20</w:t>
      </w:r>
      <w:r w:rsidRPr="00951F39">
        <w:t>.0 million over the 2016-17 Budget forward estimates period.  This is entirely due to an increase in revenue.  The proposal would not have an impact on departmental expenses as the activities would not have a material impact on the function of the AMSA.</w:t>
      </w:r>
    </w:p>
    <w:p w:rsidR="000B5C96" w:rsidRPr="00951F39" w:rsidRDefault="000B5C96" w:rsidP="003F606A">
      <w:pPr>
        <w:pStyle w:val="BodyText"/>
      </w:pPr>
      <w:r w:rsidRPr="00951F39">
        <w:t>This proposal would not be expected to have a net impact on the budget beyond the 2016</w:t>
      </w:r>
      <w:r w:rsidRPr="00951F39">
        <w:noBreakHyphen/>
        <w:t>17 Budget forward estimates period.</w:t>
      </w:r>
    </w:p>
    <w:p w:rsidR="000B5C96" w:rsidRPr="00951F39" w:rsidRDefault="000B5C96" w:rsidP="003F606A">
      <w:pPr>
        <w:pStyle w:val="BodyText"/>
      </w:pPr>
      <w:r w:rsidRPr="00951F39">
        <w:t xml:space="preserve">This costing is considered to be of medium reliability </w:t>
      </w:r>
      <w:r>
        <w:t>due to uncertainty relating to</w:t>
      </w:r>
      <w:r w:rsidRPr="00951F39">
        <w:t xml:space="preserve"> future environmental impacts and the capacity of the AMSA to raise sufficient funds to maintain the increased pollution response reserves.</w:t>
      </w:r>
    </w:p>
    <w:p w:rsidR="000B5C96" w:rsidRPr="00951F39" w:rsidRDefault="000B5C96" w:rsidP="003F606A">
      <w:pPr>
        <w:pStyle w:val="Caption"/>
      </w:pPr>
      <w:r w:rsidRPr="00951F39">
        <w:t>Table 1: Financial implications (outturn prices)</w:t>
      </w:r>
      <w:r w:rsidRPr="00951F39">
        <w:rPr>
          <w:vertAlign w:val="superscript"/>
        </w:rPr>
        <w:t>(a)(b)</w:t>
      </w:r>
    </w:p>
    <w:tbl>
      <w:tblPr>
        <w:tblStyle w:val="TableGrid"/>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6"/>
        <w:gridCol w:w="1134"/>
        <w:gridCol w:w="1135"/>
        <w:gridCol w:w="1135"/>
        <w:gridCol w:w="1135"/>
        <w:gridCol w:w="1133"/>
      </w:tblGrid>
      <w:tr w:rsidR="000B5C96" w:rsidRPr="00477BB5" w:rsidTr="003F606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77BB5" w:rsidRDefault="000B5C96" w:rsidP="003F606A">
            <w:pPr>
              <w:pStyle w:val="TableText"/>
              <w:keepNext/>
              <w:keepLines/>
              <w:spacing w:line="240" w:lineRule="auto"/>
              <w:ind w:left="57" w:right="57"/>
              <w:rPr>
                <w:rFonts w:ascii="Calibri" w:hAnsi="Calibri"/>
                <w:color w:val="auto"/>
                <w:szCs w:val="20"/>
              </w:rPr>
            </w:pPr>
            <w:r w:rsidRPr="00477BB5">
              <w:rPr>
                <w:rFonts w:ascii="Calibri" w:hAnsi="Calibri"/>
                <w:color w:val="auto"/>
                <w:szCs w:val="20"/>
              </w:rPr>
              <w:t>Impact on ($m)</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77BB5"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477BB5">
              <w:rPr>
                <w:rFonts w:ascii="Calibri" w:hAnsi="Calibri"/>
                <w:color w:val="auto"/>
                <w:szCs w:val="20"/>
              </w:rPr>
              <w:t>2016–17</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77BB5"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477BB5">
              <w:rPr>
                <w:rFonts w:ascii="Calibri" w:hAnsi="Calibri"/>
                <w:color w:val="auto"/>
                <w:szCs w:val="20"/>
              </w:rPr>
              <w:t>2017–18</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77BB5"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color w:val="auto"/>
                <w:szCs w:val="20"/>
              </w:rPr>
            </w:pPr>
            <w:r w:rsidRPr="00477BB5">
              <w:rPr>
                <w:rFonts w:ascii="Calibri" w:hAnsi="Calibri"/>
                <w:color w:val="auto"/>
                <w:szCs w:val="20"/>
              </w:rPr>
              <w:t>2018–19</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77BB5"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477BB5">
              <w:rPr>
                <w:rFonts w:ascii="Calibri" w:hAnsi="Calibri"/>
                <w:color w:val="auto"/>
                <w:szCs w:val="20"/>
              </w:rPr>
              <w:t>2019–20</w:t>
            </w:r>
          </w:p>
        </w:tc>
        <w:tc>
          <w:tcPr>
            <w:tcW w:w="681" w:type="pct"/>
            <w:tcBorders>
              <w:top w:val="single" w:sz="4" w:space="0" w:color="788184"/>
              <w:left w:val="single" w:sz="4" w:space="0" w:color="788184"/>
              <w:bottom w:val="single" w:sz="4" w:space="0" w:color="788184"/>
              <w:right w:val="single" w:sz="4" w:space="0" w:color="788184"/>
            </w:tcBorders>
            <w:shd w:val="clear" w:color="auto" w:fill="D7DDE9" w:themeFill="accent3"/>
          </w:tcPr>
          <w:p w:rsidR="000B5C96" w:rsidRPr="00477BB5" w:rsidRDefault="000B5C96" w:rsidP="003F606A">
            <w:pPr>
              <w:keepNext/>
              <w:keepLines/>
              <w:spacing w:line="240" w:lineRule="auto"/>
              <w:ind w:left="57" w:right="57"/>
              <w:jc w:val="right"/>
              <w:cnfStyle w:val="100000000000" w:firstRow="1" w:lastRow="0" w:firstColumn="0" w:lastColumn="0" w:oddVBand="0" w:evenVBand="0" w:oddHBand="0" w:evenHBand="0" w:firstRowFirstColumn="0" w:firstRowLastColumn="0" w:lastRowFirstColumn="0" w:lastRowLastColumn="0"/>
              <w:rPr>
                <w:rFonts w:ascii="Calibri" w:hAnsi="Calibri"/>
                <w:b/>
                <w:color w:val="auto"/>
                <w:szCs w:val="20"/>
              </w:rPr>
            </w:pPr>
            <w:r w:rsidRPr="00477BB5">
              <w:rPr>
                <w:rFonts w:ascii="Calibri" w:hAnsi="Calibri"/>
                <w:b/>
                <w:color w:val="auto"/>
                <w:szCs w:val="20"/>
              </w:rPr>
              <w:t>Total</w:t>
            </w:r>
          </w:p>
        </w:tc>
      </w:tr>
      <w:tr w:rsidR="000B5C96" w:rsidRPr="00951F39" w:rsidTr="003F6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left"/>
              <w:rPr>
                <w:szCs w:val="20"/>
              </w:rPr>
            </w:pPr>
            <w:r w:rsidRPr="00951F39">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szCs w:val="20"/>
              </w:rPr>
            </w:pPr>
            <w:r>
              <w:rPr>
                <w:szCs w:val="20"/>
              </w:rPr>
              <w:t>10.0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szCs w:val="20"/>
              </w:rPr>
            </w:pPr>
            <w:r>
              <w:rPr>
                <w:szCs w:val="20"/>
              </w:rPr>
              <w:t>10.0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szCs w:val="20"/>
              </w:rPr>
            </w:pPr>
            <w:r w:rsidRPr="00951F39">
              <w:rPr>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szCs w:val="20"/>
              </w:rPr>
            </w:pPr>
            <w:r w:rsidRPr="00951F39">
              <w:rPr>
                <w:szCs w:val="20"/>
              </w:rPr>
              <w:t>-</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b/>
                <w:szCs w:val="20"/>
              </w:rPr>
            </w:pPr>
            <w:r>
              <w:rPr>
                <w:b/>
                <w:szCs w:val="20"/>
              </w:rPr>
              <w:t>20.0</w:t>
            </w:r>
          </w:p>
        </w:tc>
      </w:tr>
      <w:tr w:rsidR="000B5C96" w:rsidRPr="00951F39" w:rsidTr="003F606A">
        <w:trPr>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left"/>
              <w:rPr>
                <w:szCs w:val="20"/>
              </w:rPr>
            </w:pPr>
            <w:r w:rsidRPr="00951F39">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Pr>
                <w:szCs w:val="20"/>
              </w:rPr>
              <w:t>10.0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Pr>
                <w:szCs w:val="20"/>
              </w:rPr>
              <w:t>10.0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sidRPr="00951F39">
              <w:rPr>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szCs w:val="20"/>
              </w:rPr>
            </w:pPr>
            <w:r w:rsidRPr="00951F39">
              <w:rPr>
                <w:szCs w:val="20"/>
              </w:rPr>
              <w:t>-</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0B5C96" w:rsidRPr="00951F39" w:rsidRDefault="000B5C96" w:rsidP="003F606A">
            <w:pPr>
              <w:pStyle w:val="TableTextCentred"/>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Pr>
                <w:b/>
                <w:szCs w:val="20"/>
              </w:rPr>
              <w:t>20.0</w:t>
            </w:r>
          </w:p>
        </w:tc>
      </w:tr>
    </w:tbl>
    <w:p w:rsidR="000B5C96" w:rsidRDefault="000B5C96" w:rsidP="00555964">
      <w:pPr>
        <w:pStyle w:val="Footnotes"/>
        <w:numPr>
          <w:ilvl w:val="0"/>
          <w:numId w:val="368"/>
        </w:numPr>
        <w:ind w:left="284" w:hanging="284"/>
      </w:pPr>
      <w:r w:rsidRPr="0098462D">
        <w:t>A positive number indicates an increase in the relevant budget balance, a negative number a decrease.</w:t>
      </w:r>
    </w:p>
    <w:p w:rsidR="000B5C96" w:rsidRPr="0098462D" w:rsidRDefault="000B5C96" w:rsidP="000B5C96">
      <w:pPr>
        <w:pStyle w:val="Footnotes"/>
        <w:numPr>
          <w:ilvl w:val="0"/>
          <w:numId w:val="7"/>
        </w:numPr>
        <w:ind w:left="284" w:hanging="284"/>
      </w:pPr>
      <w:r w:rsidRPr="0098462D">
        <w:t>Figures may not sum to totals due to rounding.</w:t>
      </w:r>
    </w:p>
    <w:p w:rsidR="000B5C96" w:rsidRPr="00951F39" w:rsidRDefault="000B5C96" w:rsidP="003F606A">
      <w:pPr>
        <w:pStyle w:val="CostingsH7"/>
      </w:pPr>
      <w:r w:rsidRPr="00951F39">
        <w:t>Key assumptions</w:t>
      </w:r>
    </w:p>
    <w:p w:rsidR="000B5C96" w:rsidRPr="00951F39" w:rsidRDefault="000B5C96" w:rsidP="003F606A">
      <w:pPr>
        <w:pStyle w:val="BodyText"/>
      </w:pPr>
      <w:r w:rsidRPr="00951F39">
        <w:t xml:space="preserve">In costing this proposal it has been assumed that: </w:t>
      </w:r>
    </w:p>
    <w:p w:rsidR="000B5C96" w:rsidRPr="00951F39" w:rsidRDefault="000B5C96" w:rsidP="000B5C96">
      <w:pPr>
        <w:pStyle w:val="ListBullet"/>
        <w:numPr>
          <w:ilvl w:val="0"/>
          <w:numId w:val="123"/>
        </w:numPr>
        <w:ind w:left="454" w:hanging="454"/>
      </w:pPr>
      <w:r>
        <w:t>there would be no behavioural response from the increase in the Levy</w:t>
      </w:r>
    </w:p>
    <w:p w:rsidR="000B5C96" w:rsidRDefault="000B5C96" w:rsidP="000B5C96">
      <w:pPr>
        <w:pStyle w:val="ListBullet"/>
        <w:numPr>
          <w:ilvl w:val="0"/>
          <w:numId w:val="123"/>
        </w:numPr>
        <w:ind w:left="454" w:hanging="454"/>
      </w:pPr>
      <w:r w:rsidRPr="00951F39">
        <w:t>future expenditure</w:t>
      </w:r>
      <w:r>
        <w:t xml:space="preserve"> of the $30 million pollution response reserve</w:t>
      </w:r>
      <w:r w:rsidRPr="00951F39">
        <w:t xml:space="preserve"> would be offset by increases in the </w:t>
      </w:r>
      <w:r>
        <w:t>L</w:t>
      </w:r>
      <w:r w:rsidRPr="00951F39">
        <w:t xml:space="preserve">evy in the same year. </w:t>
      </w:r>
    </w:p>
    <w:p w:rsidR="000B5C96" w:rsidRDefault="000B5C96" w:rsidP="003F606A">
      <w:pPr>
        <w:pStyle w:val="CostingsH7"/>
      </w:pPr>
      <w:r>
        <w:t>Methodology</w:t>
      </w:r>
    </w:p>
    <w:p w:rsidR="000B5C96" w:rsidRPr="00951F39" w:rsidRDefault="000B5C96" w:rsidP="003F606A">
      <w:pPr>
        <w:pStyle w:val="BodyText"/>
      </w:pPr>
      <w:r>
        <w:t>The additional funds required under this proposal would be raised by increasing the Levy by approximately 6 cents per tonne per quarter for the years 2016-17 and 2017-18.</w:t>
      </w:r>
    </w:p>
    <w:p w:rsidR="000B5C96" w:rsidRPr="00951F39" w:rsidRDefault="000B5C96" w:rsidP="003F606A">
      <w:pPr>
        <w:pStyle w:val="CostingsH7"/>
      </w:pPr>
      <w:r>
        <w:t>Data sources</w:t>
      </w:r>
    </w:p>
    <w:p w:rsidR="000B5C96" w:rsidRPr="0021221A" w:rsidRDefault="000B5C96" w:rsidP="00555964">
      <w:pPr>
        <w:pStyle w:val="BodyText"/>
      </w:pPr>
      <w:r>
        <w:t>2014-15 AMSA annual report.</w:t>
      </w:r>
    </w:p>
    <w:sectPr w:rsidR="000B5C96" w:rsidRPr="0021221A" w:rsidSect="008430E8">
      <w:footnotePr>
        <w:numRestart w:val="eachSect"/>
      </w:footnotePr>
      <w:pgSz w:w="11907" w:h="16839" w:code="9"/>
      <w:pgMar w:top="1361" w:right="1797" w:bottom="1474" w:left="1797" w:header="283"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0BF" w:rsidRDefault="005050BF" w:rsidP="00A20802">
      <w:pPr>
        <w:spacing w:line="240" w:lineRule="auto"/>
      </w:pPr>
      <w:r>
        <w:separator/>
      </w:r>
    </w:p>
    <w:p w:rsidR="005050BF" w:rsidRDefault="005050BF"/>
  </w:endnote>
  <w:endnote w:type="continuationSeparator" w:id="0">
    <w:p w:rsidR="005050BF" w:rsidRDefault="005050BF" w:rsidP="00A20802">
      <w:pPr>
        <w:spacing w:line="240" w:lineRule="auto"/>
      </w:pPr>
      <w:r>
        <w:continuationSeparator/>
      </w:r>
    </w:p>
    <w:p w:rsidR="005050BF" w:rsidRDefault="005050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7E3C99">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444</w:t>
          </w:r>
          <w:r w:rsidRPr="00EB388E">
            <w:fldChar w:fldCharType="end"/>
          </w:r>
        </w:p>
      </w:tc>
      <w:tc>
        <w:tcPr>
          <w:tcW w:w="8164" w:type="dxa"/>
          <w:tcBorders>
            <w:left w:val="single" w:sz="4" w:space="0" w:color="788184" w:themeColor="background2"/>
          </w:tcBorders>
          <w:vAlign w:val="center"/>
        </w:tcPr>
        <w:p w:rsidR="005050BF" w:rsidRPr="00CB70DF" w:rsidRDefault="005050BF" w:rsidP="007E3C99">
          <w:pPr>
            <w:pStyle w:val="FooterLeft"/>
            <w:framePr w:wrap="auto" w:vAnchor="margin" w:hAnchor="text" w:yAlign="inline"/>
          </w:pPr>
          <w:r>
            <w:t>Post-election report of election commitments</w:t>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5B2F0D">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452</w:t>
    </w:r>
    <w:r w:rsidRPr="00C24267">
      <w:fldChar w:fldCharType="end"/>
    </w:r>
    <w:r w:rsidRPr="00C24267">
      <w:t xml:space="preserve"> of </w:t>
    </w:r>
    <w:fldSimple w:instr=" NUMPAGES  \* Arabic  \* MERGEFORMAT ">
      <w:r>
        <w:rPr>
          <w:noProof/>
        </w:rPr>
        <w:t>131</w:t>
      </w:r>
    </w:fldSimple>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A97AC4">
      <w:trPr>
        <w:trHeight w:val="340"/>
      </w:trPr>
      <w:tc>
        <w:tcPr>
          <w:tcW w:w="8164" w:type="dxa"/>
          <w:tcBorders>
            <w:right w:val="single" w:sz="4" w:space="0" w:color="788184" w:themeColor="background2"/>
          </w:tcBorders>
          <w:vAlign w:val="center"/>
        </w:tcPr>
        <w:p w:rsidR="005050BF" w:rsidRPr="00CB70DF" w:rsidRDefault="001C2C6D" w:rsidP="00A97AC4">
          <w:pPr>
            <w:pStyle w:val="FooterRight"/>
            <w:framePr w:wrap="auto" w:vAnchor="margin" w:hAnchor="text" w:xAlign="left" w:yAlign="inline"/>
          </w:pPr>
          <w:fldSimple w:instr=" STYLEREF  &quot;Heading 8,Appendix Title&quot; \r \* MERGEFORMAT ">
            <w:r>
              <w:rPr>
                <w:noProof/>
              </w:rPr>
              <w:t>Appendix G</w:t>
            </w:r>
          </w:fldSimple>
        </w:p>
      </w:tc>
      <w:tc>
        <w:tcPr>
          <w:tcW w:w="567" w:type="dxa"/>
          <w:tcBorders>
            <w:left w:val="single" w:sz="4" w:space="0" w:color="788184" w:themeColor="background2"/>
          </w:tcBorders>
          <w:vAlign w:val="center"/>
        </w:tcPr>
        <w:p w:rsidR="005050BF" w:rsidRPr="00CB70DF" w:rsidRDefault="005050BF" w:rsidP="00A97AC4">
          <w:pPr>
            <w:pStyle w:val="FooterRightPageNumber"/>
          </w:pPr>
          <w:r w:rsidRPr="00EB388E">
            <w:fldChar w:fldCharType="begin"/>
          </w:r>
          <w:r w:rsidRPr="00EB388E">
            <w:instrText xml:space="preserve"> PAGE   \* MERGEFORMAT </w:instrText>
          </w:r>
          <w:r w:rsidRPr="00EB388E">
            <w:fldChar w:fldCharType="separate"/>
          </w:r>
          <w:r w:rsidR="001C2C6D">
            <w:t>557</w:t>
          </w:r>
          <w:r w:rsidRPr="00EB388E">
            <w:fldChar w:fldCharType="end"/>
          </w:r>
        </w:p>
      </w:tc>
    </w:tr>
    <w:tr w:rsidR="005050BF" w:rsidRPr="00EB388E" w:rsidTr="00A97AC4">
      <w:trPr>
        <w:trHeight w:hRule="exact" w:val="403"/>
      </w:trPr>
      <w:tc>
        <w:tcPr>
          <w:tcW w:w="8164" w:type="dxa"/>
        </w:tcPr>
        <w:p w:rsidR="005050BF" w:rsidRPr="00090E70" w:rsidRDefault="005050BF" w:rsidP="00A97AC4"/>
      </w:tc>
      <w:tc>
        <w:tcPr>
          <w:tcW w:w="567" w:type="dxa"/>
          <w:tcMar>
            <w:bottom w:w="284" w:type="dxa"/>
          </w:tcMar>
        </w:tcPr>
        <w:p w:rsidR="005050BF" w:rsidRPr="00090E70" w:rsidRDefault="005050BF" w:rsidP="00A97AC4"/>
      </w:tc>
    </w:tr>
  </w:tbl>
  <w:p w:rsidR="005050BF" w:rsidRDefault="005050BF">
    <w:pPr>
      <w:pStyle w:val="Footer"/>
    </w:pPr>
  </w:p>
  <w:p w:rsidR="005050BF" w:rsidRPr="004816D7" w:rsidRDefault="005050BF" w:rsidP="002024BF">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83591C" w:rsidRDefault="005050BF" w:rsidP="007208C6">
    <w:pPr>
      <w:pStyle w:val="Footer"/>
      <w:rPr>
        <w:rStyle w:val="IntenseReference"/>
        <w:b/>
        <w:bCs w:val="0"/>
        <w:color w:val="auto"/>
      </w:rPr>
    </w:pPr>
    <w:r w:rsidRPr="0083591C">
      <w:t xml:space="preserve">Page </w:t>
    </w:r>
    <w:r w:rsidRPr="0083591C">
      <w:fldChar w:fldCharType="begin"/>
    </w:r>
    <w:r w:rsidRPr="0083591C">
      <w:instrText xml:space="preserve"> PAGE  \* Arabic  \* MERGEFORMAT </w:instrText>
    </w:r>
    <w:r w:rsidRPr="0083591C">
      <w:fldChar w:fldCharType="separate"/>
    </w:r>
    <w:r>
      <w:rPr>
        <w:noProof/>
      </w:rPr>
      <w:t>555</w:t>
    </w:r>
    <w:r w:rsidRPr="0083591C">
      <w:fldChar w:fldCharType="end"/>
    </w:r>
    <w:r w:rsidRPr="0083591C">
      <w:t xml:space="preserve"> of </w:t>
    </w:r>
    <w:fldSimple w:instr=" NUMPAGES  \* Arabic  \* MERGEFORMAT ">
      <w:r>
        <w:rPr>
          <w:noProof/>
        </w:rPr>
        <w:t>131</w:t>
      </w:r>
    </w:fldSimple>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DB2309">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562</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DB2309">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DB2309">
      <w:trPr>
        <w:trHeight w:val="340"/>
      </w:trPr>
      <w:tc>
        <w:tcPr>
          <w:tcW w:w="8164" w:type="dxa"/>
          <w:tcBorders>
            <w:right w:val="single" w:sz="4" w:space="0" w:color="788184" w:themeColor="background2"/>
          </w:tcBorders>
          <w:vAlign w:val="center"/>
        </w:tcPr>
        <w:p w:rsidR="005050BF" w:rsidRPr="00CB70DF" w:rsidRDefault="001C2C6D" w:rsidP="00DB2309">
          <w:pPr>
            <w:pStyle w:val="FooterRight"/>
            <w:framePr w:wrap="auto" w:vAnchor="margin" w:hAnchor="text" w:xAlign="left" w:yAlign="inline"/>
          </w:pPr>
          <w:fldSimple w:instr=" STYLEREF  &quot;Heading 8,Appendix Title&quot; \r \* MERGEFORMAT ">
            <w:r>
              <w:rPr>
                <w:noProof/>
              </w:rPr>
              <w:t>Appendix G</w:t>
            </w:r>
          </w:fldSimple>
        </w:p>
      </w:tc>
      <w:tc>
        <w:tcPr>
          <w:tcW w:w="567" w:type="dxa"/>
          <w:tcBorders>
            <w:left w:val="single" w:sz="4" w:space="0" w:color="788184" w:themeColor="background2"/>
          </w:tcBorders>
          <w:vAlign w:val="center"/>
        </w:tcPr>
        <w:p w:rsidR="005050BF" w:rsidRPr="00CB70DF" w:rsidRDefault="005050BF" w:rsidP="00DB2309">
          <w:pPr>
            <w:pStyle w:val="FooterRightPageNumber"/>
          </w:pPr>
          <w:r w:rsidRPr="00EB388E">
            <w:fldChar w:fldCharType="begin"/>
          </w:r>
          <w:r w:rsidRPr="00EB388E">
            <w:instrText xml:space="preserve"> PAGE   \* MERGEFORMAT </w:instrText>
          </w:r>
          <w:r w:rsidRPr="00EB388E">
            <w:fldChar w:fldCharType="separate"/>
          </w:r>
          <w:r w:rsidR="001C2C6D">
            <w:t>561</w:t>
          </w:r>
          <w:r w:rsidRPr="00EB388E">
            <w:fldChar w:fldCharType="end"/>
          </w:r>
        </w:p>
      </w:tc>
    </w:tr>
    <w:tr w:rsidR="005050BF" w:rsidRPr="00EB388E" w:rsidTr="00DB2309">
      <w:trPr>
        <w:trHeight w:hRule="exact" w:val="403"/>
      </w:trPr>
      <w:tc>
        <w:tcPr>
          <w:tcW w:w="8164" w:type="dxa"/>
        </w:tcPr>
        <w:p w:rsidR="005050BF" w:rsidRPr="00090E70" w:rsidRDefault="005050BF" w:rsidP="00DB2309"/>
      </w:tc>
      <w:tc>
        <w:tcPr>
          <w:tcW w:w="567" w:type="dxa"/>
          <w:tcMar>
            <w:bottom w:w="284" w:type="dxa"/>
          </w:tcMar>
        </w:tcPr>
        <w:p w:rsidR="005050BF" w:rsidRPr="00090E70" w:rsidRDefault="005050BF" w:rsidP="00DB2309"/>
      </w:tc>
    </w:tr>
  </w:tbl>
  <w:p w:rsidR="005050BF" w:rsidRDefault="005050BF">
    <w:pPr>
      <w:pStyle w:val="Footer"/>
    </w:pPr>
  </w:p>
  <w:p w:rsidR="005050BF" w:rsidRPr="004816D7" w:rsidRDefault="005050BF" w:rsidP="002024BF">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7208C6">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560</w:t>
    </w:r>
    <w:r w:rsidRPr="00C24267">
      <w:fldChar w:fldCharType="end"/>
    </w:r>
    <w:r w:rsidRPr="00C24267">
      <w:t xml:space="preserve"> of </w:t>
    </w:r>
    <w:fldSimple w:instr=" NUMPAGES  \* Arabic  \* MERGEFORMAT ">
      <w:r>
        <w:rPr>
          <w:noProof/>
        </w:rPr>
        <w:t>131</w:t>
      </w:r>
    </w:fldSimple>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DB2309">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572</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DB2309">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DB2309">
      <w:trPr>
        <w:trHeight w:val="340"/>
      </w:trPr>
      <w:tc>
        <w:tcPr>
          <w:tcW w:w="8164" w:type="dxa"/>
          <w:tcBorders>
            <w:right w:val="single" w:sz="4" w:space="0" w:color="788184" w:themeColor="background2"/>
          </w:tcBorders>
          <w:vAlign w:val="center"/>
        </w:tcPr>
        <w:p w:rsidR="005050BF" w:rsidRPr="00CB70DF" w:rsidRDefault="001C2C6D" w:rsidP="00DB2309">
          <w:pPr>
            <w:pStyle w:val="FooterRight"/>
            <w:framePr w:wrap="auto" w:vAnchor="margin" w:hAnchor="text" w:xAlign="left" w:yAlign="inline"/>
          </w:pPr>
          <w:fldSimple w:instr=" STYLEREF  &quot;Heading 8,Appendix Title&quot; \r \* MERGEFORMAT ">
            <w:r>
              <w:rPr>
                <w:noProof/>
              </w:rPr>
              <w:t>Appendix G</w:t>
            </w:r>
          </w:fldSimple>
        </w:p>
      </w:tc>
      <w:tc>
        <w:tcPr>
          <w:tcW w:w="567" w:type="dxa"/>
          <w:tcBorders>
            <w:left w:val="single" w:sz="4" w:space="0" w:color="788184" w:themeColor="background2"/>
          </w:tcBorders>
          <w:vAlign w:val="center"/>
        </w:tcPr>
        <w:p w:rsidR="005050BF" w:rsidRPr="00CB70DF" w:rsidRDefault="005050BF" w:rsidP="00DB2309">
          <w:pPr>
            <w:pStyle w:val="FooterRightPageNumber"/>
          </w:pPr>
          <w:r w:rsidRPr="00EB388E">
            <w:fldChar w:fldCharType="begin"/>
          </w:r>
          <w:r w:rsidRPr="00EB388E">
            <w:instrText xml:space="preserve"> PAGE   \* MERGEFORMAT </w:instrText>
          </w:r>
          <w:r w:rsidRPr="00EB388E">
            <w:fldChar w:fldCharType="separate"/>
          </w:r>
          <w:r w:rsidR="001C2C6D">
            <w:t>573</w:t>
          </w:r>
          <w:r w:rsidRPr="00EB388E">
            <w:fldChar w:fldCharType="end"/>
          </w:r>
        </w:p>
      </w:tc>
    </w:tr>
    <w:tr w:rsidR="005050BF" w:rsidRPr="00EB388E" w:rsidTr="00DB2309">
      <w:trPr>
        <w:trHeight w:hRule="exact" w:val="403"/>
      </w:trPr>
      <w:tc>
        <w:tcPr>
          <w:tcW w:w="8164" w:type="dxa"/>
        </w:tcPr>
        <w:p w:rsidR="005050BF" w:rsidRPr="00090E70" w:rsidRDefault="005050BF" w:rsidP="00DB2309"/>
      </w:tc>
      <w:tc>
        <w:tcPr>
          <w:tcW w:w="567" w:type="dxa"/>
          <w:tcMar>
            <w:bottom w:w="284" w:type="dxa"/>
          </w:tcMar>
        </w:tcPr>
        <w:p w:rsidR="005050BF" w:rsidRPr="00090E70" w:rsidRDefault="005050BF" w:rsidP="00DB2309"/>
      </w:tc>
    </w:tr>
  </w:tbl>
  <w:p w:rsidR="005050BF" w:rsidRDefault="005050BF">
    <w:pPr>
      <w:pStyle w:val="Footer"/>
    </w:pPr>
  </w:p>
  <w:p w:rsidR="005050BF" w:rsidRPr="004816D7" w:rsidRDefault="005050BF" w:rsidP="002024BF">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E20903">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571</w:t>
    </w:r>
    <w:r w:rsidRPr="00C24267">
      <w:fldChar w:fldCharType="end"/>
    </w:r>
    <w:r w:rsidRPr="00C24267">
      <w:t xml:space="preserve"> of </w:t>
    </w:r>
    <w:fldSimple w:instr=" NUMPAGES  \* Arabic  \* MERGEFORMAT ">
      <w:r>
        <w:rPr>
          <w:noProof/>
        </w:rPr>
        <w:t>131</w:t>
      </w:r>
    </w:fldSimple>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D13D1B">
      <w:trPr>
        <w:trHeight w:val="340"/>
      </w:trPr>
      <w:tc>
        <w:tcPr>
          <w:tcW w:w="567" w:type="dxa"/>
          <w:tcBorders>
            <w:right w:val="single" w:sz="4" w:space="0" w:color="788184" w:themeColor="background2"/>
          </w:tcBorders>
          <w:vAlign w:val="center"/>
        </w:tcPr>
        <w:p w:rsidR="005050BF" w:rsidRPr="00CB70DF" w:rsidRDefault="005050BF" w:rsidP="00D13D1B">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574</w:t>
          </w:r>
          <w:r w:rsidRPr="00EB388E">
            <w:fldChar w:fldCharType="end"/>
          </w:r>
        </w:p>
      </w:tc>
      <w:tc>
        <w:tcPr>
          <w:tcW w:w="8164" w:type="dxa"/>
          <w:tcBorders>
            <w:left w:val="single" w:sz="4" w:space="0" w:color="788184" w:themeColor="background2"/>
          </w:tcBorders>
          <w:vAlign w:val="center"/>
        </w:tcPr>
        <w:p w:rsidR="005050BF" w:rsidRPr="00CB70DF" w:rsidRDefault="005050BF" w:rsidP="00D13D1B">
          <w:pPr>
            <w:pStyle w:val="FooterLeft"/>
            <w:framePr w:wrap="auto" w:vAnchor="margin" w:hAnchor="text" w:yAlign="inline"/>
          </w:pPr>
          <w:r>
            <w:t>Post-election report of election commitments</w:t>
          </w:r>
        </w:p>
      </w:tc>
    </w:tr>
    <w:tr w:rsidR="005050BF" w:rsidRPr="00EB388E" w:rsidTr="00D13D1B">
      <w:trPr>
        <w:trHeight w:hRule="exact" w:val="403"/>
      </w:trPr>
      <w:tc>
        <w:tcPr>
          <w:tcW w:w="567" w:type="dxa"/>
          <w:tcMar>
            <w:bottom w:w="284" w:type="dxa"/>
          </w:tcMar>
        </w:tcPr>
        <w:p w:rsidR="005050BF" w:rsidRPr="00EB388E" w:rsidRDefault="005050BF" w:rsidP="00D13D1B">
          <w:pPr>
            <w:pStyle w:val="FooterRightPageNumber"/>
          </w:pPr>
        </w:p>
      </w:tc>
      <w:tc>
        <w:tcPr>
          <w:tcW w:w="8164" w:type="dxa"/>
          <w:tcMar>
            <w:bottom w:w="284" w:type="dxa"/>
          </w:tcMar>
        </w:tcPr>
        <w:p w:rsidR="005050BF" w:rsidRPr="00090E70" w:rsidRDefault="005050BF" w:rsidP="00D13D1B"/>
      </w:tc>
    </w:tr>
  </w:tbl>
  <w:p w:rsidR="005050BF" w:rsidRDefault="005050BF">
    <w:pPr>
      <w:pStyle w:val="Footer"/>
    </w:pPr>
  </w:p>
  <w:p w:rsidR="005050BF" w:rsidRPr="004816D7" w:rsidRDefault="005050BF" w:rsidP="004816D7">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D13D1B">
      <w:trPr>
        <w:trHeight w:val="340"/>
      </w:trPr>
      <w:tc>
        <w:tcPr>
          <w:tcW w:w="8164" w:type="dxa"/>
          <w:tcBorders>
            <w:right w:val="single" w:sz="4" w:space="0" w:color="788184" w:themeColor="background2"/>
          </w:tcBorders>
          <w:vAlign w:val="center"/>
        </w:tcPr>
        <w:p w:rsidR="005050BF" w:rsidRPr="00CB70DF" w:rsidRDefault="005050BF" w:rsidP="00D13D1B">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D13D1B">
          <w:pPr>
            <w:pStyle w:val="FooterRightPageNumber"/>
          </w:pPr>
          <w:r w:rsidRPr="00EB388E">
            <w:fldChar w:fldCharType="begin"/>
          </w:r>
          <w:r w:rsidRPr="00EB388E">
            <w:instrText xml:space="preserve"> PAGE   \* MERGEFORMAT </w:instrText>
          </w:r>
          <w:r w:rsidRPr="00EB388E">
            <w:fldChar w:fldCharType="separate"/>
          </w:r>
          <w:r w:rsidR="001C2C6D">
            <w:t>573</w:t>
          </w:r>
          <w:r w:rsidRPr="00EB388E">
            <w:fldChar w:fldCharType="end"/>
          </w:r>
        </w:p>
      </w:tc>
    </w:tr>
    <w:tr w:rsidR="005050BF" w:rsidRPr="00EB388E" w:rsidTr="00D13D1B">
      <w:trPr>
        <w:trHeight w:hRule="exact" w:val="403"/>
      </w:trPr>
      <w:tc>
        <w:tcPr>
          <w:tcW w:w="8164" w:type="dxa"/>
        </w:tcPr>
        <w:p w:rsidR="005050BF" w:rsidRPr="00090E70" w:rsidRDefault="005050BF" w:rsidP="00D13D1B"/>
      </w:tc>
      <w:tc>
        <w:tcPr>
          <w:tcW w:w="567" w:type="dxa"/>
          <w:tcMar>
            <w:bottom w:w="284" w:type="dxa"/>
          </w:tcMar>
        </w:tcPr>
        <w:p w:rsidR="005050BF" w:rsidRPr="00090E70" w:rsidRDefault="005050BF" w:rsidP="00D13D1B"/>
      </w:tc>
    </w:tr>
  </w:tbl>
  <w:p w:rsidR="005050BF" w:rsidRDefault="005050BF">
    <w:pPr>
      <w:pStyle w:val="Footer"/>
    </w:pPr>
  </w:p>
  <w:p w:rsidR="005050BF" w:rsidRPr="004816D7" w:rsidRDefault="005050BF" w:rsidP="00D13D1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452</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D13D1B">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574</w:t>
    </w:r>
    <w:r w:rsidRPr="00C24267">
      <w:fldChar w:fldCharType="end"/>
    </w:r>
    <w:r w:rsidRPr="00C24267">
      <w:t xml:space="preserve"> of </w:t>
    </w:r>
    <w:fldSimple w:instr=" NUMPAGES  \* Arabic  \* MERGEFORMAT ">
      <w:r>
        <w:rPr>
          <w:noProof/>
        </w:rPr>
        <w:t>59</w:t>
      </w:r>
    </w:fldSimple>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D13D1B">
      <w:trPr>
        <w:cantSplit/>
        <w:trHeight w:val="567"/>
      </w:trPr>
      <w:tc>
        <w:tcPr>
          <w:tcW w:w="595" w:type="dxa"/>
          <w:textDirection w:val="tbRl"/>
        </w:tcPr>
        <w:p w:rsidR="005050BF" w:rsidRPr="00EB388E" w:rsidRDefault="005050BF" w:rsidP="00D13D1B">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D13D1B">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578</w:t>
          </w:r>
          <w:r w:rsidRPr="00EB388E">
            <w:fldChar w:fldCharType="end"/>
          </w:r>
        </w:p>
      </w:tc>
    </w:tr>
    <w:tr w:rsidR="005050BF" w:rsidRPr="00EB388E" w:rsidTr="00D13D1B">
      <w:trPr>
        <w:cantSplit/>
        <w:trHeight w:val="8164"/>
      </w:trPr>
      <w:tc>
        <w:tcPr>
          <w:tcW w:w="595" w:type="dxa"/>
          <w:textDirection w:val="tbRl"/>
        </w:tcPr>
        <w:p w:rsidR="005050BF" w:rsidRDefault="005050BF" w:rsidP="00D13D1B">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D13D1B">
          <w:pPr>
            <w:pStyle w:val="FooterLeft"/>
            <w:framePr w:wrap="auto" w:vAnchor="margin" w:hAnchor="text" w:yAlign="inline"/>
          </w:pPr>
          <w:r>
            <w:t>Post-election report of election commitments</w:t>
          </w:r>
        </w:p>
      </w:tc>
    </w:tr>
  </w:tbl>
  <w:p w:rsidR="005050BF" w:rsidRPr="00E350DC" w:rsidRDefault="005050BF" w:rsidP="00D13D1B">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D13D1B">
      <w:trPr>
        <w:cantSplit/>
        <w:trHeight w:val="8164"/>
      </w:trPr>
      <w:tc>
        <w:tcPr>
          <w:tcW w:w="595" w:type="dxa"/>
          <w:textDirection w:val="tbRl"/>
        </w:tcPr>
        <w:p w:rsidR="005050BF" w:rsidRDefault="005050BF" w:rsidP="00D13D1B">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D13D1B">
          <w:pPr>
            <w:pStyle w:val="FooterRight"/>
            <w:framePr w:wrap="auto" w:vAnchor="margin" w:hAnchor="text" w:xAlign="left" w:yAlign="inline"/>
          </w:pPr>
          <w:r>
            <w:t>Appendix G</w:t>
          </w:r>
        </w:p>
      </w:tc>
    </w:tr>
    <w:tr w:rsidR="005050BF" w:rsidRPr="00EB388E" w:rsidTr="00D13D1B">
      <w:trPr>
        <w:cantSplit/>
        <w:trHeight w:val="850"/>
      </w:trPr>
      <w:tc>
        <w:tcPr>
          <w:tcW w:w="595" w:type="dxa"/>
          <w:textDirection w:val="tbRl"/>
        </w:tcPr>
        <w:p w:rsidR="005050BF" w:rsidRDefault="005050BF" w:rsidP="00D13D1B">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D13D1B">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575</w:t>
          </w:r>
          <w:r w:rsidRPr="00B917D0">
            <w:fldChar w:fldCharType="end"/>
          </w:r>
        </w:p>
      </w:tc>
    </w:tr>
  </w:tbl>
  <w:p w:rsidR="005050BF" w:rsidRPr="00E350DC" w:rsidRDefault="005050BF" w:rsidP="00D13D1B">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D13D1B">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578</w:t>
    </w:r>
    <w:r w:rsidRPr="00C24267">
      <w:fldChar w:fldCharType="end"/>
    </w:r>
    <w:r w:rsidRPr="00C24267">
      <w:t xml:space="preserve"> of </w:t>
    </w:r>
    <w:fldSimple w:instr=" NUMPAGES  \* Arabic  \* MERGEFORMAT ">
      <w:r>
        <w:rPr>
          <w:noProof/>
        </w:rPr>
        <w:t>59</w:t>
      </w:r>
    </w:fldSimple>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D13D1B">
      <w:trPr>
        <w:cantSplit/>
        <w:trHeight w:val="567"/>
      </w:trPr>
      <w:tc>
        <w:tcPr>
          <w:tcW w:w="595" w:type="dxa"/>
          <w:textDirection w:val="tbRl"/>
        </w:tcPr>
        <w:p w:rsidR="005050BF" w:rsidRPr="00EB388E" w:rsidRDefault="005050BF" w:rsidP="00D13D1B">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D13D1B">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578</w:t>
          </w:r>
          <w:r w:rsidRPr="00EB388E">
            <w:fldChar w:fldCharType="end"/>
          </w:r>
        </w:p>
      </w:tc>
    </w:tr>
    <w:tr w:rsidR="005050BF" w:rsidRPr="00EB388E" w:rsidTr="00D13D1B">
      <w:trPr>
        <w:cantSplit/>
        <w:trHeight w:val="8164"/>
      </w:trPr>
      <w:tc>
        <w:tcPr>
          <w:tcW w:w="595" w:type="dxa"/>
          <w:textDirection w:val="tbRl"/>
        </w:tcPr>
        <w:p w:rsidR="005050BF" w:rsidRDefault="005050BF" w:rsidP="00D13D1B">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D13D1B">
          <w:pPr>
            <w:pStyle w:val="FooterLeft"/>
            <w:framePr w:wrap="auto" w:vAnchor="margin" w:hAnchor="text" w:yAlign="inline"/>
          </w:pPr>
          <w:r>
            <w:t>Post-election report of election commitments</w:t>
          </w:r>
        </w:p>
      </w:tc>
    </w:tr>
  </w:tbl>
  <w:p w:rsidR="005050BF" w:rsidRPr="00E350DC" w:rsidRDefault="005050BF" w:rsidP="00D13D1B">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D13D1B">
      <w:trPr>
        <w:cantSplit/>
        <w:trHeight w:val="8164"/>
      </w:trPr>
      <w:tc>
        <w:tcPr>
          <w:tcW w:w="595" w:type="dxa"/>
          <w:textDirection w:val="tbRl"/>
        </w:tcPr>
        <w:p w:rsidR="005050BF" w:rsidRDefault="005050BF" w:rsidP="00D13D1B">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D13D1B">
          <w:pPr>
            <w:pStyle w:val="FooterRight"/>
            <w:framePr w:wrap="auto" w:vAnchor="margin" w:hAnchor="text" w:xAlign="left" w:yAlign="inline"/>
          </w:pPr>
          <w:fldSimple w:instr=" STYLEREF  &quot;Heading 8,Appendix Title&quot; \r \* MERGEFORMAT ">
            <w:r>
              <w:rPr>
                <w:noProof/>
              </w:rPr>
              <w:t>Appendix G</w:t>
            </w:r>
          </w:fldSimple>
        </w:p>
      </w:tc>
    </w:tr>
    <w:tr w:rsidR="005050BF" w:rsidRPr="00EB388E" w:rsidTr="00D13D1B">
      <w:trPr>
        <w:cantSplit/>
        <w:trHeight w:val="850"/>
      </w:trPr>
      <w:tc>
        <w:tcPr>
          <w:tcW w:w="595" w:type="dxa"/>
          <w:textDirection w:val="tbRl"/>
        </w:tcPr>
        <w:p w:rsidR="005050BF" w:rsidRDefault="005050BF" w:rsidP="00D13D1B">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D13D1B">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577</w:t>
          </w:r>
          <w:r w:rsidRPr="00B917D0">
            <w:fldChar w:fldCharType="end"/>
          </w:r>
        </w:p>
      </w:tc>
    </w:tr>
  </w:tbl>
  <w:p w:rsidR="005050BF" w:rsidRPr="00E350DC" w:rsidRDefault="005050BF" w:rsidP="00D13D1B">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582</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583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583</w:t>
    </w:r>
    <w:r w:rsidRPr="00C24267">
      <w:fldChar w:fldCharType="end"/>
    </w:r>
    <w:r w:rsidRPr="00C24267">
      <w:t xml:space="preserve"> of </w:t>
    </w:r>
    <w:fldSimple w:instr=" NUMPAGES  \* Arabic  \* MERGEFORMAT ">
      <w:r>
        <w:rPr>
          <w:noProof/>
        </w:rPr>
        <w:t>59</w:t>
      </w:r>
    </w:fldSimple>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586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453</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587</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587</w:t>
    </w:r>
    <w:r w:rsidRPr="00C24267">
      <w:fldChar w:fldCharType="end"/>
    </w:r>
    <w:r w:rsidRPr="00C24267">
      <w:t xml:space="preserve"> of </w:t>
    </w:r>
    <w:fldSimple w:instr=" NUMPAGES  \* Arabic  \* MERGEFORMAT ">
      <w:r>
        <w:rPr>
          <w:noProof/>
        </w:rPr>
        <w:t>59</w:t>
      </w:r>
    </w:fldSimple>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590</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591</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591</w:t>
    </w:r>
    <w:r w:rsidRPr="00C24267">
      <w:fldChar w:fldCharType="end"/>
    </w:r>
    <w:r w:rsidRPr="00C24267">
      <w:t xml:space="preserve"> of </w:t>
    </w:r>
    <w:fldSimple w:instr=" NUMPAGES  \* Arabic  \* MERGEFORMAT ">
      <w:r>
        <w:rPr>
          <w:noProof/>
        </w:rPr>
        <w:t>59</w:t>
      </w:r>
    </w:fldSimple>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596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595</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596</w:t>
    </w:r>
    <w:r w:rsidRPr="00C24267">
      <w:fldChar w:fldCharType="end"/>
    </w:r>
    <w:r w:rsidRPr="00C24267">
      <w:t xml:space="preserve"> of </w:t>
    </w:r>
    <w:fldSimple w:instr=" NUMPAGES  \* Arabic  \* MERGEFORMAT ">
      <w:r>
        <w:rPr>
          <w:noProof/>
        </w:rPr>
        <w:t>59</w:t>
      </w:r>
    </w:fldSimple>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598</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599</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7E3C99">
      <w:trPr>
        <w:cantSplit/>
        <w:trHeight w:val="567"/>
      </w:trPr>
      <w:tc>
        <w:tcPr>
          <w:tcW w:w="595" w:type="dxa"/>
          <w:textDirection w:val="tbRl"/>
        </w:tcPr>
        <w:p w:rsidR="005050BF" w:rsidRPr="00EB388E" w:rsidRDefault="005050BF" w:rsidP="007E3C99">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7E3C99">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454</w:t>
          </w:r>
          <w:r w:rsidRPr="00EB388E">
            <w:fldChar w:fldCharType="end"/>
          </w:r>
        </w:p>
      </w:tc>
    </w:tr>
    <w:tr w:rsidR="005050BF" w:rsidRPr="00EB388E" w:rsidTr="007E3C99">
      <w:trPr>
        <w:cantSplit/>
        <w:trHeight w:val="8164"/>
      </w:trPr>
      <w:tc>
        <w:tcPr>
          <w:tcW w:w="595" w:type="dxa"/>
          <w:textDirection w:val="tbRl"/>
        </w:tcPr>
        <w:p w:rsidR="005050BF" w:rsidRDefault="005050BF" w:rsidP="007E3C99">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7E3C99">
          <w:pPr>
            <w:pStyle w:val="FooterLeft"/>
            <w:framePr w:wrap="auto" w:vAnchor="margin" w:hAnchor="text" w:yAlign="inline"/>
          </w:pPr>
          <w:r>
            <w:t>Post-election report of election commitments</w:t>
          </w:r>
        </w:p>
      </w:tc>
    </w:tr>
  </w:tbl>
  <w:p w:rsidR="005050BF" w:rsidRPr="00E350DC" w:rsidRDefault="005050BF" w:rsidP="00E8358C">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599</w:t>
    </w:r>
    <w:r w:rsidRPr="00C24267">
      <w:fldChar w:fldCharType="end"/>
    </w:r>
    <w:r w:rsidRPr="00C24267">
      <w:t xml:space="preserve"> of </w:t>
    </w:r>
    <w:fldSimple w:instr=" NUMPAGES  \* Arabic  \* MERGEFORMAT ">
      <w:r>
        <w:rPr>
          <w:noProof/>
        </w:rPr>
        <w:t>59</w:t>
      </w:r>
    </w:fldSimple>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602</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601</w:t>
          </w:r>
          <w:r w:rsidRPr="00B917D0">
            <w:fldChar w:fldCharType="end"/>
          </w:r>
        </w:p>
      </w:tc>
    </w:tr>
  </w:tbl>
  <w:p w:rsidR="005050BF" w:rsidRPr="00E350DC" w:rsidRDefault="005050BF" w:rsidP="003F606A">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603</w:t>
    </w:r>
    <w:r w:rsidRPr="00C24267">
      <w:fldChar w:fldCharType="end"/>
    </w:r>
    <w:r w:rsidRPr="00C24267">
      <w:t xml:space="preserve"> of </w:t>
    </w:r>
    <w:fldSimple w:instr=" NUMPAGES  \* Arabic  \* MERGEFORMAT ">
      <w:r>
        <w:rPr>
          <w:noProof/>
        </w:rPr>
        <w:t>59</w:t>
      </w:r>
    </w:fldSimple>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604</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603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606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607</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608</w:t>
    </w:r>
    <w:r w:rsidRPr="00C24267">
      <w:fldChar w:fldCharType="end"/>
    </w:r>
    <w:r w:rsidRPr="00C24267">
      <w:t xml:space="preserve"> of </w:t>
    </w:r>
    <w:fldSimple w:instr=" NUMPAGES  \* Arabic  \* MERGEFORMAT ">
      <w:r>
        <w:rPr>
          <w:noProof/>
        </w:rPr>
        <w:t>59</w:t>
      </w:r>
    </w:fldSimple>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608</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7E3C99">
      <w:trPr>
        <w:cantSplit/>
        <w:trHeight w:val="8164"/>
      </w:trPr>
      <w:tc>
        <w:tcPr>
          <w:tcW w:w="595" w:type="dxa"/>
          <w:textDirection w:val="tbRl"/>
        </w:tcPr>
        <w:p w:rsidR="005050BF" w:rsidRDefault="005050BF" w:rsidP="007E3C99">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7E3C99">
          <w:pPr>
            <w:pStyle w:val="FooterRight"/>
            <w:framePr w:wrap="auto" w:vAnchor="margin" w:hAnchor="text" w:xAlign="left" w:yAlign="inline"/>
          </w:pPr>
          <w:fldSimple w:instr=" STYLEREF  &quot;Heading 8,Appendix Title&quot; \r \* MERGEFORMAT ">
            <w:r w:rsidR="005050BF">
              <w:rPr>
                <w:noProof/>
              </w:rPr>
              <w:t>Appendix G</w:t>
            </w:r>
          </w:fldSimple>
        </w:p>
      </w:tc>
    </w:tr>
    <w:tr w:rsidR="005050BF" w:rsidRPr="00EB388E" w:rsidTr="007E3C99">
      <w:trPr>
        <w:cantSplit/>
        <w:trHeight w:val="850"/>
      </w:trPr>
      <w:tc>
        <w:tcPr>
          <w:tcW w:w="595" w:type="dxa"/>
          <w:textDirection w:val="tbRl"/>
        </w:tcPr>
        <w:p w:rsidR="005050BF" w:rsidRDefault="005050BF" w:rsidP="007E3C99">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7E3C99">
          <w:pPr>
            <w:pStyle w:val="FooterRightPageNumberLS"/>
            <w:framePr w:wrap="auto" w:xAlign="left"/>
          </w:pPr>
          <w:r w:rsidRPr="00B917D0">
            <w:fldChar w:fldCharType="begin"/>
          </w:r>
          <w:r w:rsidRPr="00B917D0">
            <w:instrText xml:space="preserve"> PAGE   \* MERGEFORMAT </w:instrText>
          </w:r>
          <w:r w:rsidRPr="00B917D0">
            <w:fldChar w:fldCharType="separate"/>
          </w:r>
          <w:r>
            <w:t>452</w:t>
          </w:r>
          <w:r w:rsidRPr="00B917D0">
            <w:fldChar w:fldCharType="end"/>
          </w:r>
        </w:p>
      </w:tc>
    </w:tr>
  </w:tbl>
  <w:p w:rsidR="005050BF" w:rsidRPr="00E350DC" w:rsidRDefault="005050BF" w:rsidP="00E8358C">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3F606A">
          <w:pPr>
            <w:pStyle w:val="FooterRight"/>
            <w:framePr w:wrap="auto" w:vAnchor="margin" w:hAnchor="text" w:xAlign="left" w:yAlign="inline"/>
          </w:pPr>
          <w:fldSimple w:instr=" STYLEREF  &quot;Heading 8,Appendix Title&quot; \r \* MERGEFORMAT ">
            <w:r w:rsidR="005050BF" w:rsidRPr="00061D10">
              <w:rPr>
                <w:b w:val="0"/>
                <w:bCs/>
                <w:noProof/>
                <w:lang w:val="en-US"/>
              </w:rPr>
              <w:t>Appendix G</w:t>
            </w:r>
          </w:fldSimple>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t>609</w:t>
          </w:r>
          <w:r w:rsidRPr="00B917D0">
            <w:fldChar w:fldCharType="end"/>
          </w:r>
        </w:p>
      </w:tc>
    </w:tr>
  </w:tbl>
  <w:p w:rsidR="005050BF" w:rsidRPr="00E350DC" w:rsidRDefault="005050BF" w:rsidP="003F606A">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610</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611</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614</w:t>
    </w:r>
    <w:r w:rsidRPr="00C24267">
      <w:fldChar w:fldCharType="end"/>
    </w:r>
    <w:r w:rsidRPr="00C24267">
      <w:t xml:space="preserve"> of </w:t>
    </w:r>
    <w:fldSimple w:instr=" NUMPAGES  \* Arabic  \* MERGEFORMAT ">
      <w:r>
        <w:rPr>
          <w:noProof/>
        </w:rPr>
        <w:t>59</w:t>
      </w:r>
    </w:fldSimple>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614</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613</w:t>
          </w:r>
          <w:r w:rsidRPr="00B917D0">
            <w:fldChar w:fldCharType="end"/>
          </w:r>
        </w:p>
      </w:tc>
    </w:tr>
  </w:tbl>
  <w:p w:rsidR="005050BF" w:rsidRPr="00E350DC" w:rsidRDefault="005050BF" w:rsidP="003F606A">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618</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617</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618</w:t>
    </w:r>
    <w:r w:rsidRPr="00C24267">
      <w:fldChar w:fldCharType="end"/>
    </w:r>
    <w:r w:rsidRPr="00C24267">
      <w:t xml:space="preserve"> of </w:t>
    </w:r>
    <w:fldSimple w:instr=" NUMPAGES  \* Arabic  \* MERGEFORMAT ">
      <w:r>
        <w:rPr>
          <w:noProof/>
        </w:rPr>
        <w:t>59</w:t>
      </w:r>
    </w:fldSimple>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620</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458</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621</w:t>
          </w:r>
          <w:r w:rsidRPr="00B917D0">
            <w:fldChar w:fldCharType="end"/>
          </w:r>
        </w:p>
      </w:tc>
    </w:tr>
  </w:tbl>
  <w:p w:rsidR="005050BF" w:rsidRPr="00E350DC" w:rsidRDefault="005050BF" w:rsidP="003F606A">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623</w:t>
    </w:r>
    <w:r w:rsidRPr="00C24267">
      <w:fldChar w:fldCharType="end"/>
    </w:r>
    <w:r w:rsidRPr="00C24267">
      <w:t xml:space="preserve"> of </w:t>
    </w:r>
    <w:fldSimple w:instr=" NUMPAGES  \* Arabic  \* MERGEFORMAT ">
      <w:r>
        <w:rPr>
          <w:noProof/>
        </w:rPr>
        <w:t>59</w:t>
      </w:r>
    </w:fldSimple>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622</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623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628</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627</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628</w:t>
    </w:r>
    <w:r w:rsidRPr="00C24267">
      <w:fldChar w:fldCharType="end"/>
    </w:r>
    <w:r w:rsidRPr="00C24267">
      <w:t xml:space="preserve"> of </w:t>
    </w:r>
    <w:fldSimple w:instr=" NUMPAGES  \* Arabic  \* MERGEFORMAT ">
      <w:r>
        <w:rPr>
          <w:noProof/>
        </w:rPr>
        <w:t>59</w:t>
      </w:r>
    </w:fldSimple>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630</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629</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459</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632</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fldChar w:fldCharType="begin"/>
          </w:r>
          <w:r>
            <w:instrText xml:space="preserve"> STYLEREF  Title  \* MERGEFORMAT </w:instrText>
          </w:r>
          <w:r>
            <w:fldChar w:fldCharType="separate"/>
          </w:r>
          <w:r>
            <w:rPr>
              <w:b w:val="0"/>
              <w:bCs/>
              <w:noProof/>
              <w:lang w:val="en-US"/>
            </w:rPr>
            <w:t>Error! No text of specified style in document.</w:t>
          </w:r>
          <w:r>
            <w:rPr>
              <w:noProof/>
            </w:rPr>
            <w:fldChar w:fldCharType="end"/>
          </w:r>
        </w:p>
      </w:tc>
    </w:tr>
  </w:tbl>
  <w:p w:rsidR="005050BF" w:rsidRPr="00E350DC" w:rsidRDefault="005050BF" w:rsidP="003F606A">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631</w:t>
          </w:r>
          <w:r w:rsidRPr="00B917D0">
            <w:fldChar w:fldCharType="end"/>
          </w:r>
        </w:p>
      </w:tc>
    </w:tr>
  </w:tbl>
  <w:p w:rsidR="005050BF" w:rsidRPr="00E350DC" w:rsidRDefault="005050BF" w:rsidP="003F606A">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634</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633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636</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637</w:t>
          </w:r>
          <w:r w:rsidRPr="00B917D0">
            <w:fldChar w:fldCharType="end"/>
          </w:r>
        </w:p>
      </w:tc>
    </w:tr>
  </w:tbl>
  <w:p w:rsidR="005050BF" w:rsidRPr="00E350DC" w:rsidRDefault="005050BF" w:rsidP="003F606A">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640</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639</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5B2F0D">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457</w:t>
    </w:r>
    <w:r w:rsidRPr="00C24267">
      <w:fldChar w:fldCharType="end"/>
    </w:r>
    <w:r w:rsidRPr="00C24267">
      <w:t xml:space="preserve"> of </w:t>
    </w:r>
    <w:fldSimple w:instr=" NUMPAGES  \* Arabic  \* MERGEFORMAT ">
      <w:r>
        <w:rPr>
          <w:noProof/>
        </w:rPr>
        <w:t>131</w:t>
      </w:r>
    </w:fldSimple>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642</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641</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644</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643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646</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645</w:t>
          </w:r>
          <w:r w:rsidRPr="00B917D0">
            <w:fldChar w:fldCharType="end"/>
          </w:r>
        </w:p>
      </w:tc>
    </w:tr>
  </w:tbl>
  <w:p w:rsidR="005050BF" w:rsidRPr="00E350DC" w:rsidRDefault="005050BF" w:rsidP="003F606A">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646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647</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464</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648</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3F606A">
          <w:pPr>
            <w:pStyle w:val="FooterRight"/>
            <w:framePr w:wrap="auto" w:vAnchor="margin" w:hAnchor="text" w:xAlign="left" w:yAlign="inline"/>
          </w:pPr>
          <w:fldSimple w:instr=" STYLEREF  &quot;Heading 8,Appendix Title&quot; \r \* MERGEFORMAT ">
            <w:r w:rsidR="005050BF" w:rsidRPr="00061D10">
              <w:rPr>
                <w:b w:val="0"/>
                <w:bCs/>
                <w:noProof/>
                <w:lang w:val="en-US"/>
              </w:rPr>
              <w:t>Appendix G</w:t>
            </w:r>
          </w:fldSimple>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t>649</w:t>
          </w:r>
          <w:r w:rsidRPr="00B917D0">
            <w:fldChar w:fldCharType="end"/>
          </w:r>
        </w:p>
      </w:tc>
    </w:tr>
  </w:tbl>
  <w:p w:rsidR="005050BF" w:rsidRPr="00E350DC" w:rsidRDefault="005050BF" w:rsidP="003F606A">
    <w:pPr>
      <w:pStyle w:val="Foote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652</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651</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656</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655</w:t>
          </w:r>
          <w:r w:rsidRPr="00B917D0">
            <w:fldChar w:fldCharType="end"/>
          </w:r>
        </w:p>
      </w:tc>
    </w:tr>
  </w:tbl>
  <w:p w:rsidR="005050BF" w:rsidRPr="00E350DC" w:rsidRDefault="005050BF" w:rsidP="003F606A">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662</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663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463</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666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665</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668</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669</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670</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1C2C6D" w:rsidP="003F606A">
          <w:pPr>
            <w:pStyle w:val="FooterRight"/>
            <w:framePr w:wrap="auto" w:vAnchor="margin" w:hAnchor="text" w:xAlign="left" w:yAlign="inline"/>
          </w:pPr>
          <w:fldSimple w:instr=" STYLEREF  &quot;Heading 8,Appendix Title&quot; \r \* MERGEFORMAT ">
            <w:r w:rsidR="005050BF" w:rsidRPr="00CC75A5">
              <w:rPr>
                <w:b w:val="0"/>
                <w:bCs/>
                <w:noProof/>
                <w:lang w:val="en-US"/>
              </w:rPr>
              <w:t>Appendix G</w:t>
            </w:r>
          </w:fldSimple>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t>671</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672</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445</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5B2F0D">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462</w:t>
    </w:r>
    <w:r w:rsidRPr="00C24267">
      <w:fldChar w:fldCharType="end"/>
    </w:r>
    <w:r w:rsidRPr="00C24267">
      <w:t xml:space="preserve"> of </w:t>
    </w:r>
    <w:fldSimple w:instr=" NUMPAGES  \* Arabic  \* MERGEFORMAT ">
      <w:r>
        <w:rPr>
          <w:noProof/>
        </w:rPr>
        <w:t>131</w:t>
      </w:r>
    </w:fldSimple>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671</w:t>
          </w:r>
          <w:r w:rsidRPr="00B917D0">
            <w:fldChar w:fldCharType="end"/>
          </w:r>
        </w:p>
      </w:tc>
    </w:tr>
  </w:tbl>
  <w:p w:rsidR="005050BF" w:rsidRPr="00E350DC" w:rsidRDefault="005050BF" w:rsidP="003F606A">
    <w:pPr>
      <w:pStyle w:val="Foote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672</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673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674</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3F606A">
          <w:pPr>
            <w:pStyle w:val="FooterRight"/>
            <w:framePr w:wrap="auto" w:vAnchor="margin" w:hAnchor="text" w:xAlign="left" w:yAlign="inline"/>
          </w:pPr>
          <w:fldSimple w:instr=" STYLEREF  &quot;Heading 8,Appendix Title&quot; \r \* MERGEFORMAT ">
            <w:r w:rsidR="005050BF" w:rsidRPr="00CC75A5">
              <w:rPr>
                <w:b w:val="0"/>
                <w:bCs/>
                <w:noProof/>
                <w:lang w:val="en-US"/>
              </w:rPr>
              <w:t>Appendix G</w:t>
            </w:r>
          </w:fldSimple>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t>675</w:t>
          </w:r>
          <w:r w:rsidRPr="00B917D0">
            <w:fldChar w:fldCharType="end"/>
          </w:r>
        </w:p>
      </w:tc>
    </w:tr>
  </w:tbl>
  <w:p w:rsidR="005050BF" w:rsidRPr="00E350DC" w:rsidRDefault="005050BF" w:rsidP="003F606A">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684</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683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686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7E3C99">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463</w:t>
          </w:r>
          <w:r w:rsidRPr="00EB388E">
            <w:fldChar w:fldCharType="end"/>
          </w:r>
        </w:p>
      </w:tc>
      <w:tc>
        <w:tcPr>
          <w:tcW w:w="8164" w:type="dxa"/>
          <w:tcBorders>
            <w:left w:val="single" w:sz="4" w:space="0" w:color="788184" w:themeColor="background2"/>
          </w:tcBorders>
          <w:vAlign w:val="center"/>
        </w:tcPr>
        <w:p w:rsidR="005050BF" w:rsidRPr="00CB70DF" w:rsidRDefault="005050BF" w:rsidP="007E3C99">
          <w:pPr>
            <w:pStyle w:val="FooterLeft"/>
            <w:framePr w:wrap="auto" w:vAnchor="margin" w:hAnchor="text" w:yAlign="inline"/>
          </w:pPr>
          <w:r>
            <w:fldChar w:fldCharType="begin"/>
          </w:r>
          <w:r>
            <w:instrText xml:space="preserve"> STYLEREF  Title  \* MERGEFORMAT </w:instrText>
          </w:r>
          <w:r>
            <w:fldChar w:fldCharType="separate"/>
          </w:r>
          <w:r>
            <w:rPr>
              <w:b w:val="0"/>
              <w:bCs/>
              <w:noProof/>
              <w:lang w:val="en-US"/>
            </w:rPr>
            <w:t>Error! No text of specified style in document.</w:t>
          </w:r>
          <w:r>
            <w:rPr>
              <w:noProof/>
            </w:rPr>
            <w:fldChar w:fldCharType="end"/>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687</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688</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689</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630</w:t>
    </w:r>
    <w:r w:rsidRPr="00C24267">
      <w:fldChar w:fldCharType="end"/>
    </w:r>
    <w:r w:rsidRPr="00C24267">
      <w:t xml:space="preserve"> of </w:t>
    </w:r>
    <w:fldSimple w:instr=" NUMPAGES  \* Arabic  \* MERGEFORMAT ">
      <w:r>
        <w:rPr>
          <w:noProof/>
        </w:rPr>
        <w:t>59</w:t>
      </w:r>
    </w:fldSimple>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8430E8">
      <w:trPr>
        <w:trHeight w:val="340"/>
      </w:trPr>
      <w:tc>
        <w:tcPr>
          <w:tcW w:w="567" w:type="dxa"/>
          <w:tcBorders>
            <w:right w:val="single" w:sz="4" w:space="0" w:color="788184" w:themeColor="background2"/>
          </w:tcBorders>
          <w:vAlign w:val="center"/>
        </w:tcPr>
        <w:p w:rsidR="005050BF" w:rsidRPr="00CB70DF" w:rsidRDefault="005050BF" w:rsidP="008430E8">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692</w:t>
          </w:r>
          <w:r w:rsidRPr="00EB388E">
            <w:fldChar w:fldCharType="end"/>
          </w:r>
        </w:p>
      </w:tc>
      <w:tc>
        <w:tcPr>
          <w:tcW w:w="8164" w:type="dxa"/>
          <w:tcBorders>
            <w:left w:val="single" w:sz="4" w:space="0" w:color="788184" w:themeColor="background2"/>
          </w:tcBorders>
          <w:vAlign w:val="center"/>
        </w:tcPr>
        <w:p w:rsidR="005050BF" w:rsidRPr="00CB70DF" w:rsidRDefault="005050BF" w:rsidP="008430E8">
          <w:pPr>
            <w:pStyle w:val="FooterLeft"/>
            <w:framePr w:wrap="auto" w:vAnchor="margin" w:hAnchor="text" w:yAlign="inline"/>
          </w:pPr>
          <w:r>
            <w:t>Post-election report on election commitments</w:t>
          </w:r>
        </w:p>
      </w:tc>
    </w:tr>
    <w:tr w:rsidR="005050BF" w:rsidRPr="00EB388E" w:rsidTr="008430E8">
      <w:trPr>
        <w:trHeight w:hRule="exact" w:val="403"/>
      </w:trPr>
      <w:tc>
        <w:tcPr>
          <w:tcW w:w="567" w:type="dxa"/>
          <w:tcMar>
            <w:bottom w:w="284" w:type="dxa"/>
          </w:tcMar>
        </w:tcPr>
        <w:p w:rsidR="005050BF" w:rsidRPr="00EB388E" w:rsidRDefault="005050BF" w:rsidP="008430E8">
          <w:pPr>
            <w:pStyle w:val="FooterRightPageNumber"/>
          </w:pPr>
        </w:p>
      </w:tc>
      <w:tc>
        <w:tcPr>
          <w:tcW w:w="8164" w:type="dxa"/>
          <w:tcMar>
            <w:bottom w:w="284" w:type="dxa"/>
          </w:tcMar>
        </w:tcPr>
        <w:p w:rsidR="005050BF" w:rsidRPr="00090E70" w:rsidRDefault="005050BF" w:rsidP="008430E8"/>
      </w:tc>
    </w:tr>
  </w:tbl>
  <w:p w:rsidR="005050BF" w:rsidRDefault="005050BF">
    <w:pPr>
      <w:pStyle w:val="Footer"/>
    </w:pPr>
  </w:p>
  <w:p w:rsidR="005050BF" w:rsidRPr="004816D7" w:rsidRDefault="005050BF" w:rsidP="008430E8">
    <w:pPr>
      <w:pStyle w:val="Foote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8430E8">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r w:rsidRPr="00CB70DF">
            <w:t xml:space="preserve"> </w:t>
          </w:r>
        </w:p>
      </w:tc>
      <w:tc>
        <w:tcPr>
          <w:tcW w:w="567" w:type="dxa"/>
          <w:tcBorders>
            <w:left w:val="single" w:sz="4" w:space="0" w:color="788184" w:themeColor="background2"/>
          </w:tcBorders>
          <w:vAlign w:val="center"/>
        </w:tcPr>
        <w:p w:rsidR="005050BF" w:rsidRPr="00CB70DF" w:rsidRDefault="005050BF" w:rsidP="008430E8">
          <w:pPr>
            <w:pStyle w:val="FooterRightPageNumber"/>
          </w:pPr>
          <w:r w:rsidRPr="00EB388E">
            <w:fldChar w:fldCharType="begin"/>
          </w:r>
          <w:r w:rsidRPr="00EB388E">
            <w:instrText xml:space="preserve"> PAGE   \* MERGEFORMAT </w:instrText>
          </w:r>
          <w:r w:rsidRPr="00EB388E">
            <w:fldChar w:fldCharType="separate"/>
          </w:r>
          <w:r w:rsidR="001C2C6D">
            <w:t>691</w:t>
          </w:r>
          <w:r w:rsidRPr="00EB388E">
            <w:fldChar w:fldCharType="end"/>
          </w:r>
        </w:p>
      </w:tc>
    </w:tr>
    <w:tr w:rsidR="005050BF" w:rsidRPr="00EB388E" w:rsidTr="008430E8">
      <w:trPr>
        <w:trHeight w:hRule="exact" w:val="403"/>
      </w:trPr>
      <w:tc>
        <w:tcPr>
          <w:tcW w:w="8164" w:type="dxa"/>
        </w:tcPr>
        <w:p w:rsidR="005050BF" w:rsidRPr="00090E70" w:rsidRDefault="005050BF" w:rsidP="008430E8"/>
      </w:tc>
      <w:tc>
        <w:tcPr>
          <w:tcW w:w="567" w:type="dxa"/>
          <w:tcMar>
            <w:bottom w:w="284" w:type="dxa"/>
          </w:tcMar>
        </w:tcPr>
        <w:p w:rsidR="005050BF" w:rsidRPr="00090E70" w:rsidRDefault="005050BF" w:rsidP="008430E8"/>
      </w:tc>
    </w:tr>
  </w:tbl>
  <w:p w:rsidR="005050BF" w:rsidRDefault="005050BF">
    <w:pPr>
      <w:pStyle w:val="Footer"/>
    </w:pPr>
  </w:p>
  <w:p w:rsidR="005050BF" w:rsidRPr="004816D7" w:rsidRDefault="005050BF" w:rsidP="008430E8">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696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695</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465</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700</w:t>
    </w:r>
    <w:r w:rsidRPr="00C24267">
      <w:fldChar w:fldCharType="end"/>
    </w:r>
    <w:r w:rsidRPr="00C24267">
      <w:t xml:space="preserve"> of </w:t>
    </w:r>
    <w:fldSimple w:instr=" NUMPAGES  \* Arabic  \* MERGEFORMAT ">
      <w:r>
        <w:rPr>
          <w:noProof/>
        </w:rPr>
        <w:t>93</w:t>
      </w:r>
    </w:fldSimple>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700</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699</w:t>
          </w:r>
          <w:r w:rsidRPr="00B917D0">
            <w:fldChar w:fldCharType="end"/>
          </w:r>
        </w:p>
      </w:tc>
    </w:tr>
  </w:tbl>
  <w:p w:rsidR="005050BF" w:rsidRPr="00E350DC" w:rsidRDefault="005050BF" w:rsidP="003F606A">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702</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701</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716</w:t>
    </w:r>
    <w:r w:rsidRPr="00C24267">
      <w:fldChar w:fldCharType="end"/>
    </w:r>
    <w:r w:rsidRPr="00C24267">
      <w:t xml:space="preserve"> of </w:t>
    </w:r>
    <w:fldSimple w:instr=" NUMPAGES  \* Arabic  \* MERGEFORMAT ">
      <w:r>
        <w:rPr>
          <w:noProof/>
        </w:rPr>
        <w:t>93</w:t>
      </w:r>
    </w:fldSimple>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704</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703</w:t>
          </w:r>
          <w:r w:rsidRPr="00B917D0">
            <w:fldChar w:fldCharType="end"/>
          </w:r>
        </w:p>
      </w:tc>
    </w:tr>
  </w:tbl>
  <w:p w:rsidR="005050BF" w:rsidRPr="00E350DC" w:rsidRDefault="005050BF" w:rsidP="003F606A">
    <w:pPr>
      <w:pStyle w:val="Foote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716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715</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5B2F0D">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466</w:t>
    </w:r>
    <w:r w:rsidRPr="00C24267">
      <w:fldChar w:fldCharType="end"/>
    </w:r>
    <w:r w:rsidRPr="00C24267">
      <w:t xml:space="preserve"> of </w:t>
    </w:r>
    <w:fldSimple w:instr=" NUMPAGES  \* Arabic  \* MERGEFORMAT ">
      <w:r>
        <w:rPr>
          <w:noProof/>
        </w:rPr>
        <w:t>131</w:t>
      </w:r>
    </w:fldSimple>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732</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731</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736</w:t>
    </w:r>
    <w:r w:rsidRPr="00C24267">
      <w:fldChar w:fldCharType="end"/>
    </w:r>
    <w:r w:rsidRPr="00C24267">
      <w:t xml:space="preserve"> of </w:t>
    </w:r>
    <w:fldSimple w:instr=" NUMPAGES  \* Arabic  \* MERGEFORMAT ">
      <w:r>
        <w:rPr>
          <w:noProof/>
        </w:rPr>
        <w:t>93</w:t>
      </w:r>
    </w:fldSimple>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736</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735</w:t>
          </w:r>
          <w:r w:rsidRPr="00B917D0">
            <w:fldChar w:fldCharType="end"/>
          </w:r>
        </w:p>
      </w:tc>
    </w:tr>
  </w:tbl>
  <w:p w:rsidR="005050BF" w:rsidRPr="00E350DC" w:rsidRDefault="005050BF" w:rsidP="003F606A">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738</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739</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744</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743</w:t>
          </w:r>
          <w:r w:rsidRPr="00B917D0">
            <w:fldChar w:fldCharType="end"/>
          </w:r>
        </w:p>
      </w:tc>
    </w:tr>
  </w:tbl>
  <w:p w:rsidR="005050BF" w:rsidRPr="00E350DC" w:rsidRDefault="005050BF" w:rsidP="003F606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468</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748</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749</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754</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755</w:t>
          </w:r>
          <w:r w:rsidRPr="00B917D0">
            <w:fldChar w:fldCharType="end"/>
          </w:r>
        </w:p>
      </w:tc>
    </w:tr>
  </w:tbl>
  <w:p w:rsidR="005050BF" w:rsidRPr="00E350DC" w:rsidRDefault="005050BF" w:rsidP="003F606A">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758</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of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759</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760</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761</w:t>
          </w:r>
          <w:r w:rsidRPr="00B917D0">
            <w:fldChar w:fldCharType="end"/>
          </w:r>
        </w:p>
      </w:tc>
    </w:tr>
  </w:tbl>
  <w:p w:rsidR="005050BF" w:rsidRPr="00E350DC" w:rsidRDefault="005050BF" w:rsidP="003F606A">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802</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803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467</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814</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813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826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825</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828</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829</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842</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7E3C99">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467</w:t>
          </w:r>
          <w:r w:rsidRPr="00EB388E">
            <w:fldChar w:fldCharType="end"/>
          </w:r>
        </w:p>
      </w:tc>
      <w:tc>
        <w:tcPr>
          <w:tcW w:w="8164" w:type="dxa"/>
          <w:tcBorders>
            <w:left w:val="single" w:sz="4" w:space="0" w:color="788184" w:themeColor="background2"/>
          </w:tcBorders>
          <w:vAlign w:val="center"/>
        </w:tcPr>
        <w:p w:rsidR="005050BF" w:rsidRPr="00CB70DF" w:rsidRDefault="005050BF" w:rsidP="007E3C99">
          <w:pPr>
            <w:pStyle w:val="FooterLeft"/>
            <w:framePr w:wrap="auto" w:vAnchor="margin" w:hAnchor="text" w:yAlign="inline"/>
          </w:pPr>
          <w:r>
            <w:fldChar w:fldCharType="begin"/>
          </w:r>
          <w:r>
            <w:instrText xml:space="preserve"> STYLEREF  Title  \* MERGEFORMAT </w:instrText>
          </w:r>
          <w:r>
            <w:fldChar w:fldCharType="separate"/>
          </w:r>
          <w:r>
            <w:rPr>
              <w:b w:val="0"/>
              <w:bCs/>
              <w:noProof/>
              <w:lang w:val="en-US"/>
            </w:rPr>
            <w:t>Error! No text of specified style in document.</w:t>
          </w:r>
          <w:r>
            <w:rPr>
              <w:noProof/>
            </w:rPr>
            <w:fldChar w:fldCharType="end"/>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841</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844</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fldChar w:fldCharType="begin"/>
          </w:r>
          <w:r>
            <w:instrText xml:space="preserve"> STYLEREF  Title  \* MERGEFORMAT </w:instrText>
          </w:r>
          <w:r>
            <w:fldChar w:fldCharType="separate"/>
          </w:r>
          <w:r>
            <w:rPr>
              <w:b w:val="0"/>
              <w:bCs/>
              <w:noProof/>
              <w:lang w:val="en-US"/>
            </w:rPr>
            <w:t>Error! No text of specified style in document.</w:t>
          </w:r>
          <w:r>
            <w:rPr>
              <w:noProof/>
            </w:rPr>
            <w:fldChar w:fldCharType="end"/>
          </w:r>
        </w:p>
      </w:tc>
    </w:tr>
  </w:tbl>
  <w:p w:rsidR="005050BF" w:rsidRPr="00E350DC" w:rsidRDefault="005050BF" w:rsidP="003F606A">
    <w:pPr>
      <w:pStyle w:val="Foote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843</w:t>
          </w:r>
          <w:r w:rsidRPr="00B917D0">
            <w:fldChar w:fldCharType="end"/>
          </w:r>
        </w:p>
      </w:tc>
    </w:tr>
  </w:tbl>
  <w:p w:rsidR="005050BF" w:rsidRPr="00E350DC" w:rsidRDefault="005050BF" w:rsidP="003F606A">
    <w:pPr>
      <w:pStyle w:val="Foote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848</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849</w:t>
          </w:r>
          <w:r w:rsidRPr="00B917D0">
            <w:fldChar w:fldCharType="end"/>
          </w:r>
        </w:p>
      </w:tc>
    </w:tr>
  </w:tbl>
  <w:p w:rsidR="005050BF" w:rsidRPr="00E350DC" w:rsidRDefault="005050BF" w:rsidP="003F606A">
    <w:pPr>
      <w:pStyle w:val="Foote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866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865</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469</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868</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fldChar w:fldCharType="begin"/>
          </w:r>
          <w:r>
            <w:instrText xml:space="preserve"> STYLEREF  Title  \* MERGEFORMAT </w:instrText>
          </w:r>
          <w:r>
            <w:fldChar w:fldCharType="separate"/>
          </w:r>
          <w:r>
            <w:rPr>
              <w:b w:val="0"/>
              <w:bCs/>
              <w:noProof/>
              <w:lang w:val="en-US"/>
            </w:rPr>
            <w:t>Error! No text of specified style in document.</w:t>
          </w:r>
          <w:r>
            <w:rPr>
              <w:noProof/>
            </w:rPr>
            <w:fldChar w:fldCharType="end"/>
          </w:r>
        </w:p>
      </w:tc>
    </w:tr>
  </w:tbl>
  <w:p w:rsidR="005050BF" w:rsidRPr="00E350DC" w:rsidRDefault="005050BF" w:rsidP="003F606A">
    <w:pPr>
      <w:pStyle w:val="Foote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867</w:t>
          </w:r>
          <w:r w:rsidRPr="00B917D0">
            <w:fldChar w:fldCharType="end"/>
          </w:r>
        </w:p>
      </w:tc>
    </w:tr>
  </w:tbl>
  <w:p w:rsidR="005050BF" w:rsidRPr="00E350DC" w:rsidRDefault="005050BF" w:rsidP="003F606A">
    <w:pPr>
      <w:pStyle w:val="Foote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870</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871</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872</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873</w:t>
          </w:r>
          <w:r w:rsidRPr="00B917D0">
            <w:fldChar w:fldCharType="end"/>
          </w:r>
        </w:p>
      </w:tc>
    </w:tr>
  </w:tbl>
  <w:p w:rsidR="005050BF" w:rsidRPr="00E350DC" w:rsidRDefault="005050BF" w:rsidP="003F606A">
    <w:pPr>
      <w:pStyle w:val="Foote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876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875</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D32A11" w:rsidRDefault="005050BF" w:rsidP="005B2F0D">
    <w:pPr>
      <w:pStyle w:val="Foote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878</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877</w:t>
          </w:r>
          <w:r w:rsidRPr="00B917D0">
            <w:fldChar w:fldCharType="end"/>
          </w:r>
        </w:p>
      </w:tc>
    </w:tr>
  </w:tbl>
  <w:p w:rsidR="005050BF" w:rsidRPr="00E350DC" w:rsidRDefault="005050BF" w:rsidP="003F606A">
    <w:pPr>
      <w:pStyle w:val="Footer"/>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884</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883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886</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fldChar w:fldCharType="begin"/>
          </w:r>
          <w:r>
            <w:instrText xml:space="preserve"> STYLEREF  Title  \* MERGEFORMAT </w:instrText>
          </w:r>
          <w:r>
            <w:fldChar w:fldCharType="separate"/>
          </w:r>
          <w:r w:rsidR="001C2C6D">
            <w:rPr>
              <w:b w:val="0"/>
              <w:bCs/>
              <w:noProof/>
              <w:lang w:val="en-US"/>
            </w:rPr>
            <w:t>Error! No text of specified style in document.</w:t>
          </w:r>
          <w:r>
            <w:rPr>
              <w:noProof/>
            </w:rPr>
            <w:fldChar w:fldCharType="end"/>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885</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567"/>
      </w:trPr>
      <w:tc>
        <w:tcPr>
          <w:tcW w:w="595" w:type="dxa"/>
          <w:textDirection w:val="tbRl"/>
        </w:tcPr>
        <w:p w:rsidR="005050BF" w:rsidRPr="00EB388E"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888</w:t>
          </w:r>
          <w:r w:rsidRPr="00EB388E">
            <w:fldChar w:fldCharType="end"/>
          </w:r>
        </w:p>
      </w:tc>
    </w:tr>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3F606A">
          <w:pPr>
            <w:pStyle w:val="FooterLeft"/>
            <w:framePr w:wrap="auto" w:vAnchor="margin" w:hAnchor="text" w:yAlign="inline"/>
          </w:pPr>
          <w:r>
            <w:t>Post-election report of election commitments</w:t>
          </w:r>
        </w:p>
      </w:tc>
    </w:tr>
  </w:tbl>
  <w:p w:rsidR="005050BF" w:rsidRPr="00E350DC" w:rsidRDefault="005050BF" w:rsidP="003F606A">
    <w:pPr>
      <w:pStyle w:val="Footer"/>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3F606A">
      <w:trPr>
        <w:cantSplit/>
        <w:trHeight w:val="8164"/>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5050BF" w:rsidP="003F606A">
          <w:pPr>
            <w:pStyle w:val="FooterRight"/>
            <w:framePr w:wrap="auto" w:vAnchor="margin" w:hAnchor="text" w:xAlign="left" w:yAlign="inline"/>
          </w:pPr>
          <w:r>
            <w:t>Appendix G</w:t>
          </w:r>
        </w:p>
      </w:tc>
    </w:tr>
    <w:tr w:rsidR="005050BF" w:rsidRPr="00EB388E" w:rsidTr="003F606A">
      <w:trPr>
        <w:cantSplit/>
        <w:trHeight w:val="850"/>
      </w:trPr>
      <w:tc>
        <w:tcPr>
          <w:tcW w:w="595" w:type="dxa"/>
          <w:textDirection w:val="tbRl"/>
        </w:tcPr>
        <w:p w:rsidR="005050BF" w:rsidRDefault="005050BF" w:rsidP="003F606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3F606A">
          <w:pPr>
            <w:pStyle w:val="FooterRightPageNumberLS"/>
            <w:framePr w:wrap="auto" w:xAlign="left"/>
          </w:pPr>
          <w:r w:rsidRPr="00B917D0">
            <w:fldChar w:fldCharType="begin"/>
          </w:r>
          <w:r w:rsidRPr="00B917D0">
            <w:instrText xml:space="preserve"> PAGE   \* MERGEFORMAT </w:instrText>
          </w:r>
          <w:r w:rsidRPr="00B917D0">
            <w:fldChar w:fldCharType="separate"/>
          </w:r>
          <w:r w:rsidR="001C2C6D">
            <w:t>887</w:t>
          </w:r>
          <w:r w:rsidRPr="00B917D0">
            <w:fldChar w:fldCharType="end"/>
          </w:r>
        </w:p>
      </w:tc>
    </w:tr>
  </w:tbl>
  <w:p w:rsidR="005050BF" w:rsidRPr="00E350DC" w:rsidRDefault="005050BF" w:rsidP="003F606A">
    <w:pPr>
      <w:pStyle w:val="Foote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890</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7E3C99">
      <w:trPr>
        <w:cantSplit/>
        <w:trHeight w:val="567"/>
      </w:trPr>
      <w:tc>
        <w:tcPr>
          <w:tcW w:w="595" w:type="dxa"/>
          <w:textDirection w:val="tbRl"/>
        </w:tcPr>
        <w:p w:rsidR="005050BF" w:rsidRPr="00EB388E" w:rsidRDefault="005050BF" w:rsidP="007E3C99">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7E3C99">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470</w:t>
          </w:r>
          <w:r w:rsidRPr="00EB388E">
            <w:fldChar w:fldCharType="end"/>
          </w:r>
        </w:p>
      </w:tc>
    </w:tr>
    <w:tr w:rsidR="005050BF" w:rsidRPr="00EB388E" w:rsidTr="007E3C99">
      <w:trPr>
        <w:cantSplit/>
        <w:trHeight w:val="8164"/>
      </w:trPr>
      <w:tc>
        <w:tcPr>
          <w:tcW w:w="595" w:type="dxa"/>
          <w:textDirection w:val="tbRl"/>
        </w:tcPr>
        <w:p w:rsidR="005050BF" w:rsidRDefault="005050BF" w:rsidP="007E3C99">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7E3C99">
          <w:pPr>
            <w:pStyle w:val="FooterLeft"/>
            <w:framePr w:wrap="auto" w:vAnchor="margin" w:hAnchor="text" w:yAlign="inline"/>
          </w:pPr>
          <w:r>
            <w:t>Post-election report of election commitments</w:t>
          </w:r>
        </w:p>
      </w:tc>
    </w:tr>
  </w:tbl>
  <w:p w:rsidR="005050BF" w:rsidRPr="00E350DC" w:rsidRDefault="005050BF" w:rsidP="00E8358C">
    <w:pPr>
      <w:pStyle w:val="Footer"/>
    </w:pP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891</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918</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917</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3F606A">
      <w:trPr>
        <w:trHeight w:val="340"/>
      </w:trPr>
      <w:tc>
        <w:tcPr>
          <w:tcW w:w="567" w:type="dxa"/>
          <w:tcBorders>
            <w:right w:val="single" w:sz="4" w:space="0" w:color="788184" w:themeColor="background2"/>
          </w:tcBorders>
          <w:vAlign w:val="center"/>
        </w:tcPr>
        <w:p w:rsidR="005050BF" w:rsidRPr="00CB70DF" w:rsidRDefault="005050BF" w:rsidP="003F606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934</w:t>
          </w:r>
          <w:r w:rsidRPr="00EB388E">
            <w:fldChar w:fldCharType="end"/>
          </w:r>
        </w:p>
      </w:tc>
      <w:tc>
        <w:tcPr>
          <w:tcW w:w="8164" w:type="dxa"/>
          <w:tcBorders>
            <w:left w:val="single" w:sz="4" w:space="0" w:color="788184" w:themeColor="background2"/>
          </w:tcBorders>
          <w:vAlign w:val="center"/>
        </w:tcPr>
        <w:p w:rsidR="005050BF" w:rsidRPr="00CB70DF" w:rsidRDefault="005050BF" w:rsidP="003F606A">
          <w:pPr>
            <w:pStyle w:val="FooterLeft"/>
            <w:framePr w:wrap="auto" w:vAnchor="margin" w:hAnchor="text" w:yAlign="inline"/>
          </w:pPr>
          <w:r>
            <w:t>Post-election report on election commitments</w:t>
          </w:r>
        </w:p>
      </w:tc>
    </w:tr>
    <w:tr w:rsidR="005050BF" w:rsidRPr="00EB388E" w:rsidTr="003F606A">
      <w:trPr>
        <w:trHeight w:hRule="exact" w:val="403"/>
      </w:trPr>
      <w:tc>
        <w:tcPr>
          <w:tcW w:w="567" w:type="dxa"/>
          <w:tcMar>
            <w:bottom w:w="284" w:type="dxa"/>
          </w:tcMar>
        </w:tcPr>
        <w:p w:rsidR="005050BF" w:rsidRPr="00EB388E" w:rsidRDefault="005050BF" w:rsidP="003F606A">
          <w:pPr>
            <w:pStyle w:val="FooterRightPageNumber"/>
          </w:pPr>
        </w:p>
      </w:tc>
      <w:tc>
        <w:tcPr>
          <w:tcW w:w="8164" w:type="dxa"/>
          <w:tcMar>
            <w:bottom w:w="284" w:type="dxa"/>
          </w:tcMar>
        </w:tcPr>
        <w:p w:rsidR="005050BF" w:rsidRPr="00090E70" w:rsidRDefault="005050BF" w:rsidP="003F606A"/>
      </w:tc>
    </w:tr>
  </w:tbl>
  <w:p w:rsidR="005050BF" w:rsidRDefault="005050BF">
    <w:pPr>
      <w:pStyle w:val="Footer"/>
    </w:pPr>
  </w:p>
  <w:p w:rsidR="005050BF" w:rsidRPr="004816D7" w:rsidRDefault="005050BF" w:rsidP="004816D7">
    <w:pPr>
      <w:pStyle w:val="Foote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3F606A">
      <w:trPr>
        <w:trHeight w:val="340"/>
      </w:trPr>
      <w:tc>
        <w:tcPr>
          <w:tcW w:w="8164" w:type="dxa"/>
          <w:tcBorders>
            <w:right w:val="single" w:sz="4" w:space="0" w:color="788184" w:themeColor="background2"/>
          </w:tcBorders>
          <w:vAlign w:val="center"/>
        </w:tcPr>
        <w:p w:rsidR="005050BF" w:rsidRPr="00CB70DF" w:rsidRDefault="005050BF" w:rsidP="003F606A">
          <w:pPr>
            <w:pStyle w:val="FooterRight"/>
            <w:framePr w:wrap="auto" w:vAnchor="margin" w:hAnchor="text" w:xAlign="left" w:yAlign="inline"/>
          </w:pPr>
          <w:r>
            <w:t>Appendix G</w:t>
          </w:r>
        </w:p>
      </w:tc>
      <w:tc>
        <w:tcPr>
          <w:tcW w:w="567" w:type="dxa"/>
          <w:tcBorders>
            <w:left w:val="single" w:sz="4" w:space="0" w:color="788184" w:themeColor="background2"/>
          </w:tcBorders>
          <w:vAlign w:val="center"/>
        </w:tcPr>
        <w:p w:rsidR="005050BF" w:rsidRPr="00CB70DF" w:rsidRDefault="005050BF" w:rsidP="003F606A">
          <w:pPr>
            <w:pStyle w:val="FooterRightPageNumber"/>
          </w:pPr>
          <w:r w:rsidRPr="00EB388E">
            <w:fldChar w:fldCharType="begin"/>
          </w:r>
          <w:r w:rsidRPr="00EB388E">
            <w:instrText xml:space="preserve"> PAGE   \* MERGEFORMAT </w:instrText>
          </w:r>
          <w:r w:rsidRPr="00EB388E">
            <w:fldChar w:fldCharType="separate"/>
          </w:r>
          <w:r w:rsidR="001C2C6D">
            <w:t>933</w:t>
          </w:r>
          <w:r w:rsidRPr="00EB388E">
            <w:fldChar w:fldCharType="end"/>
          </w:r>
        </w:p>
      </w:tc>
    </w:tr>
    <w:tr w:rsidR="005050BF" w:rsidRPr="00EB388E" w:rsidTr="003F606A">
      <w:trPr>
        <w:trHeight w:hRule="exact" w:val="403"/>
      </w:trPr>
      <w:tc>
        <w:tcPr>
          <w:tcW w:w="8164" w:type="dxa"/>
        </w:tcPr>
        <w:p w:rsidR="005050BF" w:rsidRPr="00090E70" w:rsidRDefault="005050BF" w:rsidP="003F606A"/>
      </w:tc>
      <w:tc>
        <w:tcPr>
          <w:tcW w:w="567" w:type="dxa"/>
          <w:tcMar>
            <w:bottom w:w="284" w:type="dxa"/>
          </w:tcMar>
        </w:tcPr>
        <w:p w:rsidR="005050BF" w:rsidRPr="00090E70" w:rsidRDefault="005050BF" w:rsidP="003F606A"/>
      </w:tc>
    </w:tr>
  </w:tbl>
  <w:p w:rsidR="005050BF" w:rsidRDefault="005050BF">
    <w:pPr>
      <w:pStyle w:val="Footer"/>
    </w:pPr>
  </w:p>
  <w:p w:rsidR="005050BF" w:rsidRPr="004816D7" w:rsidRDefault="005050BF" w:rsidP="003F606A">
    <w:pPr>
      <w:pStyle w:val="Foote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3F606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783</w:t>
    </w:r>
    <w:r w:rsidRPr="00C24267">
      <w:fldChar w:fldCharType="end"/>
    </w:r>
    <w:r w:rsidRPr="00C24267">
      <w:t xml:space="preserve"> of </w:t>
    </w:r>
    <w:fldSimple w:instr=" NUMPAGES  \* Arabic  \* MERGEFORMAT ">
      <w:r>
        <w:rPr>
          <w:noProof/>
        </w:rPr>
        <w:t>93</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7E3C99">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448</w:t>
          </w:r>
          <w:r w:rsidRPr="00EB388E">
            <w:fldChar w:fldCharType="end"/>
          </w:r>
        </w:p>
      </w:tc>
      <w:tc>
        <w:tcPr>
          <w:tcW w:w="8164" w:type="dxa"/>
          <w:tcBorders>
            <w:left w:val="single" w:sz="4" w:space="0" w:color="788184" w:themeColor="background2"/>
          </w:tcBorders>
          <w:vAlign w:val="center"/>
        </w:tcPr>
        <w:p w:rsidR="005050BF" w:rsidRPr="00CB70DF" w:rsidRDefault="005050BF" w:rsidP="007E3C99">
          <w:pPr>
            <w:pStyle w:val="FooterLeft"/>
            <w:framePr w:wrap="auto" w:vAnchor="margin" w:hAnchor="text" w:yAlign="inline"/>
          </w:pPr>
          <w:r>
            <w:t>Post-election report of election commitments</w:t>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7E3C99">
      <w:trPr>
        <w:cantSplit/>
        <w:trHeight w:val="8164"/>
      </w:trPr>
      <w:tc>
        <w:tcPr>
          <w:tcW w:w="595" w:type="dxa"/>
          <w:textDirection w:val="tbRl"/>
        </w:tcPr>
        <w:p w:rsidR="005050BF" w:rsidRDefault="005050BF" w:rsidP="007E3C99">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7E3C99">
          <w:pPr>
            <w:pStyle w:val="FooterRight"/>
            <w:framePr w:wrap="auto" w:vAnchor="margin" w:hAnchor="text" w:xAlign="left" w:yAlign="inline"/>
          </w:pPr>
          <w:fldSimple w:instr=" STYLEREF  &quot;Heading 8,Appendix Title&quot; \r \* MERGEFORMAT ">
            <w:r w:rsidR="005050BF">
              <w:rPr>
                <w:noProof/>
              </w:rPr>
              <w:t>Appendix G</w:t>
            </w:r>
          </w:fldSimple>
        </w:p>
      </w:tc>
    </w:tr>
    <w:tr w:rsidR="005050BF" w:rsidRPr="00EB388E" w:rsidTr="007E3C99">
      <w:trPr>
        <w:cantSplit/>
        <w:trHeight w:val="850"/>
      </w:trPr>
      <w:tc>
        <w:tcPr>
          <w:tcW w:w="595" w:type="dxa"/>
          <w:textDirection w:val="tbRl"/>
        </w:tcPr>
        <w:p w:rsidR="005050BF" w:rsidRDefault="005050BF" w:rsidP="007E3C99">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7E3C99">
          <w:pPr>
            <w:pStyle w:val="FooterRightPageNumberLS"/>
            <w:framePr w:wrap="auto" w:xAlign="left"/>
          </w:pPr>
          <w:r w:rsidRPr="00B917D0">
            <w:fldChar w:fldCharType="begin"/>
          </w:r>
          <w:r w:rsidRPr="00B917D0">
            <w:instrText xml:space="preserve"> PAGE   \* MERGEFORMAT </w:instrText>
          </w:r>
          <w:r w:rsidRPr="00B917D0">
            <w:fldChar w:fldCharType="separate"/>
          </w:r>
          <w:r>
            <w:t>468</w:t>
          </w:r>
          <w:r w:rsidRPr="00B917D0">
            <w:fldChar w:fldCharType="end"/>
          </w:r>
        </w:p>
      </w:tc>
    </w:tr>
  </w:tbl>
  <w:p w:rsidR="005050BF" w:rsidRPr="00E350DC" w:rsidRDefault="005050BF" w:rsidP="00E8358C">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474</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471</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5B2F0D">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472</w:t>
    </w:r>
    <w:r w:rsidRPr="00C24267">
      <w:fldChar w:fldCharType="end"/>
    </w:r>
    <w:r w:rsidRPr="00C24267">
      <w:t xml:space="preserve"> of </w:t>
    </w:r>
    <w:fldSimple w:instr=" NUMPAGES  \* Arabic  \* MERGEFORMAT ">
      <w:r>
        <w:rPr>
          <w:noProof/>
        </w:rPr>
        <w:t>131</w:t>
      </w:r>
    </w:fldSimple>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478</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475</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567E62">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476</w:t>
    </w:r>
    <w:r w:rsidRPr="00C24267">
      <w:fldChar w:fldCharType="end"/>
    </w:r>
    <w:r w:rsidRPr="00C24267">
      <w:t xml:space="preserve"> of </w:t>
    </w:r>
    <w:fldSimple w:instr=" NUMPAGES  \* Arabic  \* MERGEFORMAT ">
      <w:r>
        <w:rPr>
          <w:noProof/>
        </w:rPr>
        <w:t>131</w:t>
      </w:r>
    </w:fldSimple>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7E3C99">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477</w:t>
          </w:r>
          <w:r w:rsidRPr="00EB388E">
            <w:fldChar w:fldCharType="end"/>
          </w:r>
        </w:p>
      </w:tc>
      <w:tc>
        <w:tcPr>
          <w:tcW w:w="8164" w:type="dxa"/>
          <w:tcBorders>
            <w:left w:val="single" w:sz="4" w:space="0" w:color="788184" w:themeColor="background2"/>
          </w:tcBorders>
          <w:vAlign w:val="center"/>
        </w:tcPr>
        <w:p w:rsidR="005050BF" w:rsidRPr="00CB70DF" w:rsidRDefault="005050BF" w:rsidP="007E3C99">
          <w:pPr>
            <w:pStyle w:val="FooterLeft"/>
            <w:framePr w:wrap="auto" w:vAnchor="margin" w:hAnchor="text" w:yAlign="inline"/>
          </w:pPr>
          <w:r>
            <w:fldChar w:fldCharType="begin"/>
          </w:r>
          <w:r>
            <w:instrText xml:space="preserve"> STYLEREF  Title  \* MERGEFORMAT </w:instrText>
          </w:r>
          <w:r>
            <w:fldChar w:fldCharType="separate"/>
          </w:r>
          <w:r>
            <w:rPr>
              <w:b w:val="0"/>
              <w:bCs/>
              <w:noProof/>
              <w:lang w:val="en-US"/>
            </w:rPr>
            <w:t>Error! No text of specified style in document.</w:t>
          </w:r>
          <w:r>
            <w:rPr>
              <w:noProof/>
            </w:rPr>
            <w:fldChar w:fldCharType="end"/>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479</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567E62">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482</w:t>
    </w:r>
    <w:r w:rsidRPr="00C24267">
      <w:fldChar w:fldCharType="end"/>
    </w:r>
    <w:r w:rsidRPr="00C24267">
      <w:t xml:space="preserve"> of </w:t>
    </w:r>
    <w:fldSimple w:instr=" NUMPAGES  \* Arabic  \* MERGEFORMAT ">
      <w:r>
        <w:rPr>
          <w:noProof/>
        </w:rPr>
        <w:t>131</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449</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480</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481</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484</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7E3C99">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483</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E8358C">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488</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E8358C">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E8358C">
      <w:trPr>
        <w:trHeight w:val="340"/>
      </w:trPr>
      <w:tc>
        <w:tcPr>
          <w:tcW w:w="8164" w:type="dxa"/>
          <w:tcBorders>
            <w:right w:val="single" w:sz="4" w:space="0" w:color="788184" w:themeColor="background2"/>
          </w:tcBorders>
          <w:vAlign w:val="center"/>
        </w:tcPr>
        <w:p w:rsidR="005050BF" w:rsidRPr="00CB70DF" w:rsidRDefault="001C2C6D" w:rsidP="00E8358C">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E8358C">
          <w:pPr>
            <w:pStyle w:val="FooterRightPageNumber"/>
          </w:pPr>
          <w:r w:rsidRPr="00EB388E">
            <w:fldChar w:fldCharType="begin"/>
          </w:r>
          <w:r w:rsidRPr="00EB388E">
            <w:instrText xml:space="preserve"> PAGE   \* MERGEFORMAT </w:instrText>
          </w:r>
          <w:r w:rsidRPr="00EB388E">
            <w:fldChar w:fldCharType="separate"/>
          </w:r>
          <w:r w:rsidR="00E46526">
            <w:t>487</w:t>
          </w:r>
          <w:r w:rsidRPr="00EB388E">
            <w:fldChar w:fldCharType="end"/>
          </w:r>
        </w:p>
      </w:tc>
    </w:tr>
    <w:tr w:rsidR="005050BF" w:rsidRPr="00EB388E" w:rsidTr="00E8358C">
      <w:trPr>
        <w:trHeight w:hRule="exact" w:val="403"/>
      </w:trPr>
      <w:tc>
        <w:tcPr>
          <w:tcW w:w="8164" w:type="dxa"/>
        </w:tcPr>
        <w:p w:rsidR="005050BF" w:rsidRPr="00090E70" w:rsidRDefault="005050BF" w:rsidP="00E8358C"/>
      </w:tc>
      <w:tc>
        <w:tcPr>
          <w:tcW w:w="567" w:type="dxa"/>
          <w:tcMar>
            <w:bottom w:w="284" w:type="dxa"/>
          </w:tcMar>
        </w:tcPr>
        <w:p w:rsidR="005050BF" w:rsidRPr="00090E70" w:rsidRDefault="005050BF" w:rsidP="00E8358C"/>
      </w:tc>
    </w:tr>
  </w:tbl>
  <w:p w:rsidR="005050BF" w:rsidRDefault="005050BF">
    <w:pPr>
      <w:pStyle w:val="Footer"/>
    </w:pPr>
  </w:p>
  <w:p w:rsidR="005050BF" w:rsidRPr="004816D7" w:rsidRDefault="005050BF" w:rsidP="00E8358C">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567E62">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486</w:t>
    </w:r>
    <w:r w:rsidRPr="00C24267">
      <w:fldChar w:fldCharType="end"/>
    </w:r>
    <w:r w:rsidRPr="00C24267">
      <w:t xml:space="preserve"> of </w:t>
    </w:r>
    <w:fldSimple w:instr=" NUMPAGES  \* Arabic  \* MERGEFORMAT ">
      <w:r>
        <w:rPr>
          <w:noProof/>
        </w:rPr>
        <w:t>131</w:t>
      </w:r>
    </w:fldSimple>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E8358C">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490</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E8358C">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E8358C">
      <w:trPr>
        <w:trHeight w:val="340"/>
      </w:trPr>
      <w:tc>
        <w:tcPr>
          <w:tcW w:w="8164" w:type="dxa"/>
          <w:tcBorders>
            <w:right w:val="single" w:sz="4" w:space="0" w:color="788184" w:themeColor="background2"/>
          </w:tcBorders>
          <w:vAlign w:val="center"/>
        </w:tcPr>
        <w:p w:rsidR="005050BF" w:rsidRPr="00CB70DF" w:rsidRDefault="001C2C6D" w:rsidP="00E8358C">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E8358C">
          <w:pPr>
            <w:pStyle w:val="FooterRightPageNumber"/>
          </w:pPr>
          <w:r w:rsidRPr="00EB388E">
            <w:fldChar w:fldCharType="begin"/>
          </w:r>
          <w:r w:rsidRPr="00EB388E">
            <w:instrText xml:space="preserve"> PAGE   \* MERGEFORMAT </w:instrText>
          </w:r>
          <w:r w:rsidRPr="00EB388E">
            <w:fldChar w:fldCharType="separate"/>
          </w:r>
          <w:r w:rsidR="00E46526">
            <w:t>491</w:t>
          </w:r>
          <w:r w:rsidRPr="00EB388E">
            <w:fldChar w:fldCharType="end"/>
          </w:r>
        </w:p>
      </w:tc>
    </w:tr>
    <w:tr w:rsidR="005050BF" w:rsidRPr="00EB388E" w:rsidTr="00E8358C">
      <w:trPr>
        <w:trHeight w:hRule="exact" w:val="403"/>
      </w:trPr>
      <w:tc>
        <w:tcPr>
          <w:tcW w:w="8164" w:type="dxa"/>
        </w:tcPr>
        <w:p w:rsidR="005050BF" w:rsidRPr="00090E70" w:rsidRDefault="005050BF" w:rsidP="00E8358C"/>
      </w:tc>
      <w:tc>
        <w:tcPr>
          <w:tcW w:w="567" w:type="dxa"/>
          <w:tcMar>
            <w:bottom w:w="284" w:type="dxa"/>
          </w:tcMar>
        </w:tcPr>
        <w:p w:rsidR="005050BF" w:rsidRPr="00090E70" w:rsidRDefault="005050BF" w:rsidP="00E8358C"/>
      </w:tc>
    </w:tr>
  </w:tbl>
  <w:p w:rsidR="005050BF" w:rsidRDefault="005050BF">
    <w:pPr>
      <w:pStyle w:val="Footer"/>
    </w:pPr>
  </w:p>
  <w:p w:rsidR="005050BF" w:rsidRPr="004816D7" w:rsidRDefault="005050BF" w:rsidP="00E8358C">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567E62">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489</w:t>
    </w:r>
    <w:r w:rsidRPr="00C24267">
      <w:fldChar w:fldCharType="end"/>
    </w:r>
    <w:r w:rsidRPr="00C24267">
      <w:t xml:space="preserve"> of </w:t>
    </w:r>
    <w:fldSimple w:instr=" NUMPAGES  \* Arabic  \* MERGEFORMAT ">
      <w:r>
        <w:rPr>
          <w:noProof/>
        </w:rPr>
        <w:t>131</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7E3C99">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450</w:t>
          </w:r>
          <w:r w:rsidRPr="00EB388E">
            <w:fldChar w:fldCharType="end"/>
          </w:r>
        </w:p>
      </w:tc>
      <w:tc>
        <w:tcPr>
          <w:tcW w:w="8164" w:type="dxa"/>
          <w:tcBorders>
            <w:left w:val="single" w:sz="4" w:space="0" w:color="788184" w:themeColor="background2"/>
          </w:tcBorders>
          <w:vAlign w:val="center"/>
        </w:tcPr>
        <w:p w:rsidR="005050BF" w:rsidRPr="00CB70DF" w:rsidRDefault="005050BF" w:rsidP="007E3C99">
          <w:pPr>
            <w:pStyle w:val="FooterLeft"/>
            <w:framePr w:wrap="auto" w:vAnchor="margin" w:hAnchor="text" w:yAlign="inline"/>
          </w:pPr>
          <w:r>
            <w:t>Post-election report of election commitments</w:t>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E8358C">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492</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E8358C">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E8358C">
      <w:trPr>
        <w:trHeight w:val="340"/>
      </w:trPr>
      <w:tc>
        <w:tcPr>
          <w:tcW w:w="8164" w:type="dxa"/>
          <w:tcBorders>
            <w:right w:val="single" w:sz="4" w:space="0" w:color="788184" w:themeColor="background2"/>
          </w:tcBorders>
          <w:vAlign w:val="center"/>
        </w:tcPr>
        <w:p w:rsidR="005050BF" w:rsidRPr="00CB70DF" w:rsidRDefault="001C2C6D" w:rsidP="00E8358C">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E8358C">
          <w:pPr>
            <w:pStyle w:val="FooterRightPageNumber"/>
          </w:pPr>
          <w:r w:rsidRPr="00EB388E">
            <w:fldChar w:fldCharType="begin"/>
          </w:r>
          <w:r w:rsidRPr="00EB388E">
            <w:instrText xml:space="preserve"> PAGE   \* MERGEFORMAT </w:instrText>
          </w:r>
          <w:r w:rsidRPr="00EB388E">
            <w:fldChar w:fldCharType="separate"/>
          </w:r>
          <w:r w:rsidR="00E46526">
            <w:t>495</w:t>
          </w:r>
          <w:r w:rsidRPr="00EB388E">
            <w:fldChar w:fldCharType="end"/>
          </w:r>
        </w:p>
      </w:tc>
    </w:tr>
    <w:tr w:rsidR="005050BF" w:rsidRPr="00EB388E" w:rsidTr="00E8358C">
      <w:trPr>
        <w:trHeight w:hRule="exact" w:val="403"/>
      </w:trPr>
      <w:tc>
        <w:tcPr>
          <w:tcW w:w="8164" w:type="dxa"/>
        </w:tcPr>
        <w:p w:rsidR="005050BF" w:rsidRPr="00090E70" w:rsidRDefault="005050BF" w:rsidP="00E8358C"/>
      </w:tc>
      <w:tc>
        <w:tcPr>
          <w:tcW w:w="567" w:type="dxa"/>
          <w:tcMar>
            <w:bottom w:w="284" w:type="dxa"/>
          </w:tcMar>
        </w:tcPr>
        <w:p w:rsidR="005050BF" w:rsidRPr="00090E70" w:rsidRDefault="005050BF" w:rsidP="00E8358C"/>
      </w:tc>
    </w:tr>
  </w:tbl>
  <w:p w:rsidR="005050BF" w:rsidRDefault="005050BF">
    <w:pPr>
      <w:pStyle w:val="Footer"/>
    </w:pPr>
  </w:p>
  <w:p w:rsidR="005050BF" w:rsidRPr="004816D7" w:rsidRDefault="005050BF" w:rsidP="00E8358C">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567E62">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493</w:t>
    </w:r>
    <w:r w:rsidRPr="00C24267">
      <w:fldChar w:fldCharType="end"/>
    </w:r>
    <w:r w:rsidRPr="00C24267">
      <w:t xml:space="preserve"> of </w:t>
    </w:r>
    <w:fldSimple w:instr=" NUMPAGES  \* Arabic  \* MERGEFORMAT ">
      <w:r>
        <w:rPr>
          <w:noProof/>
        </w:rPr>
        <w:t>131</w:t>
      </w:r>
    </w:fldSimple>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E8358C">
      <w:trPr>
        <w:cantSplit/>
        <w:trHeight w:val="567"/>
      </w:trPr>
      <w:tc>
        <w:tcPr>
          <w:tcW w:w="595" w:type="dxa"/>
          <w:textDirection w:val="tbRl"/>
        </w:tcPr>
        <w:p w:rsidR="005050BF" w:rsidRPr="00EB388E" w:rsidRDefault="005050BF" w:rsidP="00E8358C">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E8358C">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496</w:t>
          </w:r>
          <w:r w:rsidRPr="00EB388E">
            <w:fldChar w:fldCharType="end"/>
          </w:r>
        </w:p>
      </w:tc>
    </w:tr>
    <w:tr w:rsidR="005050BF" w:rsidRPr="00EB388E" w:rsidTr="00E8358C">
      <w:trPr>
        <w:cantSplit/>
        <w:trHeight w:val="8164"/>
      </w:trPr>
      <w:tc>
        <w:tcPr>
          <w:tcW w:w="595" w:type="dxa"/>
          <w:textDirection w:val="tbRl"/>
        </w:tcPr>
        <w:p w:rsidR="005050BF" w:rsidRDefault="005050BF" w:rsidP="00E8358C">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E8358C">
          <w:pPr>
            <w:pStyle w:val="FooterLeft"/>
            <w:framePr w:wrap="auto" w:vAnchor="margin" w:hAnchor="text" w:yAlign="inline"/>
          </w:pPr>
          <w:r>
            <w:t>Post-election report of election commitments</w:t>
          </w:r>
        </w:p>
      </w:tc>
    </w:tr>
  </w:tbl>
  <w:p w:rsidR="005050BF" w:rsidRPr="00E350DC" w:rsidRDefault="005050BF" w:rsidP="00E8358C">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E8358C">
      <w:trPr>
        <w:cantSplit/>
        <w:trHeight w:val="8164"/>
      </w:trPr>
      <w:tc>
        <w:tcPr>
          <w:tcW w:w="595" w:type="dxa"/>
          <w:textDirection w:val="tbRl"/>
        </w:tcPr>
        <w:p w:rsidR="005050BF" w:rsidRDefault="005050BF" w:rsidP="00E8358C">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E8358C">
          <w:pPr>
            <w:pStyle w:val="FooterRight"/>
            <w:framePr w:wrap="auto" w:vAnchor="margin" w:hAnchor="text" w:xAlign="left" w:yAlign="inline"/>
          </w:pPr>
          <w:fldSimple w:instr=" STYLEREF  &quot;Heading 8,Appendix Title&quot; \r \* MERGEFORMAT ">
            <w:r w:rsidR="005050BF">
              <w:rPr>
                <w:noProof/>
              </w:rPr>
              <w:t>Appendix G</w:t>
            </w:r>
          </w:fldSimple>
        </w:p>
      </w:tc>
    </w:tr>
    <w:tr w:rsidR="005050BF" w:rsidRPr="00EB388E" w:rsidTr="00E8358C">
      <w:trPr>
        <w:cantSplit/>
        <w:trHeight w:val="850"/>
      </w:trPr>
      <w:tc>
        <w:tcPr>
          <w:tcW w:w="595" w:type="dxa"/>
          <w:textDirection w:val="tbRl"/>
        </w:tcPr>
        <w:p w:rsidR="005050BF" w:rsidRDefault="005050BF" w:rsidP="00E8358C">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E8358C">
          <w:pPr>
            <w:pStyle w:val="FooterRightPageNumberLS"/>
            <w:framePr w:wrap="auto" w:xAlign="left"/>
          </w:pPr>
          <w:r w:rsidRPr="00B917D0">
            <w:fldChar w:fldCharType="begin"/>
          </w:r>
          <w:r w:rsidRPr="00B917D0">
            <w:instrText xml:space="preserve"> PAGE   \* MERGEFORMAT </w:instrText>
          </w:r>
          <w:r w:rsidRPr="00B917D0">
            <w:fldChar w:fldCharType="separate"/>
          </w:r>
          <w:r>
            <w:t>494</w:t>
          </w:r>
          <w:r w:rsidRPr="00B917D0">
            <w:fldChar w:fldCharType="end"/>
          </w:r>
        </w:p>
      </w:tc>
    </w:tr>
  </w:tbl>
  <w:p w:rsidR="005050BF" w:rsidRPr="00E350DC" w:rsidRDefault="005050BF" w:rsidP="00E8358C">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567E62">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494</w:t>
    </w:r>
    <w:r w:rsidRPr="00C24267">
      <w:fldChar w:fldCharType="end"/>
    </w:r>
    <w:r w:rsidRPr="00C24267">
      <w:t xml:space="preserve"> of </w:t>
    </w:r>
    <w:fldSimple w:instr=" NUMPAGES  \* Arabic  \* MERGEFORMAT ">
      <w:r>
        <w:rPr>
          <w:noProof/>
        </w:rPr>
        <w:t>131</w:t>
      </w:r>
    </w:fldSimple>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E8358C">
      <w:trPr>
        <w:cantSplit/>
        <w:trHeight w:val="567"/>
      </w:trPr>
      <w:tc>
        <w:tcPr>
          <w:tcW w:w="595" w:type="dxa"/>
          <w:textDirection w:val="tbRl"/>
        </w:tcPr>
        <w:p w:rsidR="005050BF" w:rsidRPr="00EB388E" w:rsidRDefault="005050BF" w:rsidP="00E8358C">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E8358C">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495</w:t>
          </w:r>
          <w:r w:rsidRPr="00EB388E">
            <w:fldChar w:fldCharType="end"/>
          </w:r>
        </w:p>
      </w:tc>
    </w:tr>
    <w:tr w:rsidR="005050BF" w:rsidRPr="00EB388E" w:rsidTr="00E8358C">
      <w:trPr>
        <w:cantSplit/>
        <w:trHeight w:val="8164"/>
      </w:trPr>
      <w:tc>
        <w:tcPr>
          <w:tcW w:w="595" w:type="dxa"/>
          <w:textDirection w:val="tbRl"/>
        </w:tcPr>
        <w:p w:rsidR="005050BF" w:rsidRDefault="005050BF" w:rsidP="00E8358C">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E8358C">
          <w:pPr>
            <w:pStyle w:val="FooterLeft"/>
            <w:framePr w:wrap="auto" w:vAnchor="margin" w:hAnchor="text" w:yAlign="inline"/>
          </w:pPr>
          <w:r>
            <w:fldChar w:fldCharType="begin"/>
          </w:r>
          <w:r>
            <w:instrText xml:space="preserve"> STYLEREF  Title  \* MERGEFORMAT </w:instrText>
          </w:r>
          <w:r>
            <w:fldChar w:fldCharType="separate"/>
          </w:r>
          <w:r>
            <w:rPr>
              <w:b w:val="0"/>
              <w:bCs/>
              <w:noProof/>
              <w:lang w:val="en-US"/>
            </w:rPr>
            <w:t>Error! No text of specified style in document.</w:t>
          </w:r>
          <w:r>
            <w:rPr>
              <w:noProof/>
            </w:rPr>
            <w:fldChar w:fldCharType="end"/>
          </w:r>
        </w:p>
      </w:tc>
    </w:tr>
  </w:tbl>
  <w:p w:rsidR="005050BF" w:rsidRPr="00E350DC" w:rsidRDefault="005050BF" w:rsidP="00E8358C">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E8358C">
      <w:trPr>
        <w:cantSplit/>
        <w:trHeight w:val="8164"/>
      </w:trPr>
      <w:tc>
        <w:tcPr>
          <w:tcW w:w="595" w:type="dxa"/>
          <w:textDirection w:val="tbRl"/>
        </w:tcPr>
        <w:p w:rsidR="005050BF" w:rsidRDefault="005050BF" w:rsidP="00E8358C">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E8358C">
          <w:pPr>
            <w:pStyle w:val="FooterRight"/>
            <w:framePr w:wrap="auto" w:vAnchor="margin" w:hAnchor="text" w:xAlign="left" w:yAlign="inline"/>
          </w:pPr>
          <w:fldSimple w:instr=" STYLEREF  &quot;Heading 8,Appendix Title&quot; \r \* MERGEFORMAT ">
            <w:r w:rsidR="00E46526">
              <w:rPr>
                <w:noProof/>
              </w:rPr>
              <w:t>Appendix G</w:t>
            </w:r>
          </w:fldSimple>
        </w:p>
      </w:tc>
    </w:tr>
    <w:tr w:rsidR="005050BF" w:rsidRPr="00EB388E" w:rsidTr="00E8358C">
      <w:trPr>
        <w:cantSplit/>
        <w:trHeight w:val="850"/>
      </w:trPr>
      <w:tc>
        <w:tcPr>
          <w:tcW w:w="595" w:type="dxa"/>
          <w:textDirection w:val="tbRl"/>
        </w:tcPr>
        <w:p w:rsidR="005050BF" w:rsidRDefault="005050BF" w:rsidP="00E8358C">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E8358C">
          <w:pPr>
            <w:pStyle w:val="FooterRightPageNumberLS"/>
            <w:framePr w:wrap="auto" w:xAlign="left"/>
          </w:pPr>
          <w:r w:rsidRPr="00B917D0">
            <w:fldChar w:fldCharType="begin"/>
          </w:r>
          <w:r w:rsidRPr="00B917D0">
            <w:instrText xml:space="preserve"> PAGE   \* MERGEFORMAT </w:instrText>
          </w:r>
          <w:r w:rsidRPr="00B917D0">
            <w:fldChar w:fldCharType="separate"/>
          </w:r>
          <w:r w:rsidR="00E46526">
            <w:t>497</w:t>
          </w:r>
          <w:r w:rsidRPr="00B917D0">
            <w:fldChar w:fldCharType="end"/>
          </w:r>
        </w:p>
      </w:tc>
    </w:tr>
  </w:tbl>
  <w:p w:rsidR="005050BF" w:rsidRPr="00E350DC" w:rsidRDefault="005050BF" w:rsidP="00E8358C">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E8358C">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500</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E8358C">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5050BF">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t>448</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E8358C">
      <w:trPr>
        <w:trHeight w:val="340"/>
      </w:trPr>
      <w:tc>
        <w:tcPr>
          <w:tcW w:w="8164" w:type="dxa"/>
          <w:tcBorders>
            <w:right w:val="single" w:sz="4" w:space="0" w:color="788184" w:themeColor="background2"/>
          </w:tcBorders>
          <w:vAlign w:val="center"/>
        </w:tcPr>
        <w:p w:rsidR="005050BF" w:rsidRPr="00CB70DF" w:rsidRDefault="001C2C6D" w:rsidP="00E8358C">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E8358C">
          <w:pPr>
            <w:pStyle w:val="FooterRightPageNumber"/>
          </w:pPr>
          <w:r w:rsidRPr="00EB388E">
            <w:fldChar w:fldCharType="begin"/>
          </w:r>
          <w:r w:rsidRPr="00EB388E">
            <w:instrText xml:space="preserve"> PAGE   \* MERGEFORMAT </w:instrText>
          </w:r>
          <w:r w:rsidRPr="00EB388E">
            <w:fldChar w:fldCharType="separate"/>
          </w:r>
          <w:r w:rsidR="00E46526">
            <w:t>499</w:t>
          </w:r>
          <w:r w:rsidRPr="00EB388E">
            <w:fldChar w:fldCharType="end"/>
          </w:r>
        </w:p>
      </w:tc>
    </w:tr>
    <w:tr w:rsidR="005050BF" w:rsidRPr="00EB388E" w:rsidTr="00E8358C">
      <w:trPr>
        <w:trHeight w:hRule="exact" w:val="403"/>
      </w:trPr>
      <w:tc>
        <w:tcPr>
          <w:tcW w:w="8164" w:type="dxa"/>
        </w:tcPr>
        <w:p w:rsidR="005050BF" w:rsidRPr="00090E70" w:rsidRDefault="005050BF" w:rsidP="00E8358C"/>
      </w:tc>
      <w:tc>
        <w:tcPr>
          <w:tcW w:w="567" w:type="dxa"/>
          <w:tcMar>
            <w:bottom w:w="284" w:type="dxa"/>
          </w:tcMar>
        </w:tcPr>
        <w:p w:rsidR="005050BF" w:rsidRPr="00090E70" w:rsidRDefault="005050BF" w:rsidP="00E8358C"/>
      </w:tc>
    </w:tr>
  </w:tbl>
  <w:p w:rsidR="005050BF" w:rsidRDefault="005050BF">
    <w:pPr>
      <w:pStyle w:val="Footer"/>
    </w:pPr>
  </w:p>
  <w:p w:rsidR="005050BF" w:rsidRPr="004816D7" w:rsidRDefault="005050BF" w:rsidP="00E8358C">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A353BA">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506</w:t>
    </w:r>
    <w:r w:rsidRPr="00C24267">
      <w:fldChar w:fldCharType="end"/>
    </w:r>
    <w:r w:rsidRPr="00C24267">
      <w:t xml:space="preserve"> of </w:t>
    </w:r>
    <w:fldSimple w:instr=" NUMPAGES  \* Arabic  \* MERGEFORMAT ">
      <w:r>
        <w:rPr>
          <w:noProof/>
        </w:rPr>
        <w:t>131</w:t>
      </w:r>
    </w:fldSimple>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E8358C">
      <w:trPr>
        <w:cantSplit/>
        <w:trHeight w:val="567"/>
      </w:trPr>
      <w:tc>
        <w:tcPr>
          <w:tcW w:w="595" w:type="dxa"/>
          <w:textDirection w:val="tbRl"/>
        </w:tcPr>
        <w:p w:rsidR="005050BF" w:rsidRPr="00EB388E" w:rsidRDefault="005050BF" w:rsidP="00E8358C">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E8358C">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508</w:t>
          </w:r>
          <w:r w:rsidRPr="00EB388E">
            <w:fldChar w:fldCharType="end"/>
          </w:r>
        </w:p>
      </w:tc>
    </w:tr>
    <w:tr w:rsidR="005050BF" w:rsidRPr="00EB388E" w:rsidTr="00E8358C">
      <w:trPr>
        <w:cantSplit/>
        <w:trHeight w:val="8164"/>
      </w:trPr>
      <w:tc>
        <w:tcPr>
          <w:tcW w:w="595" w:type="dxa"/>
          <w:textDirection w:val="tbRl"/>
        </w:tcPr>
        <w:p w:rsidR="005050BF" w:rsidRDefault="005050BF" w:rsidP="00E8358C">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E8358C">
          <w:pPr>
            <w:pStyle w:val="FooterLeft"/>
            <w:framePr w:wrap="auto" w:vAnchor="margin" w:hAnchor="text" w:yAlign="inline"/>
          </w:pPr>
          <w:r>
            <w:t>Post-election report of election commitments</w:t>
          </w:r>
        </w:p>
      </w:tc>
    </w:tr>
  </w:tbl>
  <w:p w:rsidR="005050BF" w:rsidRPr="00E350DC" w:rsidRDefault="005050BF" w:rsidP="00E8358C">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E8358C">
      <w:trPr>
        <w:cantSplit/>
        <w:trHeight w:val="8164"/>
      </w:trPr>
      <w:tc>
        <w:tcPr>
          <w:tcW w:w="595" w:type="dxa"/>
          <w:textDirection w:val="tbRl"/>
        </w:tcPr>
        <w:p w:rsidR="005050BF" w:rsidRDefault="005050BF" w:rsidP="00E8358C">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E8358C">
          <w:pPr>
            <w:pStyle w:val="FooterRight"/>
            <w:framePr w:wrap="auto" w:vAnchor="margin" w:hAnchor="text" w:xAlign="left" w:yAlign="inline"/>
          </w:pPr>
          <w:fldSimple w:instr=" STYLEREF  &quot;Heading 8,Appendix Title&quot; \r \* MERGEFORMAT ">
            <w:r w:rsidR="00E46526">
              <w:rPr>
                <w:noProof/>
              </w:rPr>
              <w:t>Appendix G</w:t>
            </w:r>
          </w:fldSimple>
        </w:p>
      </w:tc>
    </w:tr>
    <w:tr w:rsidR="005050BF" w:rsidRPr="00EB388E" w:rsidTr="00E8358C">
      <w:trPr>
        <w:cantSplit/>
        <w:trHeight w:val="850"/>
      </w:trPr>
      <w:tc>
        <w:tcPr>
          <w:tcW w:w="595" w:type="dxa"/>
          <w:textDirection w:val="tbRl"/>
        </w:tcPr>
        <w:p w:rsidR="005050BF" w:rsidRDefault="005050BF" w:rsidP="00E8358C">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E8358C">
          <w:pPr>
            <w:pStyle w:val="FooterRightPageNumberLS"/>
            <w:framePr w:wrap="auto" w:xAlign="left"/>
          </w:pPr>
          <w:r w:rsidRPr="00B917D0">
            <w:fldChar w:fldCharType="begin"/>
          </w:r>
          <w:r w:rsidRPr="00B917D0">
            <w:instrText xml:space="preserve"> PAGE   \* MERGEFORMAT </w:instrText>
          </w:r>
          <w:r w:rsidRPr="00B917D0">
            <w:fldChar w:fldCharType="separate"/>
          </w:r>
          <w:r w:rsidR="00E46526">
            <w:t>507</w:t>
          </w:r>
          <w:r w:rsidRPr="00B917D0">
            <w:fldChar w:fldCharType="end"/>
          </w:r>
        </w:p>
      </w:tc>
    </w:tr>
  </w:tbl>
  <w:p w:rsidR="005050BF" w:rsidRPr="00E350DC" w:rsidRDefault="005050BF" w:rsidP="00E8358C">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E8358C">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512</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E8358C">
      <w:trPr>
        <w:trHeight w:hRule="exact" w:val="403"/>
      </w:trPr>
      <w:tc>
        <w:tcPr>
          <w:tcW w:w="567" w:type="dxa"/>
          <w:tcMar>
            <w:bottom w:w="284" w:type="dxa"/>
          </w:tcMar>
        </w:tcPr>
        <w:p w:rsidR="005050BF" w:rsidRPr="00EB388E" w:rsidRDefault="005050BF" w:rsidP="00E8358C">
          <w:pPr>
            <w:pStyle w:val="FooterRightPageNumber"/>
          </w:pPr>
        </w:p>
      </w:tc>
      <w:tc>
        <w:tcPr>
          <w:tcW w:w="8164" w:type="dxa"/>
          <w:tcMar>
            <w:bottom w:w="284" w:type="dxa"/>
          </w:tcMar>
        </w:tcPr>
        <w:p w:rsidR="005050BF" w:rsidRPr="00090E70" w:rsidRDefault="005050BF" w:rsidP="00E8358C"/>
      </w:tc>
    </w:tr>
  </w:tbl>
  <w:p w:rsidR="005050BF" w:rsidRDefault="005050BF">
    <w:pPr>
      <w:pStyle w:val="Footer"/>
    </w:pPr>
  </w:p>
  <w:p w:rsidR="005050BF" w:rsidRPr="004816D7" w:rsidRDefault="005050BF" w:rsidP="004816D7">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E8358C">
      <w:trPr>
        <w:trHeight w:val="340"/>
      </w:trPr>
      <w:tc>
        <w:tcPr>
          <w:tcW w:w="8164" w:type="dxa"/>
          <w:tcBorders>
            <w:right w:val="single" w:sz="4" w:space="0" w:color="788184" w:themeColor="background2"/>
          </w:tcBorders>
          <w:vAlign w:val="center"/>
        </w:tcPr>
        <w:p w:rsidR="005050BF" w:rsidRPr="00CB70DF" w:rsidRDefault="001C2C6D" w:rsidP="00E8358C">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E8358C">
          <w:pPr>
            <w:pStyle w:val="FooterRightPageNumber"/>
          </w:pPr>
          <w:r w:rsidRPr="00EB388E">
            <w:fldChar w:fldCharType="begin"/>
          </w:r>
          <w:r w:rsidRPr="00EB388E">
            <w:instrText xml:space="preserve"> PAGE   \* MERGEFORMAT </w:instrText>
          </w:r>
          <w:r w:rsidRPr="00EB388E">
            <w:fldChar w:fldCharType="separate"/>
          </w:r>
          <w:r w:rsidR="00E46526">
            <w:t>509</w:t>
          </w:r>
          <w:r w:rsidRPr="00EB388E">
            <w:fldChar w:fldCharType="end"/>
          </w:r>
        </w:p>
      </w:tc>
    </w:tr>
    <w:tr w:rsidR="005050BF" w:rsidRPr="00EB388E" w:rsidTr="00E8358C">
      <w:trPr>
        <w:trHeight w:hRule="exact" w:val="403"/>
      </w:trPr>
      <w:tc>
        <w:tcPr>
          <w:tcW w:w="8164" w:type="dxa"/>
        </w:tcPr>
        <w:p w:rsidR="005050BF" w:rsidRPr="00090E70" w:rsidRDefault="005050BF" w:rsidP="00E8358C"/>
      </w:tc>
      <w:tc>
        <w:tcPr>
          <w:tcW w:w="567" w:type="dxa"/>
          <w:tcMar>
            <w:bottom w:w="284" w:type="dxa"/>
          </w:tcMar>
        </w:tcPr>
        <w:p w:rsidR="005050BF" w:rsidRPr="00090E70" w:rsidRDefault="005050BF" w:rsidP="00E8358C"/>
      </w:tc>
    </w:tr>
  </w:tbl>
  <w:p w:rsidR="005050BF" w:rsidRDefault="005050BF">
    <w:pPr>
      <w:pStyle w:val="Footer"/>
    </w:pPr>
  </w:p>
  <w:p w:rsidR="005050BF" w:rsidRPr="004816D7" w:rsidRDefault="005050BF" w:rsidP="00E8358C">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01508D">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510</w:t>
    </w:r>
    <w:r w:rsidRPr="00C24267">
      <w:fldChar w:fldCharType="end"/>
    </w:r>
    <w:r w:rsidRPr="00C24267">
      <w:t xml:space="preserve"> of </w:t>
    </w:r>
    <w:fldSimple w:instr=" NUMPAGES  \* Arabic  \* MERGEFORMAT ">
      <w:r>
        <w:rPr>
          <w:noProof/>
        </w:rPr>
        <w:t>131</w:t>
      </w:r>
    </w:fldSimple>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E8358C">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516</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E8358C">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E8358C">
      <w:trPr>
        <w:trHeight w:val="340"/>
      </w:trPr>
      <w:tc>
        <w:tcPr>
          <w:tcW w:w="8164" w:type="dxa"/>
          <w:tcBorders>
            <w:right w:val="single" w:sz="4" w:space="0" w:color="788184" w:themeColor="background2"/>
          </w:tcBorders>
          <w:vAlign w:val="center"/>
        </w:tcPr>
        <w:p w:rsidR="005050BF" w:rsidRPr="00CB70DF" w:rsidRDefault="001C2C6D" w:rsidP="00E8358C">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E8358C">
          <w:pPr>
            <w:pStyle w:val="FooterRightPageNumber"/>
          </w:pPr>
          <w:r w:rsidRPr="00EB388E">
            <w:fldChar w:fldCharType="begin"/>
          </w:r>
          <w:r w:rsidRPr="00EB388E">
            <w:instrText xml:space="preserve"> PAGE   \* MERGEFORMAT </w:instrText>
          </w:r>
          <w:r w:rsidRPr="00EB388E">
            <w:fldChar w:fldCharType="separate"/>
          </w:r>
          <w:r w:rsidR="00E46526">
            <w:t>515</w:t>
          </w:r>
          <w:r w:rsidRPr="00EB388E">
            <w:fldChar w:fldCharType="end"/>
          </w:r>
        </w:p>
      </w:tc>
    </w:tr>
    <w:tr w:rsidR="005050BF" w:rsidRPr="00EB388E" w:rsidTr="00E8358C">
      <w:trPr>
        <w:trHeight w:hRule="exact" w:val="403"/>
      </w:trPr>
      <w:tc>
        <w:tcPr>
          <w:tcW w:w="8164" w:type="dxa"/>
        </w:tcPr>
        <w:p w:rsidR="005050BF" w:rsidRPr="00090E70" w:rsidRDefault="005050BF" w:rsidP="00E8358C"/>
      </w:tc>
      <w:tc>
        <w:tcPr>
          <w:tcW w:w="567" w:type="dxa"/>
          <w:tcMar>
            <w:bottom w:w="284" w:type="dxa"/>
          </w:tcMar>
        </w:tcPr>
        <w:p w:rsidR="005050BF" w:rsidRPr="00090E70" w:rsidRDefault="005050BF" w:rsidP="00E8358C"/>
      </w:tc>
    </w:tr>
  </w:tbl>
  <w:p w:rsidR="005050BF" w:rsidRDefault="005050BF">
    <w:pPr>
      <w:pStyle w:val="Footer"/>
    </w:pPr>
  </w:p>
  <w:p w:rsidR="005050BF" w:rsidRPr="004816D7" w:rsidRDefault="005050BF" w:rsidP="00E8358C">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01508D">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516</w:t>
    </w:r>
    <w:r w:rsidRPr="00C24267">
      <w:fldChar w:fldCharType="end"/>
    </w:r>
    <w:r w:rsidRPr="00C24267">
      <w:t xml:space="preserve"> of </w:t>
    </w:r>
    <w:fldSimple w:instr=" NUMPAGES  \* Arabic  \* MERGEFORMAT ">
      <w:r>
        <w:rPr>
          <w:noProof/>
        </w:rPr>
        <w:t>131</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A563C2" w:rsidRDefault="005050BF" w:rsidP="005B2F0D">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E8358C">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518</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E8358C">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E8358C">
      <w:trPr>
        <w:trHeight w:val="340"/>
      </w:trPr>
      <w:tc>
        <w:tcPr>
          <w:tcW w:w="8164" w:type="dxa"/>
          <w:tcBorders>
            <w:right w:val="single" w:sz="4" w:space="0" w:color="788184" w:themeColor="background2"/>
          </w:tcBorders>
          <w:vAlign w:val="center"/>
        </w:tcPr>
        <w:p w:rsidR="005050BF" w:rsidRPr="00CB70DF" w:rsidRDefault="001C2C6D" w:rsidP="00E8358C">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E8358C">
          <w:pPr>
            <w:pStyle w:val="FooterRightPageNumber"/>
          </w:pPr>
          <w:r w:rsidRPr="00EB388E">
            <w:fldChar w:fldCharType="begin"/>
          </w:r>
          <w:r w:rsidRPr="00EB388E">
            <w:instrText xml:space="preserve"> PAGE   \* MERGEFORMAT </w:instrText>
          </w:r>
          <w:r w:rsidRPr="00EB388E">
            <w:fldChar w:fldCharType="separate"/>
          </w:r>
          <w:r w:rsidR="00E46526">
            <w:t>517</w:t>
          </w:r>
          <w:r w:rsidRPr="00EB388E">
            <w:fldChar w:fldCharType="end"/>
          </w:r>
        </w:p>
      </w:tc>
    </w:tr>
    <w:tr w:rsidR="005050BF" w:rsidRPr="00EB388E" w:rsidTr="00E8358C">
      <w:trPr>
        <w:trHeight w:hRule="exact" w:val="403"/>
      </w:trPr>
      <w:tc>
        <w:tcPr>
          <w:tcW w:w="8164" w:type="dxa"/>
        </w:tcPr>
        <w:p w:rsidR="005050BF" w:rsidRPr="00090E70" w:rsidRDefault="005050BF" w:rsidP="00E8358C"/>
      </w:tc>
      <w:tc>
        <w:tcPr>
          <w:tcW w:w="567" w:type="dxa"/>
          <w:tcMar>
            <w:bottom w:w="284" w:type="dxa"/>
          </w:tcMar>
        </w:tcPr>
        <w:p w:rsidR="005050BF" w:rsidRPr="00090E70" w:rsidRDefault="005050BF" w:rsidP="00E8358C"/>
      </w:tc>
    </w:tr>
  </w:tbl>
  <w:p w:rsidR="005050BF" w:rsidRDefault="005050BF">
    <w:pPr>
      <w:pStyle w:val="Footer"/>
    </w:pPr>
  </w:p>
  <w:p w:rsidR="005050BF" w:rsidRPr="004816D7" w:rsidRDefault="005050BF" w:rsidP="00E8358C">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E8358C">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520</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E8358C">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E8358C">
      <w:trPr>
        <w:trHeight w:val="340"/>
      </w:trPr>
      <w:tc>
        <w:tcPr>
          <w:tcW w:w="8164" w:type="dxa"/>
          <w:tcBorders>
            <w:right w:val="single" w:sz="4" w:space="0" w:color="788184" w:themeColor="background2"/>
          </w:tcBorders>
          <w:vAlign w:val="center"/>
        </w:tcPr>
        <w:p w:rsidR="005050BF" w:rsidRPr="00CB70DF" w:rsidRDefault="001C2C6D" w:rsidP="00E8358C">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E8358C">
          <w:pPr>
            <w:pStyle w:val="FooterRightPageNumber"/>
          </w:pPr>
          <w:r w:rsidRPr="00EB388E">
            <w:fldChar w:fldCharType="begin"/>
          </w:r>
          <w:r w:rsidRPr="00EB388E">
            <w:instrText xml:space="preserve"> PAGE   \* MERGEFORMAT </w:instrText>
          </w:r>
          <w:r w:rsidRPr="00EB388E">
            <w:fldChar w:fldCharType="separate"/>
          </w:r>
          <w:r w:rsidR="00E46526">
            <w:t>519</w:t>
          </w:r>
          <w:r w:rsidRPr="00EB388E">
            <w:fldChar w:fldCharType="end"/>
          </w:r>
        </w:p>
      </w:tc>
    </w:tr>
    <w:tr w:rsidR="005050BF" w:rsidRPr="00EB388E" w:rsidTr="00E8358C">
      <w:trPr>
        <w:trHeight w:hRule="exact" w:val="403"/>
      </w:trPr>
      <w:tc>
        <w:tcPr>
          <w:tcW w:w="8164" w:type="dxa"/>
        </w:tcPr>
        <w:p w:rsidR="005050BF" w:rsidRPr="00090E70" w:rsidRDefault="005050BF" w:rsidP="00E8358C"/>
      </w:tc>
      <w:tc>
        <w:tcPr>
          <w:tcW w:w="567" w:type="dxa"/>
          <w:tcMar>
            <w:bottom w:w="284" w:type="dxa"/>
          </w:tcMar>
        </w:tcPr>
        <w:p w:rsidR="005050BF" w:rsidRPr="00090E70" w:rsidRDefault="005050BF" w:rsidP="00E8358C"/>
      </w:tc>
    </w:tr>
  </w:tbl>
  <w:p w:rsidR="005050BF" w:rsidRDefault="005050BF">
    <w:pPr>
      <w:pStyle w:val="Footer"/>
    </w:pPr>
  </w:p>
  <w:p w:rsidR="005050BF" w:rsidRPr="004816D7" w:rsidRDefault="005050BF" w:rsidP="00E8358C">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01508D">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520</w:t>
    </w:r>
    <w:r w:rsidRPr="00C24267">
      <w:fldChar w:fldCharType="end"/>
    </w:r>
    <w:r w:rsidRPr="00C24267">
      <w:t xml:space="preserve"> of </w:t>
    </w:r>
    <w:fldSimple w:instr=" NUMPAGES  \* Arabic  \* MERGEFORMAT ">
      <w:r>
        <w:rPr>
          <w:noProof/>
        </w:rPr>
        <w:t>131</w:t>
      </w:r>
    </w:fldSimple>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A97AC4">
      <w:trPr>
        <w:cantSplit/>
        <w:trHeight w:val="567"/>
      </w:trPr>
      <w:tc>
        <w:tcPr>
          <w:tcW w:w="595" w:type="dxa"/>
          <w:textDirection w:val="tbRl"/>
        </w:tcPr>
        <w:p w:rsidR="005050BF" w:rsidRPr="00EB388E" w:rsidRDefault="005050BF" w:rsidP="00A97AC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A97AC4">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522</w:t>
          </w:r>
          <w:r w:rsidRPr="00EB388E">
            <w:fldChar w:fldCharType="end"/>
          </w:r>
        </w:p>
      </w:tc>
    </w:tr>
    <w:tr w:rsidR="005050BF" w:rsidRPr="00EB388E" w:rsidTr="00A97AC4">
      <w:trPr>
        <w:cantSplit/>
        <w:trHeight w:val="8164"/>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A97AC4">
          <w:pPr>
            <w:pStyle w:val="FooterLeft"/>
            <w:framePr w:wrap="auto" w:vAnchor="margin" w:hAnchor="text" w:yAlign="inline"/>
          </w:pPr>
          <w:r>
            <w:t>Post-election report of election commitments</w:t>
          </w:r>
        </w:p>
      </w:tc>
    </w:tr>
  </w:tbl>
  <w:p w:rsidR="005050BF" w:rsidRPr="00E350DC" w:rsidRDefault="005050BF" w:rsidP="002024BF">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A97AC4">
      <w:trPr>
        <w:cantSplit/>
        <w:trHeight w:val="8164"/>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A97AC4">
          <w:pPr>
            <w:pStyle w:val="FooterRight"/>
            <w:framePr w:wrap="auto" w:vAnchor="margin" w:hAnchor="text" w:xAlign="left" w:yAlign="inline"/>
          </w:pPr>
          <w:fldSimple w:instr=" STYLEREF  &quot;Heading 8,Appendix Title&quot; \r \* MERGEFORMAT ">
            <w:r w:rsidR="00E46526">
              <w:rPr>
                <w:noProof/>
              </w:rPr>
              <w:t>Appendix G</w:t>
            </w:r>
          </w:fldSimple>
        </w:p>
      </w:tc>
    </w:tr>
    <w:tr w:rsidR="005050BF" w:rsidRPr="00EB388E" w:rsidTr="00A97AC4">
      <w:trPr>
        <w:cantSplit/>
        <w:trHeight w:val="850"/>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A97AC4">
          <w:pPr>
            <w:pStyle w:val="FooterRightPageNumberLS"/>
            <w:framePr w:wrap="auto" w:xAlign="left"/>
          </w:pPr>
          <w:r w:rsidRPr="00B917D0">
            <w:fldChar w:fldCharType="begin"/>
          </w:r>
          <w:r w:rsidRPr="00B917D0">
            <w:instrText xml:space="preserve"> PAGE   \* MERGEFORMAT </w:instrText>
          </w:r>
          <w:r w:rsidRPr="00B917D0">
            <w:fldChar w:fldCharType="separate"/>
          </w:r>
          <w:r w:rsidR="00E46526">
            <w:t>521</w:t>
          </w:r>
          <w:r w:rsidRPr="00B917D0">
            <w:fldChar w:fldCharType="end"/>
          </w:r>
        </w:p>
      </w:tc>
    </w:tr>
  </w:tbl>
  <w:p w:rsidR="005050BF" w:rsidRPr="00E350DC" w:rsidRDefault="005050BF" w:rsidP="002024BF">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A97AC4">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524</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A97AC4">
      <w:trPr>
        <w:trHeight w:hRule="exact" w:val="403"/>
      </w:trPr>
      <w:tc>
        <w:tcPr>
          <w:tcW w:w="567" w:type="dxa"/>
          <w:tcMar>
            <w:bottom w:w="284" w:type="dxa"/>
          </w:tcMar>
        </w:tcPr>
        <w:p w:rsidR="005050BF" w:rsidRPr="00EB388E" w:rsidRDefault="005050BF" w:rsidP="00A97AC4">
          <w:pPr>
            <w:pStyle w:val="FooterRightPageNumber"/>
          </w:pPr>
        </w:p>
      </w:tc>
      <w:tc>
        <w:tcPr>
          <w:tcW w:w="8164" w:type="dxa"/>
          <w:tcMar>
            <w:bottom w:w="284" w:type="dxa"/>
          </w:tcMar>
        </w:tcPr>
        <w:p w:rsidR="005050BF" w:rsidRPr="00090E70" w:rsidRDefault="005050BF" w:rsidP="00A97AC4"/>
      </w:tc>
    </w:tr>
  </w:tbl>
  <w:p w:rsidR="005050BF" w:rsidRDefault="005050BF">
    <w:pPr>
      <w:pStyle w:val="Footer"/>
    </w:pPr>
  </w:p>
  <w:p w:rsidR="005050BF" w:rsidRPr="004816D7" w:rsidRDefault="005050BF" w:rsidP="004816D7">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A97AC4">
      <w:trPr>
        <w:trHeight w:val="340"/>
      </w:trPr>
      <w:tc>
        <w:tcPr>
          <w:tcW w:w="8164" w:type="dxa"/>
          <w:tcBorders>
            <w:right w:val="single" w:sz="4" w:space="0" w:color="788184" w:themeColor="background2"/>
          </w:tcBorders>
          <w:vAlign w:val="center"/>
        </w:tcPr>
        <w:p w:rsidR="005050BF" w:rsidRPr="00CB70DF" w:rsidRDefault="001C2C6D" w:rsidP="00A97AC4">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A97AC4">
          <w:pPr>
            <w:pStyle w:val="FooterRightPageNumber"/>
          </w:pPr>
          <w:r w:rsidRPr="00EB388E">
            <w:fldChar w:fldCharType="begin"/>
          </w:r>
          <w:r w:rsidRPr="00EB388E">
            <w:instrText xml:space="preserve"> PAGE   \* MERGEFORMAT </w:instrText>
          </w:r>
          <w:r w:rsidRPr="00EB388E">
            <w:fldChar w:fldCharType="separate"/>
          </w:r>
          <w:r w:rsidR="00E46526">
            <w:t>525</w:t>
          </w:r>
          <w:r w:rsidRPr="00EB388E">
            <w:fldChar w:fldCharType="end"/>
          </w:r>
        </w:p>
      </w:tc>
    </w:tr>
    <w:tr w:rsidR="005050BF" w:rsidRPr="00EB388E" w:rsidTr="00A97AC4">
      <w:trPr>
        <w:trHeight w:hRule="exact" w:val="403"/>
      </w:trPr>
      <w:tc>
        <w:tcPr>
          <w:tcW w:w="8164" w:type="dxa"/>
        </w:tcPr>
        <w:p w:rsidR="005050BF" w:rsidRPr="00090E70" w:rsidRDefault="005050BF" w:rsidP="00A97AC4"/>
      </w:tc>
      <w:tc>
        <w:tcPr>
          <w:tcW w:w="567" w:type="dxa"/>
          <w:tcMar>
            <w:bottom w:w="284" w:type="dxa"/>
          </w:tcMar>
        </w:tcPr>
        <w:p w:rsidR="005050BF" w:rsidRPr="00090E70" w:rsidRDefault="005050BF" w:rsidP="00A97AC4"/>
      </w:tc>
    </w:tr>
  </w:tbl>
  <w:p w:rsidR="005050BF" w:rsidRDefault="005050BF">
    <w:pPr>
      <w:pStyle w:val="Footer"/>
    </w:pPr>
  </w:p>
  <w:p w:rsidR="005050BF" w:rsidRPr="004816D7" w:rsidRDefault="005050BF" w:rsidP="002024BF">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7A24E1">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526</w:t>
    </w:r>
    <w:r w:rsidRPr="00C24267">
      <w:fldChar w:fldCharType="end"/>
    </w:r>
    <w:r w:rsidRPr="00C24267">
      <w:t xml:space="preserve"> of </w:t>
    </w:r>
    <w:fldSimple w:instr=" NUMPAGES  \* Arabic  \* MERGEFORMAT ">
      <w:r>
        <w:rPr>
          <w:noProof/>
        </w:rPr>
        <w:t>131</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7E3C99">
      <w:trPr>
        <w:trHeight w:val="340"/>
      </w:trPr>
      <w:tc>
        <w:tcPr>
          <w:tcW w:w="567" w:type="dxa"/>
          <w:tcBorders>
            <w:right w:val="single" w:sz="4" w:space="0" w:color="788184" w:themeColor="background2"/>
          </w:tcBorders>
          <w:vAlign w:val="center"/>
        </w:tcPr>
        <w:p w:rsidR="005050BF" w:rsidRPr="00CB70DF" w:rsidRDefault="005050BF" w:rsidP="007E3C99">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449</w:t>
          </w:r>
          <w:r w:rsidRPr="00EB388E">
            <w:fldChar w:fldCharType="end"/>
          </w:r>
        </w:p>
      </w:tc>
      <w:tc>
        <w:tcPr>
          <w:tcW w:w="8164" w:type="dxa"/>
          <w:tcBorders>
            <w:left w:val="single" w:sz="4" w:space="0" w:color="788184" w:themeColor="background2"/>
          </w:tcBorders>
          <w:vAlign w:val="center"/>
        </w:tcPr>
        <w:p w:rsidR="005050BF" w:rsidRPr="00CB70DF" w:rsidRDefault="005050BF" w:rsidP="007E3C99">
          <w:pPr>
            <w:pStyle w:val="FooterLeft"/>
            <w:framePr w:wrap="auto" w:vAnchor="margin" w:hAnchor="text" w:yAlign="inline"/>
          </w:pPr>
          <w:r>
            <w:fldChar w:fldCharType="begin"/>
          </w:r>
          <w:r>
            <w:instrText xml:space="preserve"> STYLEREF  Title  \* MERGEFORMAT </w:instrText>
          </w:r>
          <w:r>
            <w:fldChar w:fldCharType="separate"/>
          </w:r>
          <w:r>
            <w:rPr>
              <w:b w:val="0"/>
              <w:bCs/>
              <w:noProof/>
              <w:lang w:val="en-US"/>
            </w:rPr>
            <w:t>Error! No text of specified style in document.</w:t>
          </w:r>
          <w:r>
            <w:rPr>
              <w:noProof/>
            </w:rPr>
            <w:fldChar w:fldCharType="end"/>
          </w:r>
        </w:p>
      </w:tc>
    </w:tr>
    <w:tr w:rsidR="005050BF" w:rsidRPr="00EB388E" w:rsidTr="007E3C99">
      <w:trPr>
        <w:trHeight w:hRule="exact" w:val="403"/>
      </w:trPr>
      <w:tc>
        <w:tcPr>
          <w:tcW w:w="567" w:type="dxa"/>
          <w:tcMar>
            <w:bottom w:w="284" w:type="dxa"/>
          </w:tcMar>
        </w:tcPr>
        <w:p w:rsidR="005050BF" w:rsidRPr="00EB388E" w:rsidRDefault="005050BF" w:rsidP="007E3C99">
          <w:pPr>
            <w:pStyle w:val="FooterRightPageNumber"/>
          </w:pPr>
        </w:p>
      </w:tc>
      <w:tc>
        <w:tcPr>
          <w:tcW w:w="8164" w:type="dxa"/>
          <w:tcMar>
            <w:bottom w:w="284" w:type="dxa"/>
          </w:tcMar>
        </w:tcPr>
        <w:p w:rsidR="005050BF" w:rsidRPr="00090E70" w:rsidRDefault="005050BF" w:rsidP="007E3C99"/>
      </w:tc>
    </w:tr>
  </w:tbl>
  <w:p w:rsidR="005050BF" w:rsidRDefault="005050BF">
    <w:pPr>
      <w:pStyle w:val="Footer"/>
    </w:pPr>
  </w:p>
  <w:p w:rsidR="005050BF" w:rsidRPr="004816D7" w:rsidRDefault="005050BF" w:rsidP="004816D7">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A97AC4">
      <w:trPr>
        <w:cantSplit/>
        <w:trHeight w:val="567"/>
      </w:trPr>
      <w:tc>
        <w:tcPr>
          <w:tcW w:w="595" w:type="dxa"/>
          <w:textDirection w:val="tbRl"/>
        </w:tcPr>
        <w:p w:rsidR="005050BF" w:rsidRPr="00EB388E" w:rsidRDefault="005050BF" w:rsidP="00A97AC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A97AC4">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528</w:t>
          </w:r>
          <w:r w:rsidRPr="00EB388E">
            <w:fldChar w:fldCharType="end"/>
          </w:r>
        </w:p>
      </w:tc>
    </w:tr>
    <w:tr w:rsidR="005050BF" w:rsidRPr="00EB388E" w:rsidTr="00A97AC4">
      <w:trPr>
        <w:cantSplit/>
        <w:trHeight w:val="8164"/>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A97AC4">
          <w:pPr>
            <w:pStyle w:val="FooterLeft"/>
            <w:framePr w:wrap="auto" w:vAnchor="margin" w:hAnchor="text" w:yAlign="inline"/>
          </w:pPr>
          <w:r>
            <w:t>Post-election report of election commitments</w:t>
          </w:r>
        </w:p>
      </w:tc>
    </w:tr>
  </w:tbl>
  <w:p w:rsidR="005050BF" w:rsidRPr="00E350DC" w:rsidRDefault="005050BF" w:rsidP="002024BF">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A97AC4">
      <w:trPr>
        <w:cantSplit/>
        <w:trHeight w:val="8164"/>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A97AC4">
          <w:pPr>
            <w:pStyle w:val="FooterRight"/>
            <w:framePr w:wrap="auto" w:vAnchor="margin" w:hAnchor="text" w:xAlign="left" w:yAlign="inline"/>
          </w:pPr>
          <w:fldSimple w:instr=" STYLEREF  &quot;Heading 8,Appendix Title&quot; \r \* MERGEFORMAT ">
            <w:r w:rsidR="00E46526">
              <w:rPr>
                <w:noProof/>
              </w:rPr>
              <w:t>Appendix G</w:t>
            </w:r>
          </w:fldSimple>
        </w:p>
      </w:tc>
    </w:tr>
    <w:tr w:rsidR="005050BF" w:rsidRPr="00EB388E" w:rsidTr="00A97AC4">
      <w:trPr>
        <w:cantSplit/>
        <w:trHeight w:val="850"/>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A97AC4">
          <w:pPr>
            <w:pStyle w:val="FooterRightPageNumberLS"/>
            <w:framePr w:wrap="auto" w:xAlign="left"/>
          </w:pPr>
          <w:r w:rsidRPr="00B917D0">
            <w:fldChar w:fldCharType="begin"/>
          </w:r>
          <w:r w:rsidRPr="00B917D0">
            <w:instrText xml:space="preserve"> PAGE   \* MERGEFORMAT </w:instrText>
          </w:r>
          <w:r w:rsidRPr="00B917D0">
            <w:fldChar w:fldCharType="separate"/>
          </w:r>
          <w:r w:rsidR="00E46526">
            <w:t>527</w:t>
          </w:r>
          <w:r w:rsidRPr="00B917D0">
            <w:fldChar w:fldCharType="end"/>
          </w:r>
        </w:p>
      </w:tc>
    </w:tr>
  </w:tbl>
  <w:p w:rsidR="005050BF" w:rsidRPr="00E350DC" w:rsidRDefault="005050BF" w:rsidP="002024BF">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A97AC4">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530</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A97AC4">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A97AC4">
      <w:trPr>
        <w:trHeight w:val="340"/>
      </w:trPr>
      <w:tc>
        <w:tcPr>
          <w:tcW w:w="8164" w:type="dxa"/>
          <w:tcBorders>
            <w:right w:val="single" w:sz="4" w:space="0" w:color="788184" w:themeColor="background2"/>
          </w:tcBorders>
          <w:vAlign w:val="center"/>
        </w:tcPr>
        <w:p w:rsidR="005050BF" w:rsidRPr="00CB70DF" w:rsidRDefault="001C2C6D" w:rsidP="00A97AC4">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A97AC4">
          <w:pPr>
            <w:pStyle w:val="FooterRightPageNumber"/>
          </w:pPr>
          <w:r w:rsidRPr="00EB388E">
            <w:fldChar w:fldCharType="begin"/>
          </w:r>
          <w:r w:rsidRPr="00EB388E">
            <w:instrText xml:space="preserve"> PAGE   \* MERGEFORMAT </w:instrText>
          </w:r>
          <w:r w:rsidRPr="00EB388E">
            <w:fldChar w:fldCharType="separate"/>
          </w:r>
          <w:r w:rsidR="00E46526">
            <w:t>529</w:t>
          </w:r>
          <w:r w:rsidRPr="00EB388E">
            <w:fldChar w:fldCharType="end"/>
          </w:r>
        </w:p>
      </w:tc>
    </w:tr>
    <w:tr w:rsidR="005050BF" w:rsidRPr="00EB388E" w:rsidTr="00A97AC4">
      <w:trPr>
        <w:trHeight w:hRule="exact" w:val="403"/>
      </w:trPr>
      <w:tc>
        <w:tcPr>
          <w:tcW w:w="8164" w:type="dxa"/>
        </w:tcPr>
        <w:p w:rsidR="005050BF" w:rsidRPr="00090E70" w:rsidRDefault="005050BF" w:rsidP="00A97AC4"/>
      </w:tc>
      <w:tc>
        <w:tcPr>
          <w:tcW w:w="567" w:type="dxa"/>
          <w:tcMar>
            <w:bottom w:w="284" w:type="dxa"/>
          </w:tcMar>
        </w:tcPr>
        <w:p w:rsidR="005050BF" w:rsidRPr="00090E70" w:rsidRDefault="005050BF" w:rsidP="00A97AC4"/>
      </w:tc>
    </w:tr>
  </w:tbl>
  <w:p w:rsidR="005050BF" w:rsidRDefault="005050BF">
    <w:pPr>
      <w:pStyle w:val="Footer"/>
    </w:pPr>
  </w:p>
  <w:p w:rsidR="005050BF" w:rsidRPr="004816D7" w:rsidRDefault="005050BF" w:rsidP="002024BF">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7A24E1">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529</w:t>
    </w:r>
    <w:r w:rsidRPr="00C24267">
      <w:fldChar w:fldCharType="end"/>
    </w:r>
    <w:r w:rsidRPr="00C24267">
      <w:t xml:space="preserve"> of </w:t>
    </w:r>
    <w:fldSimple w:instr=" NUMPAGES  \* Arabic  \* MERGEFORMAT ">
      <w:r>
        <w:rPr>
          <w:noProof/>
        </w:rPr>
        <w:t>131</w:t>
      </w:r>
    </w:fldSimple>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A97AC4">
      <w:trPr>
        <w:cantSplit/>
        <w:trHeight w:val="567"/>
      </w:trPr>
      <w:tc>
        <w:tcPr>
          <w:tcW w:w="595" w:type="dxa"/>
          <w:textDirection w:val="tbRl"/>
        </w:tcPr>
        <w:p w:rsidR="005050BF" w:rsidRPr="00EB388E" w:rsidRDefault="005050BF" w:rsidP="00A97AC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A97AC4">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Pr>
              <w:noProof/>
            </w:rPr>
            <w:t>529</w:t>
          </w:r>
          <w:r w:rsidRPr="00EB388E">
            <w:fldChar w:fldCharType="end"/>
          </w:r>
        </w:p>
      </w:tc>
    </w:tr>
    <w:tr w:rsidR="005050BF" w:rsidRPr="00EB388E" w:rsidTr="00A97AC4">
      <w:trPr>
        <w:cantSplit/>
        <w:trHeight w:val="8164"/>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A97AC4">
          <w:pPr>
            <w:pStyle w:val="FooterLeft"/>
            <w:framePr w:wrap="auto" w:vAnchor="margin" w:hAnchor="text" w:yAlign="inline"/>
          </w:pPr>
          <w:r>
            <w:fldChar w:fldCharType="begin"/>
          </w:r>
          <w:r>
            <w:instrText xml:space="preserve"> STYLEREF  Title  \* MERGEFORMAT </w:instrText>
          </w:r>
          <w:r>
            <w:fldChar w:fldCharType="separate"/>
          </w:r>
          <w:r>
            <w:rPr>
              <w:b w:val="0"/>
              <w:bCs/>
              <w:noProof/>
              <w:lang w:val="en-US"/>
            </w:rPr>
            <w:t>Error! No text of specified style in document.</w:t>
          </w:r>
          <w:r>
            <w:rPr>
              <w:noProof/>
            </w:rPr>
            <w:fldChar w:fldCharType="end"/>
          </w:r>
        </w:p>
      </w:tc>
    </w:tr>
  </w:tbl>
  <w:p w:rsidR="005050BF" w:rsidRPr="00E350DC" w:rsidRDefault="005050BF" w:rsidP="002024BF">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A97AC4">
      <w:trPr>
        <w:cantSplit/>
        <w:trHeight w:val="8164"/>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A97AC4">
          <w:pPr>
            <w:pStyle w:val="FooterRight"/>
            <w:framePr w:wrap="auto" w:vAnchor="margin" w:hAnchor="text" w:xAlign="left" w:yAlign="inline"/>
          </w:pPr>
          <w:fldSimple w:instr=" STYLEREF  &quot;Heading 8,Appendix Title&quot; \r \* MERGEFORMAT ">
            <w:r w:rsidR="00E46526">
              <w:rPr>
                <w:noProof/>
              </w:rPr>
              <w:t>Appendix G</w:t>
            </w:r>
          </w:fldSimple>
        </w:p>
      </w:tc>
    </w:tr>
    <w:tr w:rsidR="005050BF" w:rsidRPr="00EB388E" w:rsidTr="00A97AC4">
      <w:trPr>
        <w:cantSplit/>
        <w:trHeight w:val="850"/>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A97AC4">
          <w:pPr>
            <w:pStyle w:val="FooterRightPageNumberLS"/>
            <w:framePr w:wrap="auto" w:xAlign="left"/>
          </w:pPr>
          <w:r w:rsidRPr="00B917D0">
            <w:fldChar w:fldCharType="begin"/>
          </w:r>
          <w:r w:rsidRPr="00B917D0">
            <w:instrText xml:space="preserve"> PAGE   \* MERGEFORMAT </w:instrText>
          </w:r>
          <w:r w:rsidRPr="00B917D0">
            <w:fldChar w:fldCharType="separate"/>
          </w:r>
          <w:r w:rsidR="00E46526">
            <w:t>531</w:t>
          </w:r>
          <w:r w:rsidRPr="00B917D0">
            <w:fldChar w:fldCharType="end"/>
          </w:r>
        </w:p>
      </w:tc>
    </w:tr>
  </w:tbl>
  <w:p w:rsidR="005050BF" w:rsidRPr="00E350DC" w:rsidRDefault="005050BF" w:rsidP="002024BF">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A97AC4">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532</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A97AC4">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A97AC4">
      <w:trPr>
        <w:trHeight w:val="340"/>
      </w:trPr>
      <w:tc>
        <w:tcPr>
          <w:tcW w:w="8164" w:type="dxa"/>
          <w:tcBorders>
            <w:right w:val="single" w:sz="4" w:space="0" w:color="788184" w:themeColor="background2"/>
          </w:tcBorders>
          <w:vAlign w:val="center"/>
        </w:tcPr>
        <w:p w:rsidR="005050BF" w:rsidRPr="00CB70DF" w:rsidRDefault="001C2C6D" w:rsidP="00A97AC4">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A97AC4">
          <w:pPr>
            <w:pStyle w:val="FooterRightPageNumber"/>
          </w:pPr>
          <w:r w:rsidRPr="00EB388E">
            <w:fldChar w:fldCharType="begin"/>
          </w:r>
          <w:r w:rsidRPr="00EB388E">
            <w:instrText xml:space="preserve"> PAGE   \* MERGEFORMAT </w:instrText>
          </w:r>
          <w:r w:rsidRPr="00EB388E">
            <w:fldChar w:fldCharType="separate"/>
          </w:r>
          <w:r w:rsidR="00E46526">
            <w:t>533</w:t>
          </w:r>
          <w:r w:rsidRPr="00EB388E">
            <w:fldChar w:fldCharType="end"/>
          </w:r>
        </w:p>
      </w:tc>
    </w:tr>
    <w:tr w:rsidR="005050BF" w:rsidRPr="00EB388E" w:rsidTr="00A97AC4">
      <w:trPr>
        <w:trHeight w:hRule="exact" w:val="403"/>
      </w:trPr>
      <w:tc>
        <w:tcPr>
          <w:tcW w:w="8164" w:type="dxa"/>
        </w:tcPr>
        <w:p w:rsidR="005050BF" w:rsidRPr="00090E70" w:rsidRDefault="005050BF" w:rsidP="00A97AC4"/>
      </w:tc>
      <w:tc>
        <w:tcPr>
          <w:tcW w:w="567" w:type="dxa"/>
          <w:tcMar>
            <w:bottom w:w="284" w:type="dxa"/>
          </w:tcMar>
        </w:tcPr>
        <w:p w:rsidR="005050BF" w:rsidRPr="00090E70" w:rsidRDefault="005050BF" w:rsidP="00A97AC4"/>
      </w:tc>
    </w:tr>
  </w:tbl>
  <w:p w:rsidR="005050BF" w:rsidRDefault="005050BF">
    <w:pPr>
      <w:pStyle w:val="Footer"/>
    </w:pPr>
  </w:p>
  <w:p w:rsidR="005050BF" w:rsidRPr="004816D7" w:rsidRDefault="005050BF" w:rsidP="002024BF">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083ECF">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538</w:t>
    </w:r>
    <w:r w:rsidRPr="00C24267">
      <w:fldChar w:fldCharType="end"/>
    </w:r>
    <w:r w:rsidRPr="00C24267">
      <w:t xml:space="preserve"> of </w:t>
    </w:r>
    <w:fldSimple w:instr=" NUMPAGES  \* Arabic  \* MERGEFORMAT ">
      <w:r>
        <w:rPr>
          <w:noProof/>
        </w:rPr>
        <w:t>131</w:t>
      </w:r>
    </w:fldSimple>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7E3C99">
      <w:trPr>
        <w:trHeight w:val="340"/>
      </w:trPr>
      <w:tc>
        <w:tcPr>
          <w:tcW w:w="8164" w:type="dxa"/>
          <w:tcBorders>
            <w:right w:val="single" w:sz="4" w:space="0" w:color="788184" w:themeColor="background2"/>
          </w:tcBorders>
          <w:vAlign w:val="center"/>
        </w:tcPr>
        <w:p w:rsidR="005050BF" w:rsidRPr="00CB70DF" w:rsidRDefault="001C2C6D" w:rsidP="007E3C99">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7E3C99">
          <w:pPr>
            <w:pStyle w:val="FooterRightPageNumber"/>
          </w:pPr>
          <w:r w:rsidRPr="00EB388E">
            <w:fldChar w:fldCharType="begin"/>
          </w:r>
          <w:r w:rsidRPr="00EB388E">
            <w:instrText xml:space="preserve"> PAGE   \* MERGEFORMAT </w:instrText>
          </w:r>
          <w:r w:rsidRPr="00EB388E">
            <w:fldChar w:fldCharType="separate"/>
          </w:r>
          <w:r w:rsidR="00E46526">
            <w:t>451</w:t>
          </w:r>
          <w:r w:rsidRPr="00EB388E">
            <w:fldChar w:fldCharType="end"/>
          </w:r>
        </w:p>
      </w:tc>
    </w:tr>
    <w:tr w:rsidR="005050BF" w:rsidRPr="00EB388E" w:rsidTr="007E3C99">
      <w:trPr>
        <w:trHeight w:hRule="exact" w:val="403"/>
      </w:trPr>
      <w:tc>
        <w:tcPr>
          <w:tcW w:w="8164" w:type="dxa"/>
        </w:tcPr>
        <w:p w:rsidR="005050BF" w:rsidRPr="00090E70" w:rsidRDefault="005050BF" w:rsidP="007E3C99"/>
      </w:tc>
      <w:tc>
        <w:tcPr>
          <w:tcW w:w="567" w:type="dxa"/>
          <w:tcMar>
            <w:bottom w:w="284" w:type="dxa"/>
          </w:tcMar>
        </w:tcPr>
        <w:p w:rsidR="005050BF" w:rsidRPr="00090E70" w:rsidRDefault="005050BF" w:rsidP="007E3C99"/>
      </w:tc>
    </w:tr>
  </w:tbl>
  <w:p w:rsidR="005050BF" w:rsidRDefault="005050BF">
    <w:pPr>
      <w:pStyle w:val="Footer"/>
    </w:pPr>
  </w:p>
  <w:p w:rsidR="005050BF" w:rsidRPr="004816D7" w:rsidRDefault="005050BF" w:rsidP="00E8358C">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A97AC4">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534</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A97AC4">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A97AC4">
      <w:trPr>
        <w:trHeight w:val="340"/>
      </w:trPr>
      <w:tc>
        <w:tcPr>
          <w:tcW w:w="8164" w:type="dxa"/>
          <w:tcBorders>
            <w:right w:val="single" w:sz="4" w:space="0" w:color="788184" w:themeColor="background2"/>
          </w:tcBorders>
          <w:vAlign w:val="center"/>
        </w:tcPr>
        <w:p w:rsidR="005050BF" w:rsidRPr="00CB70DF" w:rsidRDefault="001C2C6D" w:rsidP="00A97AC4">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A97AC4">
          <w:pPr>
            <w:pStyle w:val="FooterRightPageNumber"/>
          </w:pPr>
          <w:r w:rsidRPr="00EB388E">
            <w:fldChar w:fldCharType="begin"/>
          </w:r>
          <w:r w:rsidRPr="00EB388E">
            <w:instrText xml:space="preserve"> PAGE   \* MERGEFORMAT </w:instrText>
          </w:r>
          <w:r w:rsidRPr="00EB388E">
            <w:fldChar w:fldCharType="separate"/>
          </w:r>
          <w:r w:rsidR="00E46526">
            <w:t>537</w:t>
          </w:r>
          <w:r w:rsidRPr="00EB388E">
            <w:fldChar w:fldCharType="end"/>
          </w:r>
        </w:p>
      </w:tc>
    </w:tr>
    <w:tr w:rsidR="005050BF" w:rsidRPr="00EB388E" w:rsidTr="00A97AC4">
      <w:trPr>
        <w:trHeight w:hRule="exact" w:val="403"/>
      </w:trPr>
      <w:tc>
        <w:tcPr>
          <w:tcW w:w="8164" w:type="dxa"/>
        </w:tcPr>
        <w:p w:rsidR="005050BF" w:rsidRPr="00090E70" w:rsidRDefault="005050BF" w:rsidP="00A97AC4"/>
      </w:tc>
      <w:tc>
        <w:tcPr>
          <w:tcW w:w="567" w:type="dxa"/>
          <w:tcMar>
            <w:bottom w:w="284" w:type="dxa"/>
          </w:tcMar>
        </w:tcPr>
        <w:p w:rsidR="005050BF" w:rsidRPr="00090E70" w:rsidRDefault="005050BF" w:rsidP="00A97AC4"/>
      </w:tc>
    </w:tr>
  </w:tbl>
  <w:p w:rsidR="005050BF" w:rsidRDefault="005050BF">
    <w:pPr>
      <w:pStyle w:val="Footer"/>
    </w:pPr>
  </w:p>
  <w:p w:rsidR="005050BF" w:rsidRPr="004816D7" w:rsidRDefault="005050BF" w:rsidP="002024BF">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A97AC4">
      <w:trPr>
        <w:cantSplit/>
        <w:trHeight w:val="567"/>
      </w:trPr>
      <w:tc>
        <w:tcPr>
          <w:tcW w:w="595" w:type="dxa"/>
          <w:textDirection w:val="tbRl"/>
        </w:tcPr>
        <w:p w:rsidR="005050BF" w:rsidRPr="00EB388E" w:rsidRDefault="005050BF" w:rsidP="00A97AC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A97AC4">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540</w:t>
          </w:r>
          <w:r w:rsidRPr="00EB388E">
            <w:fldChar w:fldCharType="end"/>
          </w:r>
        </w:p>
      </w:tc>
    </w:tr>
    <w:tr w:rsidR="005050BF" w:rsidRPr="00EB388E" w:rsidTr="00A97AC4">
      <w:trPr>
        <w:cantSplit/>
        <w:trHeight w:val="8164"/>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A97AC4">
          <w:pPr>
            <w:pStyle w:val="FooterLeft"/>
            <w:framePr w:wrap="auto" w:vAnchor="margin" w:hAnchor="text" w:yAlign="inline"/>
          </w:pPr>
          <w:r>
            <w:t>Post-election report of election commitments</w:t>
          </w:r>
        </w:p>
      </w:tc>
    </w:tr>
  </w:tbl>
  <w:p w:rsidR="005050BF" w:rsidRPr="00E350DC" w:rsidRDefault="005050BF" w:rsidP="002024BF">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A97AC4">
      <w:trPr>
        <w:cantSplit/>
        <w:trHeight w:val="8164"/>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A97AC4">
          <w:pPr>
            <w:pStyle w:val="FooterRight"/>
            <w:framePr w:wrap="auto" w:vAnchor="margin" w:hAnchor="text" w:xAlign="left" w:yAlign="inline"/>
          </w:pPr>
          <w:fldSimple w:instr=" STYLEREF  &quot;Heading 8,Appendix Title&quot; \r \* MERGEFORMAT ">
            <w:r w:rsidR="00E46526">
              <w:rPr>
                <w:noProof/>
              </w:rPr>
              <w:t>Appendix G</w:t>
            </w:r>
          </w:fldSimple>
        </w:p>
      </w:tc>
    </w:tr>
    <w:tr w:rsidR="005050BF" w:rsidRPr="00EB388E" w:rsidTr="00A97AC4">
      <w:trPr>
        <w:cantSplit/>
        <w:trHeight w:val="850"/>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A97AC4">
          <w:pPr>
            <w:pStyle w:val="FooterRightPageNumberLS"/>
            <w:framePr w:wrap="auto" w:xAlign="left"/>
          </w:pPr>
          <w:r w:rsidRPr="00B917D0">
            <w:fldChar w:fldCharType="begin"/>
          </w:r>
          <w:r w:rsidRPr="00B917D0">
            <w:instrText xml:space="preserve"> PAGE   \* MERGEFORMAT </w:instrText>
          </w:r>
          <w:r w:rsidRPr="00B917D0">
            <w:fldChar w:fldCharType="separate"/>
          </w:r>
          <w:r w:rsidR="00E46526">
            <w:t>539</w:t>
          </w:r>
          <w:r w:rsidRPr="00B917D0">
            <w:fldChar w:fldCharType="end"/>
          </w:r>
        </w:p>
      </w:tc>
    </w:tr>
  </w:tbl>
  <w:p w:rsidR="005050BF" w:rsidRPr="00E350DC" w:rsidRDefault="005050BF" w:rsidP="002024BF">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A97AC4">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544</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A97AC4">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5050BF" w:rsidRPr="00EB388E" w:rsidTr="00A97AC4">
      <w:trPr>
        <w:trHeight w:val="340"/>
      </w:trPr>
      <w:tc>
        <w:tcPr>
          <w:tcW w:w="8164" w:type="dxa"/>
          <w:tcBorders>
            <w:right w:val="single" w:sz="4" w:space="0" w:color="788184" w:themeColor="background2"/>
          </w:tcBorders>
          <w:vAlign w:val="center"/>
        </w:tcPr>
        <w:p w:rsidR="005050BF" w:rsidRPr="00CB70DF" w:rsidRDefault="001C2C6D" w:rsidP="00A97AC4">
          <w:pPr>
            <w:pStyle w:val="FooterRight"/>
            <w:framePr w:wrap="auto" w:vAnchor="margin" w:hAnchor="text" w:xAlign="left" w:yAlign="inline"/>
          </w:pPr>
          <w:fldSimple w:instr=" STYLEREF  &quot;Heading 8,Appendix Title&quot; \r \* MERGEFORMAT ">
            <w:r w:rsidR="00E46526">
              <w:rPr>
                <w:noProof/>
              </w:rPr>
              <w:t>Appendix G</w:t>
            </w:r>
          </w:fldSimple>
        </w:p>
      </w:tc>
      <w:tc>
        <w:tcPr>
          <w:tcW w:w="567" w:type="dxa"/>
          <w:tcBorders>
            <w:left w:val="single" w:sz="4" w:space="0" w:color="788184" w:themeColor="background2"/>
          </w:tcBorders>
          <w:vAlign w:val="center"/>
        </w:tcPr>
        <w:p w:rsidR="005050BF" w:rsidRPr="00CB70DF" w:rsidRDefault="005050BF" w:rsidP="00A97AC4">
          <w:pPr>
            <w:pStyle w:val="FooterRightPageNumber"/>
          </w:pPr>
          <w:r w:rsidRPr="00EB388E">
            <w:fldChar w:fldCharType="begin"/>
          </w:r>
          <w:r w:rsidRPr="00EB388E">
            <w:instrText xml:space="preserve"> PAGE   \* MERGEFORMAT </w:instrText>
          </w:r>
          <w:r w:rsidRPr="00EB388E">
            <w:fldChar w:fldCharType="separate"/>
          </w:r>
          <w:r w:rsidR="00E46526">
            <w:t>543</w:t>
          </w:r>
          <w:r w:rsidRPr="00EB388E">
            <w:fldChar w:fldCharType="end"/>
          </w:r>
        </w:p>
      </w:tc>
    </w:tr>
    <w:tr w:rsidR="005050BF" w:rsidRPr="00EB388E" w:rsidTr="00A97AC4">
      <w:trPr>
        <w:trHeight w:hRule="exact" w:val="403"/>
      </w:trPr>
      <w:tc>
        <w:tcPr>
          <w:tcW w:w="8164" w:type="dxa"/>
        </w:tcPr>
        <w:p w:rsidR="005050BF" w:rsidRPr="00090E70" w:rsidRDefault="005050BF" w:rsidP="00A97AC4"/>
      </w:tc>
      <w:tc>
        <w:tcPr>
          <w:tcW w:w="567" w:type="dxa"/>
          <w:tcMar>
            <w:bottom w:w="284" w:type="dxa"/>
          </w:tcMar>
        </w:tcPr>
        <w:p w:rsidR="005050BF" w:rsidRPr="00090E70" w:rsidRDefault="005050BF" w:rsidP="00A97AC4"/>
      </w:tc>
    </w:tr>
  </w:tbl>
  <w:p w:rsidR="005050BF" w:rsidRDefault="005050BF">
    <w:pPr>
      <w:pStyle w:val="Footer"/>
    </w:pPr>
  </w:p>
  <w:p w:rsidR="005050BF" w:rsidRPr="004816D7" w:rsidRDefault="005050BF" w:rsidP="002024BF">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24267" w:rsidRDefault="005050BF" w:rsidP="0067067E">
    <w:pPr>
      <w:pStyle w:val="Footer"/>
    </w:pPr>
    <w:r w:rsidRPr="00C24267">
      <w:t xml:space="preserve">Page </w:t>
    </w:r>
    <w:r w:rsidRPr="00C24267">
      <w:fldChar w:fldCharType="begin"/>
    </w:r>
    <w:r w:rsidRPr="00C24267">
      <w:instrText xml:space="preserve"> PAGE  \* Arabic  \* MERGEFORMAT </w:instrText>
    </w:r>
    <w:r w:rsidRPr="00C24267">
      <w:fldChar w:fldCharType="separate"/>
    </w:r>
    <w:r>
      <w:rPr>
        <w:noProof/>
      </w:rPr>
      <w:t>548</w:t>
    </w:r>
    <w:r w:rsidRPr="00C24267">
      <w:fldChar w:fldCharType="end"/>
    </w:r>
    <w:r w:rsidRPr="00C24267">
      <w:t xml:space="preserve"> of </w:t>
    </w:r>
    <w:fldSimple w:instr=" NUMPAGES  \* Arabic  \* MERGEFORMAT ">
      <w:r>
        <w:rPr>
          <w:noProof/>
        </w:rPr>
        <w:t>131</w:t>
      </w:r>
    </w:fldSimple>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5050BF" w:rsidRPr="00EB388E" w:rsidTr="00A97AC4">
      <w:trPr>
        <w:cantSplit/>
        <w:trHeight w:val="567"/>
      </w:trPr>
      <w:tc>
        <w:tcPr>
          <w:tcW w:w="595" w:type="dxa"/>
          <w:textDirection w:val="tbRl"/>
        </w:tcPr>
        <w:p w:rsidR="005050BF" w:rsidRPr="00EB388E" w:rsidRDefault="005050BF" w:rsidP="00A97AC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AF7B25" w:rsidRDefault="005050BF" w:rsidP="00A97AC4">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E46526">
            <w:rPr>
              <w:noProof/>
            </w:rPr>
            <w:t>546</w:t>
          </w:r>
          <w:r w:rsidRPr="00EB388E">
            <w:fldChar w:fldCharType="end"/>
          </w:r>
        </w:p>
      </w:tc>
    </w:tr>
    <w:tr w:rsidR="005050BF" w:rsidRPr="00EB388E" w:rsidTr="00A97AC4">
      <w:trPr>
        <w:cantSplit/>
        <w:trHeight w:val="8164"/>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EB388E" w:rsidRDefault="005050BF" w:rsidP="00A97AC4">
          <w:pPr>
            <w:pStyle w:val="FooterLeft"/>
            <w:framePr w:wrap="auto" w:vAnchor="margin" w:hAnchor="text" w:yAlign="inline"/>
          </w:pPr>
          <w:r>
            <w:t>Post-election report of election commitments</w:t>
          </w:r>
        </w:p>
      </w:tc>
    </w:tr>
  </w:tbl>
  <w:p w:rsidR="005050BF" w:rsidRPr="00E350DC" w:rsidRDefault="005050BF" w:rsidP="002024BF">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5050BF" w:rsidRPr="00EB388E" w:rsidTr="00A97AC4">
      <w:trPr>
        <w:cantSplit/>
        <w:trHeight w:val="8164"/>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5050BF" w:rsidRPr="00EB388E" w:rsidRDefault="001C2C6D" w:rsidP="00A97AC4">
          <w:pPr>
            <w:pStyle w:val="FooterRight"/>
            <w:framePr w:wrap="auto" w:vAnchor="margin" w:hAnchor="text" w:xAlign="left" w:yAlign="inline"/>
          </w:pPr>
          <w:fldSimple w:instr=" STYLEREF  &quot;Heading 8,Appendix Title&quot; \r \* MERGEFORMAT ">
            <w:r w:rsidR="00E46526">
              <w:rPr>
                <w:noProof/>
              </w:rPr>
              <w:t>Appendix G</w:t>
            </w:r>
          </w:fldSimple>
        </w:p>
      </w:tc>
    </w:tr>
    <w:tr w:rsidR="005050BF" w:rsidRPr="00EB388E" w:rsidTr="00A97AC4">
      <w:trPr>
        <w:cantSplit/>
        <w:trHeight w:val="850"/>
      </w:trPr>
      <w:tc>
        <w:tcPr>
          <w:tcW w:w="595" w:type="dxa"/>
          <w:textDirection w:val="tbRl"/>
        </w:tcPr>
        <w:p w:rsidR="005050BF" w:rsidRDefault="005050BF" w:rsidP="00A97AC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5050BF" w:rsidRPr="00AF7B25" w:rsidRDefault="005050BF" w:rsidP="00A97AC4">
          <w:pPr>
            <w:pStyle w:val="FooterRightPageNumberLS"/>
            <w:framePr w:wrap="auto" w:xAlign="left"/>
          </w:pPr>
          <w:r w:rsidRPr="00B917D0">
            <w:fldChar w:fldCharType="begin"/>
          </w:r>
          <w:r w:rsidRPr="00B917D0">
            <w:instrText xml:space="preserve"> PAGE   \* MERGEFORMAT </w:instrText>
          </w:r>
          <w:r w:rsidRPr="00B917D0">
            <w:fldChar w:fldCharType="separate"/>
          </w:r>
          <w:r w:rsidR="00E46526">
            <w:t>545</w:t>
          </w:r>
          <w:r w:rsidRPr="00B917D0">
            <w:fldChar w:fldCharType="end"/>
          </w:r>
        </w:p>
      </w:tc>
    </w:tr>
  </w:tbl>
  <w:p w:rsidR="005050BF" w:rsidRPr="00E350DC" w:rsidRDefault="005050BF" w:rsidP="002024BF">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5050BF" w:rsidRPr="00EB388E" w:rsidTr="00A97AC4">
      <w:trPr>
        <w:trHeight w:val="340"/>
      </w:trPr>
      <w:tc>
        <w:tcPr>
          <w:tcW w:w="567" w:type="dxa"/>
          <w:tcBorders>
            <w:right w:val="single" w:sz="4" w:space="0" w:color="788184" w:themeColor="background2"/>
          </w:tcBorders>
          <w:vAlign w:val="center"/>
        </w:tcPr>
        <w:p w:rsidR="005050BF" w:rsidRPr="00CB70DF" w:rsidRDefault="005050BF" w:rsidP="00ED4E1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1C2C6D">
            <w:rPr>
              <w:noProof/>
            </w:rPr>
            <w:t>556</w:t>
          </w:r>
          <w:r w:rsidRPr="00EB388E">
            <w:fldChar w:fldCharType="end"/>
          </w:r>
        </w:p>
      </w:tc>
      <w:tc>
        <w:tcPr>
          <w:tcW w:w="8164" w:type="dxa"/>
          <w:tcBorders>
            <w:left w:val="single" w:sz="4" w:space="0" w:color="788184" w:themeColor="background2"/>
          </w:tcBorders>
          <w:vAlign w:val="center"/>
        </w:tcPr>
        <w:p w:rsidR="005050BF" w:rsidRPr="00CB70DF" w:rsidRDefault="005050BF" w:rsidP="00ED4E15">
          <w:pPr>
            <w:pStyle w:val="FooterLeft"/>
            <w:framePr w:wrap="auto" w:vAnchor="margin" w:hAnchor="text" w:yAlign="inline"/>
          </w:pPr>
          <w:r>
            <w:t>Post-election report of election commitments</w:t>
          </w:r>
        </w:p>
      </w:tc>
    </w:tr>
    <w:tr w:rsidR="005050BF" w:rsidRPr="00EB388E" w:rsidTr="00A97AC4">
      <w:trPr>
        <w:trHeight w:hRule="exact" w:val="403"/>
      </w:trPr>
      <w:tc>
        <w:tcPr>
          <w:tcW w:w="567" w:type="dxa"/>
          <w:tcMar>
            <w:bottom w:w="284" w:type="dxa"/>
          </w:tcMar>
        </w:tcPr>
        <w:p w:rsidR="005050BF" w:rsidRPr="00EB388E" w:rsidRDefault="005050BF" w:rsidP="00ED4E15">
          <w:pPr>
            <w:pStyle w:val="FooterRightPageNumber"/>
          </w:pPr>
        </w:p>
      </w:tc>
      <w:tc>
        <w:tcPr>
          <w:tcW w:w="8164" w:type="dxa"/>
          <w:tcMar>
            <w:bottom w:w="284" w:type="dxa"/>
          </w:tcMar>
        </w:tcPr>
        <w:p w:rsidR="005050BF" w:rsidRPr="00090E70" w:rsidRDefault="005050BF" w:rsidP="00ED4E15"/>
      </w:tc>
    </w:tr>
  </w:tbl>
  <w:p w:rsidR="005050BF" w:rsidRDefault="005050BF">
    <w:pPr>
      <w:pStyle w:val="Footer"/>
    </w:pPr>
  </w:p>
  <w:p w:rsidR="005050BF" w:rsidRPr="004816D7" w:rsidRDefault="005050BF" w:rsidP="00481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0BF" w:rsidRPr="000557A7" w:rsidRDefault="005050BF" w:rsidP="008D5A11">
      <w:pPr>
        <w:pBdr>
          <w:top w:val="single" w:sz="4" w:space="1" w:color="auto"/>
        </w:pBdr>
        <w:spacing w:before="240" w:line="60" w:lineRule="exact"/>
        <w:rPr>
          <w:sz w:val="16"/>
          <w:szCs w:val="16"/>
        </w:rPr>
      </w:pPr>
    </w:p>
  </w:footnote>
  <w:footnote w:type="continuationSeparator" w:id="0">
    <w:p w:rsidR="005050BF" w:rsidRDefault="005050BF" w:rsidP="00A20802">
      <w:pPr>
        <w:spacing w:line="240" w:lineRule="auto"/>
      </w:pPr>
      <w:r>
        <w:continuationSeparator/>
      </w:r>
    </w:p>
    <w:p w:rsidR="005050BF" w:rsidRDefault="005050BF"/>
  </w:footnote>
  <w:footnote w:id="1">
    <w:p w:rsidR="005050BF" w:rsidRPr="00F863BD" w:rsidRDefault="005050BF" w:rsidP="00C45D57">
      <w:pPr>
        <w:pStyle w:val="FootnoteText"/>
        <w:spacing w:before="0"/>
        <w:ind w:left="0" w:firstLine="0"/>
      </w:pPr>
      <w:r w:rsidRPr="00F863BD">
        <w:rPr>
          <w:rStyle w:val="FootnoteReference"/>
        </w:rPr>
        <w:footnoteRef/>
      </w:r>
      <w:r w:rsidRPr="00F863BD">
        <w:t xml:space="preserve"> A taxable income elasticity is a measure of the responsiveness of taxable income to changes in after tax income. An increase in tax would result in a decrease in after tax income. </w:t>
      </w:r>
      <w:r>
        <w:t xml:space="preserve"> </w:t>
      </w:r>
      <w:r w:rsidRPr="00F863BD">
        <w:t>An elasticity of 0.35 means that a 1 per cent decrease in the net-of-tax rate (the proportion of each additional dollar kept as take-home income) results in a 0.35 per cent decrease in taxable income.</w:t>
      </w:r>
    </w:p>
  </w:footnote>
  <w:footnote w:id="2">
    <w:p w:rsidR="005050BF" w:rsidRPr="009F5078" w:rsidRDefault="005050BF" w:rsidP="002C7B15">
      <w:pPr>
        <w:pStyle w:val="FootnoteText"/>
        <w:spacing w:after="120"/>
        <w:ind w:left="0" w:firstLine="0"/>
      </w:pPr>
      <w:r w:rsidRPr="009F5078">
        <w:rPr>
          <w:rStyle w:val="FootnoteReference"/>
        </w:rPr>
        <w:footnoteRef/>
      </w:r>
      <w:r w:rsidRPr="009F5078">
        <w:t xml:space="preserve"> A taxable income elasticity is a measure of the responsiveness of taxable income to changes in after tax income.  An increase in tax would result in a decrease in after tax income.  An elasticity of 0.2 means that a 1 per cent decrease in the net-of-tax rate (the proportion of each additional dollar kept as take-home income) results in a 0.2 per cent decrease in taxable income.</w:t>
      </w:r>
    </w:p>
  </w:footnote>
  <w:footnote w:id="3">
    <w:p w:rsidR="005050BF" w:rsidRPr="00951F4B" w:rsidRDefault="005050BF" w:rsidP="003F606A">
      <w:pPr>
        <w:pStyle w:val="FootnoteText"/>
        <w:rPr>
          <w:rFonts w:ascii="Calibri" w:hAnsi="Calibri"/>
        </w:rPr>
      </w:pPr>
      <w:r w:rsidRPr="00AF01ED">
        <w:rPr>
          <w:rStyle w:val="FootnoteReference"/>
          <w:vertAlign w:val="baseline"/>
        </w:rPr>
        <w:footnoteRef/>
      </w:r>
      <w:r>
        <w:tab/>
      </w:r>
      <w:r w:rsidRPr="006277A7">
        <w:t xml:space="preserve">Announced at the 2015-16 Budget, the Community Child Care Fund will provide additional support </w:t>
      </w:r>
      <w:r w:rsidRPr="00951F4B">
        <w:rPr>
          <w:rFonts w:ascii="Calibri" w:hAnsi="Calibri"/>
        </w:rPr>
        <w:t>to increase the supply of child care places in areas of high unmet demand.</w:t>
      </w:r>
    </w:p>
  </w:footnote>
  <w:footnote w:id="4">
    <w:p w:rsidR="005050BF" w:rsidRPr="00553E31" w:rsidRDefault="005050BF" w:rsidP="003F606A">
      <w:pPr>
        <w:pStyle w:val="FootnoteText"/>
      </w:pPr>
      <w:r w:rsidRPr="008543BC">
        <w:rPr>
          <w:rStyle w:val="FootnoteReference"/>
          <w:vertAlign w:val="baseline"/>
        </w:rPr>
        <w:footnoteRef/>
      </w:r>
      <w:r>
        <w:tab/>
      </w:r>
      <w:r w:rsidRPr="00553E31">
        <w:t>Note WA, Queensland and NT did not sign up to NERA.  Further, Victoria’s NERA aim is to increase school funding to reach 95 per cent of SRS by 2022.</w:t>
      </w:r>
    </w:p>
  </w:footnote>
  <w:footnote w:id="5">
    <w:p w:rsidR="005050BF" w:rsidRPr="00553E31" w:rsidRDefault="005050BF" w:rsidP="003F606A">
      <w:pPr>
        <w:pStyle w:val="FootnoteText"/>
      </w:pPr>
      <w:r w:rsidRPr="008543BC">
        <w:rPr>
          <w:rStyle w:val="FootnoteReference"/>
          <w:vertAlign w:val="baseline"/>
        </w:rPr>
        <w:footnoteRef/>
      </w:r>
      <w:r>
        <w:tab/>
      </w:r>
      <w:r w:rsidRPr="00553E31">
        <w:t>2014</w:t>
      </w:r>
      <w:r w:rsidRPr="00553E31">
        <w:noBreakHyphen/>
        <w:t xml:space="preserve">15 Budget measure: </w:t>
      </w:r>
      <w:r w:rsidRPr="00553E31">
        <w:rPr>
          <w:i/>
        </w:rPr>
        <w:t>Students First – indexation of school funding from 2018</w:t>
      </w:r>
      <w:r w:rsidRPr="00553E31">
        <w:t>.</w:t>
      </w:r>
    </w:p>
  </w:footnote>
  <w:footnote w:id="6">
    <w:p w:rsidR="005050BF" w:rsidRPr="00553E31" w:rsidRDefault="005050BF" w:rsidP="003F606A">
      <w:pPr>
        <w:pStyle w:val="FootnoteText"/>
      </w:pPr>
      <w:r w:rsidRPr="008543BC">
        <w:rPr>
          <w:rStyle w:val="FootnoteReference"/>
          <w:vertAlign w:val="baseline"/>
        </w:rPr>
        <w:footnoteRef/>
      </w:r>
      <w:r>
        <w:tab/>
      </w:r>
      <w:r w:rsidRPr="00553E31">
        <w:t xml:space="preserve">2016-17 Budget measure: </w:t>
      </w:r>
      <w:r w:rsidRPr="00553E31">
        <w:rPr>
          <w:i/>
        </w:rPr>
        <w:t>School Funding – additional funding from 2018.</w:t>
      </w:r>
    </w:p>
  </w:footnote>
  <w:footnote w:id="7">
    <w:p w:rsidR="005050BF" w:rsidRPr="00553E31" w:rsidRDefault="005050BF">
      <w:pPr>
        <w:pStyle w:val="FootnoteText"/>
      </w:pPr>
      <w:r w:rsidRPr="008543BC">
        <w:rPr>
          <w:rStyle w:val="FootnoteReference"/>
          <w:vertAlign w:val="baseline"/>
        </w:rPr>
        <w:footnoteRef/>
      </w:r>
      <w:r>
        <w:tab/>
      </w:r>
      <w:r w:rsidRPr="00553E31">
        <w:t>Note, as per the NERA, Victoria would not reach 95 per cent of the SRS until 2022.</w:t>
      </w:r>
    </w:p>
  </w:footnote>
  <w:footnote w:id="8">
    <w:p w:rsidR="005050BF" w:rsidRDefault="005050BF" w:rsidP="003F606A">
      <w:pPr>
        <w:pStyle w:val="FootnoteText"/>
      </w:pPr>
      <w:r w:rsidRPr="0062454D">
        <w:rPr>
          <w:rStyle w:val="FootnoteReference"/>
          <w:vertAlign w:val="baseline"/>
        </w:rPr>
        <w:footnoteRef/>
      </w:r>
      <w:r>
        <w:tab/>
      </w:r>
      <w:r w:rsidRPr="00A10F30">
        <w:t>Given this costing is over a defined time period with a lower value of loans being issued each year relative to the 2016-17 Budget, the net impact of the concessional loan discount expense and the revenue from the unwinding of concessional loan discount would not be zero.</w:t>
      </w:r>
      <w:r>
        <w:t xml:space="preserve"> </w:t>
      </w:r>
      <w:r w:rsidRPr="00A10F30">
        <w:t xml:space="preserve"> Were the analysis to be undertaken for a single loan and that loan were to be established and fully repaid during the analysis period then these two lines would net to zero.</w:t>
      </w:r>
    </w:p>
  </w:footnote>
  <w:footnote w:id="9">
    <w:p w:rsidR="005050BF" w:rsidRPr="00D17AD5" w:rsidRDefault="005050BF" w:rsidP="003F606A">
      <w:pPr>
        <w:pStyle w:val="FootnoteText"/>
      </w:pPr>
      <w:r w:rsidRPr="008543BC">
        <w:rPr>
          <w:rStyle w:val="FootnoteReference"/>
          <w:vertAlign w:val="baseline"/>
        </w:rPr>
        <w:footnoteRef/>
      </w:r>
      <w:r>
        <w:tab/>
      </w:r>
      <w:r w:rsidRPr="005B407E">
        <w:rPr>
          <w:sz w:val="22"/>
        </w:rPr>
        <w:t xml:space="preserve">The financial impact of the proposed ongoing scheme has been costed by the PBO in the following two caretaker period costings: GRN046 </w:t>
      </w:r>
      <w:r w:rsidRPr="005B407E">
        <w:rPr>
          <w:i/>
          <w:sz w:val="22"/>
        </w:rPr>
        <w:t>Implementing Primary Health Care</w:t>
      </w:r>
      <w:r w:rsidRPr="005B407E">
        <w:rPr>
          <w:sz w:val="22"/>
        </w:rPr>
        <w:t xml:space="preserve">, and GRN047 </w:t>
      </w:r>
      <w:r w:rsidRPr="005B407E">
        <w:rPr>
          <w:i/>
          <w:sz w:val="22"/>
        </w:rPr>
        <w:t>Primary Health Networks – Funding</w:t>
      </w:r>
      <w:r w:rsidRPr="005B407E">
        <w:rPr>
          <w:sz w:val="22"/>
        </w:rPr>
        <w:t>.</w:t>
      </w:r>
    </w:p>
  </w:footnote>
  <w:footnote w:id="10">
    <w:p w:rsidR="005050BF" w:rsidRDefault="005050BF" w:rsidP="003F606A">
      <w:pPr>
        <w:pStyle w:val="FootnoteText"/>
      </w:pPr>
      <w:r w:rsidRPr="008543BC">
        <w:rPr>
          <w:rStyle w:val="FootnoteReference"/>
          <w:vertAlign w:val="baseline"/>
        </w:rPr>
        <w:footnoteRef/>
      </w:r>
      <w:r>
        <w:tab/>
      </w:r>
      <w:r w:rsidRPr="001C25E8">
        <w:t>Departmental costs for Health to establish the framework for enrolling patients is included in the Parliamentary Budget Office’s costing of GRN044 – Managing Chronic Disease.</w:t>
      </w:r>
    </w:p>
  </w:footnote>
  <w:footnote w:id="11">
    <w:p w:rsidR="005050BF" w:rsidRPr="001C25E8" w:rsidRDefault="005050BF" w:rsidP="003F606A">
      <w:pPr>
        <w:pStyle w:val="FootnoteText"/>
      </w:pPr>
      <w:r w:rsidRPr="008543BC">
        <w:rPr>
          <w:rStyle w:val="FootnoteReference"/>
          <w:vertAlign w:val="baseline"/>
        </w:rPr>
        <w:footnoteRef/>
      </w:r>
      <w:r>
        <w:tab/>
      </w:r>
      <w:r w:rsidRPr="001C25E8">
        <w:t>Departmental costs for Health to establish the framework for enrolling patients is included in the Parliamentary Budget Office’s costing of GRN044 – Managing Chronic Disease.</w:t>
      </w:r>
    </w:p>
  </w:footnote>
  <w:footnote w:id="12">
    <w:p w:rsidR="005050BF" w:rsidRPr="00C34ECD" w:rsidRDefault="005050BF" w:rsidP="003F606A">
      <w:pPr>
        <w:pStyle w:val="FootnoteText"/>
        <w:spacing w:after="120"/>
      </w:pPr>
      <w:r w:rsidRPr="00CB2201">
        <w:rPr>
          <w:rStyle w:val="FootnoteReference"/>
          <w:vertAlign w:val="baseline"/>
        </w:rPr>
        <w:footnoteRef/>
      </w:r>
      <w:r>
        <w:tab/>
      </w:r>
      <w:r w:rsidRPr="00C34ECD">
        <w:t>2016-17 Budget measure</w:t>
      </w:r>
      <w:r>
        <w:t>,</w:t>
      </w:r>
      <w:r w:rsidRPr="00C34ECD">
        <w:t xml:space="preserve"> </w:t>
      </w:r>
      <w:r w:rsidRPr="00C34ECD">
        <w:rPr>
          <w:i/>
        </w:rPr>
        <w:t>Establishment of the Northern Australian Infrastructure Facility</w:t>
      </w:r>
      <w:r w:rsidRPr="00C34ECD">
        <w:t>.</w:t>
      </w:r>
    </w:p>
  </w:footnote>
  <w:footnote w:id="13">
    <w:p w:rsidR="005050BF" w:rsidRDefault="005050BF" w:rsidP="003F606A">
      <w:pPr>
        <w:pStyle w:val="FootnoteText"/>
      </w:pPr>
      <w:r w:rsidRPr="00CB2201">
        <w:rPr>
          <w:rStyle w:val="FootnoteReference"/>
          <w:vertAlign w:val="baseline"/>
        </w:rPr>
        <w:footnoteRef/>
      </w:r>
      <w:r>
        <w:tab/>
        <w:t>Page 54 of the Department of the Environment 2015</w:t>
      </w:r>
      <w:r>
        <w:noBreakHyphen/>
        <w:t>16 Portfolio Budget Statements states that the ERF “consists of an initial $2.55 billion” commitment.  This is consistent with the figure stated in the Coalition’s Direct Action Plan 2010.</w:t>
      </w:r>
    </w:p>
  </w:footnote>
  <w:footnote w:id="14">
    <w:p w:rsidR="005050BF" w:rsidRPr="003833ED" w:rsidRDefault="005050BF">
      <w:pPr>
        <w:pStyle w:val="FootnoteText"/>
      </w:pPr>
      <w:r w:rsidRPr="00CB2201">
        <w:rPr>
          <w:rStyle w:val="FootnoteReference"/>
          <w:vertAlign w:val="baseline"/>
        </w:rPr>
        <w:footnoteRef/>
      </w:r>
      <w:r>
        <w:tab/>
        <w:t>The 2014</w:t>
      </w:r>
      <w:r>
        <w:noBreakHyphen/>
        <w:t xml:space="preserve">15 Budget measure, </w:t>
      </w:r>
      <w:r>
        <w:rPr>
          <w:i/>
        </w:rPr>
        <w:t>Emissions Reduction Fund – establishment</w:t>
      </w:r>
      <w:r>
        <w:t xml:space="preserve"> stated that the cost of administering the ERF would be met from within existing resources of the Department of the Environment and the Clean Energy Regulator.</w:t>
      </w:r>
    </w:p>
  </w:footnote>
  <w:footnote w:id="15">
    <w:p w:rsidR="005050BF" w:rsidRDefault="005050BF">
      <w:pPr>
        <w:pStyle w:val="FootnoteText"/>
      </w:pPr>
      <w:r w:rsidRPr="00CB2201">
        <w:rPr>
          <w:rStyle w:val="FootnoteReference"/>
          <w:vertAlign w:val="baseline"/>
        </w:rPr>
        <w:footnoteRef/>
      </w:r>
      <w:r>
        <w:tab/>
        <w:t>For the purpose of this costing, maturity is the point at which the costing is no longer affected by transitional influences.</w:t>
      </w:r>
    </w:p>
  </w:footnote>
  <w:footnote w:id="16">
    <w:p w:rsidR="005050BF" w:rsidRPr="00FB2F79" w:rsidRDefault="005050BF">
      <w:pPr>
        <w:pStyle w:val="FootnoteText"/>
        <w:rPr>
          <w:rFonts w:ascii="Calibri" w:hAnsi="Calibri"/>
        </w:rPr>
      </w:pPr>
      <w:r w:rsidRPr="00CB2201">
        <w:rPr>
          <w:rStyle w:val="FootnoteReference"/>
          <w:rFonts w:ascii="Calibri" w:hAnsi="Calibri"/>
          <w:vertAlign w:val="baseline"/>
        </w:rPr>
        <w:footnoteRef/>
      </w:r>
      <w:r>
        <w:rPr>
          <w:rFonts w:ascii="Calibri" w:hAnsi="Calibri"/>
        </w:rPr>
        <w:tab/>
      </w:r>
      <w:r w:rsidRPr="00FB2F79">
        <w:rPr>
          <w:rFonts w:ascii="Calibri" w:hAnsi="Calibri"/>
        </w:rPr>
        <w:t xml:space="preserve">This was estimated based on a research report titled </w:t>
      </w:r>
      <w:r w:rsidRPr="00FB2F79">
        <w:rPr>
          <w:rFonts w:ascii="Calibri" w:hAnsi="Calibri"/>
          <w:i/>
        </w:rPr>
        <w:t>The capture of public wealth by the for-profit VET sector: A report prepared for the Australian Education Union</w:t>
      </w:r>
      <w:r w:rsidRPr="00FB2F79">
        <w:rPr>
          <w:rFonts w:ascii="Calibri" w:hAnsi="Calibri"/>
        </w:rPr>
        <w:t xml:space="preserve">, published by the </w:t>
      </w:r>
      <w:r w:rsidRPr="00FB2F79">
        <w:rPr>
          <w:rFonts w:ascii="Calibri" w:hAnsi="Calibri"/>
          <w:i/>
        </w:rPr>
        <w:t>University of Sydney Workplace Research Centre</w:t>
      </w:r>
      <w:r w:rsidRPr="00FB2F79">
        <w:rPr>
          <w:rFonts w:ascii="Calibri" w:hAnsi="Calibri"/>
        </w:rPr>
        <w:t xml:space="preserve"> in January 2015.</w:t>
      </w:r>
    </w:p>
  </w:footnote>
  <w:footnote w:id="17">
    <w:p w:rsidR="005050BF" w:rsidRPr="0043430F" w:rsidRDefault="005050BF">
      <w:pPr>
        <w:pStyle w:val="FootnoteText"/>
        <w:spacing w:after="120"/>
        <w:rPr>
          <w:rFonts w:ascii="Calibri" w:hAnsi="Calibri"/>
        </w:rPr>
      </w:pPr>
      <w:r w:rsidRPr="00CB2201">
        <w:rPr>
          <w:rStyle w:val="FootnoteReference"/>
          <w:rFonts w:ascii="Calibri" w:hAnsi="Calibri"/>
          <w:vertAlign w:val="baseline"/>
        </w:rPr>
        <w:footnoteRef/>
      </w:r>
      <w:r>
        <w:rPr>
          <w:rFonts w:ascii="Calibri" w:hAnsi="Calibri"/>
        </w:rPr>
        <w:tab/>
      </w:r>
      <w:r w:rsidRPr="0043430F">
        <w:rPr>
          <w:rFonts w:ascii="Calibri" w:hAnsi="Calibri"/>
        </w:rPr>
        <w:t xml:space="preserve">Given this costing is over a defined time period with fewer loans being issued each year, the net impact of the </w:t>
      </w:r>
      <w:r>
        <w:rPr>
          <w:rFonts w:ascii="Calibri" w:hAnsi="Calibri"/>
        </w:rPr>
        <w:t>CLD</w:t>
      </w:r>
      <w:r w:rsidRPr="0043430F">
        <w:rPr>
          <w:rFonts w:ascii="Calibri" w:hAnsi="Calibri"/>
        </w:rPr>
        <w:t xml:space="preserve"> expense and the revenue from the unwinding of </w:t>
      </w:r>
      <w:r>
        <w:rPr>
          <w:rFonts w:ascii="Calibri" w:hAnsi="Calibri"/>
        </w:rPr>
        <w:t>CLD</w:t>
      </w:r>
      <w:r w:rsidRPr="0043430F">
        <w:rPr>
          <w:rFonts w:ascii="Calibri" w:hAnsi="Calibri"/>
        </w:rPr>
        <w:t xml:space="preserve"> will not be zero. </w:t>
      </w:r>
      <w:r>
        <w:rPr>
          <w:rFonts w:ascii="Calibri" w:hAnsi="Calibri"/>
        </w:rPr>
        <w:t xml:space="preserve"> </w:t>
      </w:r>
      <w:r w:rsidRPr="0043430F">
        <w:rPr>
          <w:rFonts w:ascii="Calibri" w:hAnsi="Calibri"/>
        </w:rPr>
        <w:t xml:space="preserve">Were the analysis to be undertaken for a single loan and that loan were to be established and fully repaid during the analysis period then these two lines would net to zero. </w:t>
      </w:r>
    </w:p>
  </w:footnote>
  <w:footnote w:id="18">
    <w:p w:rsidR="005050BF" w:rsidRPr="00564A85" w:rsidRDefault="005050BF">
      <w:pPr>
        <w:pStyle w:val="FootnoteText"/>
      </w:pPr>
      <w:r w:rsidRPr="00CB2201">
        <w:rPr>
          <w:rStyle w:val="FootnoteReference"/>
          <w:vertAlign w:val="baseline"/>
        </w:rPr>
        <w:footnoteRef/>
      </w:r>
      <w:r>
        <w:tab/>
        <w:t xml:space="preserve">This item has not been included in the financial implications for this costing, GRN100 </w:t>
      </w:r>
      <w:r>
        <w:rPr>
          <w:i/>
        </w:rPr>
        <w:t>Reversing Harsh and Harmful Budget Measures</w:t>
      </w:r>
      <w:r>
        <w:t xml:space="preserve">, as it is included in GRN088 </w:t>
      </w:r>
      <w:r>
        <w:rPr>
          <w:i/>
        </w:rPr>
        <w:t>Infrastructure Bank: Financing the new economy</w:t>
      </w:r>
      <w:r>
        <w:t>.</w:t>
      </w:r>
    </w:p>
  </w:footnote>
  <w:footnote w:id="19">
    <w:p w:rsidR="005050BF" w:rsidRDefault="005050BF">
      <w:pPr>
        <w:pStyle w:val="FootnoteText"/>
      </w:pPr>
      <w:r w:rsidRPr="00CB2201">
        <w:rPr>
          <w:rStyle w:val="FootnoteReference"/>
          <w:vertAlign w:val="baseline"/>
        </w:rPr>
        <w:footnoteRef/>
      </w:r>
      <w:r>
        <w:tab/>
        <w:t xml:space="preserve">This item has not been included in the financial implications for this costing, GRN100 </w:t>
      </w:r>
      <w:r>
        <w:rPr>
          <w:i/>
        </w:rPr>
        <w:t>Reversing Harsh and Harmful Budget Measures</w:t>
      </w:r>
      <w:r>
        <w:t xml:space="preserve">, as it is included in GRN102 </w:t>
      </w:r>
      <w:r>
        <w:rPr>
          <w:i/>
        </w:rPr>
        <w:t>Nuclear Waste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83569C" w:rsidRDefault="005050BF" w:rsidP="007208C6">
    <w:pPr>
      <w:pStyle w:val="Header"/>
      <w:spacing w:before="120"/>
      <w:rPr>
        <w:rStyle w:val="IntenseReference"/>
        <w:rFonts w:cs="Arial"/>
        <w:bCs w:val="0"/>
        <w:sz w:val="24"/>
        <w:szCs w:val="24"/>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DB2309">
    <w:pPr>
      <w:pStyle w:val="Header"/>
    </w:pPr>
  </w:p>
  <w:p w:rsidR="005050BF" w:rsidRPr="00DB2309" w:rsidRDefault="005050BF" w:rsidP="00DB2309">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DB2309">
    <w:pPr>
      <w:pStyle w:val="Header"/>
    </w:pPr>
  </w:p>
  <w:p w:rsidR="005050BF" w:rsidRPr="00DB2309" w:rsidRDefault="005050BF" w:rsidP="00DB2309">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897BEC" w:rsidRDefault="005050BF" w:rsidP="007208C6">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DB2309">
    <w:pPr>
      <w:pStyle w:val="Header"/>
    </w:pPr>
  </w:p>
  <w:p w:rsidR="005050BF" w:rsidRPr="00DB2309" w:rsidRDefault="005050BF" w:rsidP="00DB2309">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DB2309">
    <w:pPr>
      <w:pStyle w:val="Header"/>
    </w:pPr>
  </w:p>
  <w:p w:rsidR="005050BF" w:rsidRPr="00DB2309" w:rsidRDefault="005050BF" w:rsidP="00DB2309">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E20903">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D13D1B">
    <w:pPr>
      <w:pStyle w:val="Header"/>
    </w:pPr>
  </w:p>
  <w:p w:rsidR="005050BF" w:rsidRPr="00947BBC" w:rsidRDefault="005050BF" w:rsidP="00D13D1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5B2F0D">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D13D1B">
    <w:pPr>
      <w:pStyle w:val="Header"/>
    </w:pPr>
  </w:p>
  <w:p w:rsidR="005050BF" w:rsidRPr="00947BBC" w:rsidRDefault="005050BF" w:rsidP="00D13D1B">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D13D1B">
    <w:pPr>
      <w:pStyle w:val="Header"/>
    </w:pPr>
  </w:p>
  <w:p w:rsidR="005050BF" w:rsidRPr="00947BBC" w:rsidRDefault="005050BF" w:rsidP="00D13D1B">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D13D1B">
    <w:pPr>
      <w:pStyle w:val="Header"/>
    </w:pPr>
  </w:p>
  <w:p w:rsidR="005050BF" w:rsidRPr="00947BBC" w:rsidRDefault="005050BF" w:rsidP="00D13D1B">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2B03E7" w:rsidRDefault="005050BF" w:rsidP="00D13D1B">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15E80" w:rsidRDefault="005050BF" w:rsidP="003F606A">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15E80" w:rsidRDefault="005050BF" w:rsidP="003F606A">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217F26" w:rsidRDefault="005050BF" w:rsidP="003F606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476D4E" w:rsidRDefault="005050BF" w:rsidP="003F606A">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82437" w:rsidRDefault="005050BF" w:rsidP="003F606A">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605B4" w:rsidRDefault="005050BF" w:rsidP="003F606A">
    <w:pPr>
      <w:pStyle w:val="Header"/>
      <w:rPr>
        <w:b/>
        <w:sz w:val="28"/>
        <w:szCs w:val="28"/>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r>
      <w:rPr>
        <w:noProof/>
        <w:lang w:eastAsia="en-AU"/>
      </w:rPr>
      <mc:AlternateContent>
        <mc:Choice Requires="wps">
          <w:drawing>
            <wp:anchor distT="0" distB="0" distL="114300" distR="114300" simplePos="0" relativeHeight="251848704" behindDoc="1" locked="1" layoutInCell="1" allowOverlap="1" wp14:anchorId="5C1226A7" wp14:editId="3F61B3FA">
              <wp:simplePos x="0" y="0"/>
              <wp:positionH relativeFrom="page">
                <wp:align>center</wp:align>
              </wp:positionH>
              <wp:positionV relativeFrom="page">
                <wp:align>center</wp:align>
              </wp:positionV>
              <wp:extent cx="7560000" cy="1796400"/>
              <wp:effectExtent l="0" t="0" r="0" b="0"/>
              <wp:wrapNone/>
              <wp:docPr id="7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0;margin-top:0;width:595.3pt;height:141.45pt;z-index:-251467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tenDyuwIA&#10;AMUFAAAOAAAAAAAAAAAAAAAAAC4CAABkcnMvZTJvRG9jLnhtbFBLAQItABQABgAIAAAAIQA0xUTO&#10;2wAAAAYBAAAPAAAAAAAAAAAAAAAAABUFAABkcnMvZG93bnJldi54bWxQSwUGAAAAAAQABADzAAAA&#10;HQYAAAAA&#10;" filled="f" stroked="f">
              <v:textbo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C837C9" w:rsidRDefault="005050BF" w:rsidP="003F606A">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rPr>
        <w:b/>
        <w:color w:val="FF0000"/>
        <w:sz w:val="28"/>
        <w:szCs w:val="28"/>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A024F0" w:rsidRDefault="005050BF" w:rsidP="003F606A">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0A4C34" w:rsidRDefault="005050BF" w:rsidP="003F606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r>
      <w:rPr>
        <w:noProof/>
        <w:lang w:eastAsia="en-AU"/>
      </w:rPr>
      <mc:AlternateContent>
        <mc:Choice Requires="wps">
          <w:drawing>
            <wp:anchor distT="0" distB="0" distL="114300" distR="114300" simplePos="0" relativeHeight="251734016" behindDoc="1" locked="1" layoutInCell="1" allowOverlap="1" wp14:anchorId="5BE8EB77" wp14:editId="119E17D0">
              <wp:simplePos x="0" y="0"/>
              <wp:positionH relativeFrom="page">
                <wp:align>center</wp:align>
              </wp:positionH>
              <wp:positionV relativeFrom="page">
                <wp:align>center</wp:align>
              </wp:positionV>
              <wp:extent cx="7560000" cy="1796400"/>
              <wp:effectExtent l="0" t="0" r="0" b="0"/>
              <wp:wrapNone/>
              <wp:docPr id="47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582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h8Cpr7wC&#10;AADFBQAADgAAAAAAAAAAAAAAAAAuAgAAZHJzL2Uyb0RvYy54bWxQSwECLQAUAAYACAAAACEANMVE&#10;ztsAAAAGAQAADwAAAAAAAAAAAAAAAAAWBQAAZHJzL2Rvd25yZXYueG1sUEsFBgAAAAAEAAQA8wAA&#10;AB4GAAAAAA==&#10;" filled="f" stroked="f">
              <v:textbo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7E3C99" w:rsidRDefault="005050BF" w:rsidP="007E3C99">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837C9" w:rsidRDefault="005050BF" w:rsidP="003F606A">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160548" w:rsidRDefault="005050BF" w:rsidP="003F606A">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160548" w:rsidRDefault="005050BF" w:rsidP="003F606A">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D57195" w:rsidRDefault="005050BF" w:rsidP="003F606A">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r>
      <w:rPr>
        <w:noProof/>
        <w:lang w:eastAsia="en-AU"/>
      </w:rPr>
      <mc:AlternateContent>
        <mc:Choice Requires="wps">
          <w:drawing>
            <wp:anchor distT="0" distB="0" distL="114300" distR="114300" simplePos="0" relativeHeight="251849728" behindDoc="1" locked="1" layoutInCell="1" allowOverlap="1" wp14:anchorId="22425976" wp14:editId="666EBCF6">
              <wp:simplePos x="0" y="0"/>
              <wp:positionH relativeFrom="page">
                <wp:align>center</wp:align>
              </wp:positionH>
              <wp:positionV relativeFrom="page">
                <wp:align>center</wp:align>
              </wp:positionV>
              <wp:extent cx="7560000" cy="1796400"/>
              <wp:effectExtent l="0" t="0" r="0" b="0"/>
              <wp:wrapNone/>
              <wp:docPr id="1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0;margin-top:0;width:595.3pt;height:141.45pt;z-index:-251466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8vAIAAMY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6DfrvLwC&#10;AADGBQAADgAAAAAAAAAAAAAAAAAuAgAAZHJzL2Uyb0RvYy54bWxQSwECLQAUAAYACAAAACEANMVE&#10;ztsAAAAGAQAADwAAAAAAAAAAAAAAAAAWBQAAZHJzL2Rvd25yZXYueG1sUEsFBgAAAAAEAAQA8wAA&#10;AB4GAAAAAA==&#10;" filled="f" stroked="f">
              <v:textbo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160548" w:rsidRDefault="005050BF" w:rsidP="003F606A">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160548" w:rsidRDefault="005050BF" w:rsidP="003F606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0575C0" w:rsidRDefault="005050BF" w:rsidP="003F606A">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r>
      <w:rPr>
        <w:noProof/>
        <w:lang w:eastAsia="en-AU"/>
      </w:rPr>
      <mc:AlternateContent>
        <mc:Choice Requires="wps">
          <w:drawing>
            <wp:anchor distT="0" distB="0" distL="114300" distR="114300" simplePos="0" relativeHeight="251850752" behindDoc="1" locked="1" layoutInCell="1" allowOverlap="1" wp14:anchorId="415412F1" wp14:editId="51677EC4">
              <wp:simplePos x="0" y="0"/>
              <wp:positionH relativeFrom="page">
                <wp:align>center</wp:align>
              </wp:positionH>
              <wp:positionV relativeFrom="page">
                <wp:align>center</wp:align>
              </wp:positionV>
              <wp:extent cx="7560000" cy="1796400"/>
              <wp:effectExtent l="0" t="0" r="0" b="0"/>
              <wp:wrapNone/>
              <wp:docPr id="12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0;margin-top:0;width:595.3pt;height:141.45pt;z-index:-251465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0uwIAAMY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NZRj0uwIA&#10;AMYFAAAOAAAAAAAAAAAAAAAAAC4CAABkcnMvZTJvRG9jLnhtbFBLAQItABQABgAIAAAAIQA0xUTO&#10;2wAAAAYBAAAPAAAAAAAAAAAAAAAAABUFAABkcnMvZG93bnJldi54bWxQSwUGAAAAAAQABADzAAAA&#10;HQYAAAAA&#10;" filled="f" stroked="f">
              <v:textbo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352788" w:rsidRDefault="005050BF" w:rsidP="003F606A">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352788" w:rsidRDefault="005050BF" w:rsidP="003F606A">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D03151" w:rsidRDefault="005050BF" w:rsidP="003F606A">
    <w:pPr>
      <w:pStyle w:val="Header"/>
      <w:rPr>
        <w:b/>
        <w:sz w:val="28"/>
        <w:szCs w:val="28"/>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r>
      <w:rPr>
        <w:noProof/>
        <w:lang w:eastAsia="en-AU"/>
      </w:rPr>
      <mc:AlternateContent>
        <mc:Choice Requires="wps">
          <w:drawing>
            <wp:anchor distT="0" distB="0" distL="114300" distR="114300" simplePos="0" relativeHeight="251851776" behindDoc="1" locked="1" layoutInCell="1" allowOverlap="1" wp14:anchorId="0A770F88" wp14:editId="149B7E38">
              <wp:simplePos x="0" y="0"/>
              <wp:positionH relativeFrom="page">
                <wp:align>center</wp:align>
              </wp:positionH>
              <wp:positionV relativeFrom="page">
                <wp:align>center</wp:align>
              </wp:positionV>
              <wp:extent cx="7560000" cy="1796400"/>
              <wp:effectExtent l="0" t="0" r="0" b="0"/>
              <wp:wrapNone/>
              <wp:docPr id="13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0;margin-top:0;width:595.3pt;height:141.45pt;z-index:-251464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eCBa9LwC&#10;AADGBQAADgAAAAAAAAAAAAAAAAAuAgAAZHJzL2Uyb0RvYy54bWxQSwECLQAUAAYACAAAACEANMVE&#10;ztsAAAAGAQAADwAAAAAAAAAAAAAAAAAWBQAAZHJzL2Rvd25yZXYueG1sUEsFBgAAAAAEAAQA8wAA&#10;AB4GAAAAAA==&#10;" filled="f" stroked="f">
              <v:textbo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951D66" w:rsidRDefault="005050BF" w:rsidP="003F606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DC766E" w:rsidRDefault="005050BF" w:rsidP="005B2F0D">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AB6CC3" w:rsidRDefault="005050BF" w:rsidP="003F606A">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0456D1" w:rsidRDefault="005050BF" w:rsidP="003F606A">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r>
      <w:rPr>
        <w:noProof/>
        <w:lang w:eastAsia="en-AU"/>
      </w:rPr>
      <mc:AlternateContent>
        <mc:Choice Requires="wps">
          <w:drawing>
            <wp:anchor distT="0" distB="0" distL="114300" distR="114300" simplePos="0" relativeHeight="251852800" behindDoc="1" locked="1" layoutInCell="1" allowOverlap="1" wp14:anchorId="2C45EB75" wp14:editId="1166BB6D">
              <wp:simplePos x="0" y="0"/>
              <wp:positionH relativeFrom="page">
                <wp:align>center</wp:align>
              </wp:positionH>
              <wp:positionV relativeFrom="page">
                <wp:align>center</wp:align>
              </wp:positionV>
              <wp:extent cx="7560000" cy="1796400"/>
              <wp:effectExtent l="0" t="0" r="0" b="0"/>
              <wp:wrapNone/>
              <wp:docPr id="17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0;margin-top:0;width:595.3pt;height:141.45pt;z-index:-251463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EW33BrwC&#10;AADGBQAADgAAAAAAAAAAAAAAAAAuAgAAZHJzL2Uyb0RvYy54bWxQSwECLQAUAAYACAAAACEANMVE&#10;ztsAAAAGAQAADwAAAAAAAAAAAAAAAAAWBQAAZHJzL2Rvd25yZXYueG1sUEsFBgAAAAAEAAQA8wAA&#10;AB4GAAAAAA==&#10;" filled="f" stroked="f">
              <v:textbo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951D66" w:rsidRDefault="005050BF" w:rsidP="003F606A">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51D66" w:rsidRDefault="005050BF" w:rsidP="003F606A">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24A7D" w:rsidRDefault="005050BF" w:rsidP="003F606A">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24A7D" w:rsidRDefault="005050BF" w:rsidP="003F606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586FEE" w:rsidRDefault="005050BF" w:rsidP="005B2F0D">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42469" w:rsidRDefault="005050BF" w:rsidP="003F606A">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42469" w:rsidRDefault="005050BF" w:rsidP="003F606A">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pPr>
      <w:pStyle w:val="Header"/>
    </w:pPr>
    <w:r>
      <w:rPr>
        <w:noProof/>
        <w:lang w:eastAsia="en-AU"/>
      </w:rPr>
      <w:drawing>
        <wp:anchor distT="0" distB="0" distL="114300" distR="114300" simplePos="0" relativeHeight="251855872" behindDoc="1" locked="0" layoutInCell="1" allowOverlap="1" wp14:anchorId="2D3108DC" wp14:editId="4D2DA59B">
          <wp:simplePos x="0" y="0"/>
          <wp:positionH relativeFrom="page">
            <wp:posOffset>0</wp:posOffset>
          </wp:positionH>
          <wp:positionV relativeFrom="page">
            <wp:posOffset>0</wp:posOffset>
          </wp:positionV>
          <wp:extent cx="7563600" cy="10695600"/>
          <wp:effectExtent l="0" t="0" r="0" b="0"/>
          <wp:wrapNone/>
          <wp:docPr id="499" name="Picture 49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54848" behindDoc="1" locked="1" layoutInCell="1" allowOverlap="1" wp14:anchorId="6B37024C" wp14:editId="38601964">
              <wp:simplePos x="0" y="0"/>
              <wp:positionH relativeFrom="page">
                <wp:align>center</wp:align>
              </wp:positionH>
              <wp:positionV relativeFrom="page">
                <wp:align>center</wp:align>
              </wp:positionV>
              <wp:extent cx="7560000" cy="1796400"/>
              <wp:effectExtent l="0" t="0" r="0" b="0"/>
              <wp:wrapNone/>
              <wp:docPr id="45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0;margin-top:0;width:595.3pt;height:141.45pt;z-index:-2514616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lCzXS6AgAA&#10;xgUAAA4AAAAAAAAAAAAAAAAALgIAAGRycy9lMm9Eb2MueG1sUEsBAi0AFAAGAAgAAAAhADTFRM7b&#10;AAAABgEAAA8AAAAAAAAAAAAAAAAAFAUAAGRycy9kb3ducmV2LnhtbFBLBQYAAAAABAAEAPMAAAAc&#10;BgAAAAA=&#10;" filled="f" stroked="f">
              <v:textbox>
                <w:txbxContent>
                  <w:p w:rsidR="005050BF" w:rsidRPr="0001226A" w:rsidRDefault="005050BF"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23DA4" w:rsidRDefault="005050BF" w:rsidP="003F606A">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23DA4" w:rsidRDefault="005050BF" w:rsidP="003F606A">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r>
      <w:rPr>
        <w:noProof/>
        <w:lang w:eastAsia="en-AU"/>
      </w:rPr>
      <mc:AlternateContent>
        <mc:Choice Requires="wps">
          <w:drawing>
            <wp:anchor distT="0" distB="0" distL="114300" distR="114300" simplePos="0" relativeHeight="251748352" behindDoc="1" locked="1" layoutInCell="1" allowOverlap="1" wp14:anchorId="79044965" wp14:editId="3480A8CB">
              <wp:simplePos x="0" y="0"/>
              <wp:positionH relativeFrom="page">
                <wp:align>center</wp:align>
              </wp:positionH>
              <wp:positionV relativeFrom="page">
                <wp:align>center</wp:align>
              </wp:positionV>
              <wp:extent cx="7560000" cy="1796400"/>
              <wp:effectExtent l="0" t="0" r="0" b="0"/>
              <wp:wrapNone/>
              <wp:docPr id="48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5681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aVjPJuwIA&#10;AMUFAAAOAAAAAAAAAAAAAAAAAC4CAABkcnMvZTJvRG9jLnhtbFBLAQItABQABgAIAAAAIQA0xUTO&#10;2wAAAAYBAAAPAAAAAAAAAAAAAAAAABUFAABkcnMvZG93bnJldi54bWxQSwUGAAAAAAQABADzAAAA&#10;HQYAAAAA&#10;" filled="f" stroked="f">
              <v:textbo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7E3C99" w:rsidRDefault="005050BF" w:rsidP="007E3C99">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D5C88" w:rsidRDefault="005050BF" w:rsidP="003F606A">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9D5C88" w:rsidRDefault="005050BF" w:rsidP="003F606A">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4C5547" w:rsidRDefault="005050BF" w:rsidP="003F606A">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4C5547" w:rsidRDefault="005050BF" w:rsidP="003F606A">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BA78EA" w:rsidRDefault="005050BF" w:rsidP="003F606A">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r>
      <w:rPr>
        <w:noProof/>
        <w:lang w:eastAsia="en-AU"/>
      </w:rPr>
      <mc:AlternateContent>
        <mc:Choice Requires="wps">
          <w:drawing>
            <wp:anchor distT="0" distB="0" distL="114300" distR="114300" simplePos="0" relativeHeight="251856896" behindDoc="1" locked="1" layoutInCell="1" allowOverlap="1" wp14:anchorId="59BAEDDD" wp14:editId="73441DA2">
              <wp:simplePos x="0" y="0"/>
              <wp:positionH relativeFrom="page">
                <wp:align>center</wp:align>
              </wp:positionH>
              <wp:positionV relativeFrom="page">
                <wp:align>center</wp:align>
              </wp:positionV>
              <wp:extent cx="7560000" cy="1796400"/>
              <wp:effectExtent l="0" t="0" r="0" b="0"/>
              <wp:wrapNone/>
              <wp:docPr id="8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0;margin-top:0;width:595.3pt;height:141.45pt;z-index:-251459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VtDR1rwC&#10;AADFBQAADgAAAAAAAAAAAAAAAAAuAgAAZHJzL2Uyb0RvYy54bWxQSwECLQAUAAYACAAAACEANMVE&#10;ztsAAAAGAQAADwAAAAAAAAAAAAAAAAAWBQAAZHJzL2Rvd25yZXYueG1sUEsFBgAAAAAEAAQA8wAA&#10;AB4GAAAAAA==&#10;" filled="f" stroked="f">
              <v:textbo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4C5547" w:rsidRDefault="005050BF" w:rsidP="003F606A">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4C5547" w:rsidRDefault="005050BF" w:rsidP="003F606A">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4C5547" w:rsidRDefault="005050BF" w:rsidP="003F606A">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4C5547" w:rsidRDefault="005050BF" w:rsidP="003F606A">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FF7671" w:rsidRDefault="005050BF" w:rsidP="003F606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FF7671" w:rsidRDefault="005050BF" w:rsidP="003F606A">
    <w:pPr>
      <w:pStyle w:val="Heade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B97B91" w:rsidRDefault="005050BF" w:rsidP="003F606A">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B97B91" w:rsidRDefault="005050BF" w:rsidP="003F606A">
    <w:pPr>
      <w:pStyle w:val="Heade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0A57FC" w:rsidRDefault="005050BF" w:rsidP="003F606A">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5B2F0D">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8E21B7" w:rsidRDefault="005050BF" w:rsidP="003F606A">
    <w:pPr>
      <w:pStyle w:val="Heade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BC7BD5" w:rsidRDefault="005050BF" w:rsidP="003F606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BC7BD5" w:rsidRDefault="005050BF" w:rsidP="003F606A">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146561" w:rsidRDefault="005050BF" w:rsidP="003F606A">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146561" w:rsidRDefault="005050BF" w:rsidP="003F606A">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4242D8" w:rsidRDefault="005050BF" w:rsidP="003F606A">
    <w:pPr>
      <w:pStyle w:val="Heade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BC7BD5" w:rsidRDefault="005050BF" w:rsidP="003F606A">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BC7BD5" w:rsidRDefault="005050BF" w:rsidP="003F606A">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146561" w:rsidRDefault="005050BF" w:rsidP="003F606A">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146561" w:rsidRDefault="005050BF" w:rsidP="003F606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r>
      <w:rPr>
        <w:noProof/>
        <w:lang w:eastAsia="en-AU"/>
      </w:rPr>
      <mc:AlternateContent>
        <mc:Choice Requires="wps">
          <w:drawing>
            <wp:anchor distT="0" distB="0" distL="114300" distR="114300" simplePos="0" relativeHeight="251857920" behindDoc="1" locked="1" layoutInCell="1" allowOverlap="1" wp14:anchorId="41B5CAF9" wp14:editId="76389309">
              <wp:simplePos x="0" y="0"/>
              <wp:positionH relativeFrom="page">
                <wp:align>center</wp:align>
              </wp:positionH>
              <wp:positionV relativeFrom="page">
                <wp:align>center</wp:align>
              </wp:positionV>
              <wp:extent cx="7560000" cy="1796400"/>
              <wp:effectExtent l="0" t="0" r="0" b="0"/>
              <wp:wrapNone/>
              <wp:docPr id="5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0;margin-top:0;width:595.3pt;height:141.45pt;z-index:-2514585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1rvAIAAMU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4HjNa7wC&#10;AADFBQAADgAAAAAAAAAAAAAAAAAuAgAAZHJzL2Uyb0RvYy54bWxQSwECLQAUAAYACAAAACEANMVE&#10;ztsAAAAGAQAADwAAAAAAAAAAAAAAAAAWBQAAZHJzL2Rvd25yZXYueG1sUEsFBgAAAAAEAAQA8wAA&#10;AB4GAAAAAA==&#10;" filled="f" stroked="f">
              <v:textbo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466DA3" w:rsidRDefault="005050BF" w:rsidP="003F606A">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466DA3" w:rsidRDefault="005050BF" w:rsidP="003F606A">
    <w:pPr>
      <w:pStyle w:val="Heade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046202" w:rsidRDefault="005050BF" w:rsidP="003F606A">
    <w:pPr>
      <w:pStyle w:val="Header"/>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466DA3" w:rsidRDefault="005050BF" w:rsidP="003F606A">
    <w:pPr>
      <w:pStyle w:val="Heade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466DA3" w:rsidRDefault="005050BF" w:rsidP="003F606A">
    <w:pPr>
      <w:pStyle w:val="Heade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A34060" w:rsidRDefault="005050BF" w:rsidP="003F606A">
    <w:pPr>
      <w:pStyle w:val="Heade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A34060" w:rsidRDefault="005050BF" w:rsidP="003F606A">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r>
      <w:rPr>
        <w:noProof/>
        <w:lang w:eastAsia="en-AU"/>
      </w:rPr>
      <mc:AlternateContent>
        <mc:Choice Requires="wps">
          <w:drawing>
            <wp:anchor distT="0" distB="0" distL="114300" distR="114300" simplePos="0" relativeHeight="251859968" behindDoc="1" locked="1" layoutInCell="1" allowOverlap="1" wp14:anchorId="06550F0F" wp14:editId="082F537F">
              <wp:simplePos x="0" y="0"/>
              <wp:positionH relativeFrom="page">
                <wp:align>center</wp:align>
              </wp:positionH>
              <wp:positionV relativeFrom="page">
                <wp:align>center</wp:align>
              </wp:positionV>
              <wp:extent cx="7560000" cy="1796400"/>
              <wp:effectExtent l="0" t="0" r="0" b="0"/>
              <wp:wrapNone/>
              <wp:docPr id="10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0;margin-top:0;width:595.3pt;height:141.45pt;z-index:-251456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GgvkluwIA&#10;AMYFAAAOAAAAAAAAAAAAAAAAAC4CAABkcnMvZTJvRG9jLnhtbFBLAQItABQABgAIAAAAIQA0xUTO&#10;2wAAAAYBAAAPAAAAAAAAAAAAAAAAABUFAABkcnMvZG93bnJldi54bWxQSwUGAAAAAAQABADzAAAA&#10;HQYAAAAA&#10;" filled="f" stroked="f">
              <v:textbo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2D685E" w:rsidRDefault="005050BF" w:rsidP="003F606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r>
      <w:rPr>
        <w:noProof/>
        <w:lang w:eastAsia="en-AU"/>
      </w:rPr>
      <mc:AlternateContent>
        <mc:Choice Requires="wps">
          <w:drawing>
            <wp:anchor distT="0" distB="0" distL="114300" distR="114300" simplePos="0" relativeHeight="251756544" behindDoc="1" locked="1" layoutInCell="1" allowOverlap="1" wp14:anchorId="46D84C63" wp14:editId="72F7473B">
              <wp:simplePos x="0" y="0"/>
              <wp:positionH relativeFrom="page">
                <wp:align>center</wp:align>
              </wp:positionH>
              <wp:positionV relativeFrom="page">
                <wp:align>center</wp:align>
              </wp:positionV>
              <wp:extent cx="7560000" cy="1796400"/>
              <wp:effectExtent l="0" t="0" r="0" b="0"/>
              <wp:wrapNone/>
              <wp:docPr id="49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5599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W6cBZLwC&#10;AADFBQAADgAAAAAAAAAAAAAAAAAuAgAAZHJzL2Uyb0RvYy54bWxQSwECLQAUAAYACAAAACEANMVE&#10;ztsAAAAGAQAADwAAAAAAAAAAAAAAAAAWBQAAZHJzL2Rvd25yZXYueG1sUEsFBgAAAAAEAAQA8wAA&#10;AB4GAAAAAA==&#10;" filled="f" stroked="f">
              <v:textbo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7E3C99" w:rsidRDefault="005050BF" w:rsidP="007E3C99">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r>
      <w:rPr>
        <w:noProof/>
        <w:lang w:eastAsia="en-AU"/>
      </w:rPr>
      <mc:AlternateContent>
        <mc:Choice Requires="wps">
          <w:drawing>
            <wp:anchor distT="0" distB="0" distL="114300" distR="114300" simplePos="0" relativeHeight="251858944" behindDoc="1" locked="1" layoutInCell="1" allowOverlap="1" wp14:anchorId="1AA2E696" wp14:editId="7674CBDA">
              <wp:simplePos x="0" y="0"/>
              <wp:positionH relativeFrom="page">
                <wp:align>center</wp:align>
              </wp:positionH>
              <wp:positionV relativeFrom="page">
                <wp:align>center</wp:align>
              </wp:positionV>
              <wp:extent cx="7560000" cy="1796400"/>
              <wp:effectExtent l="0" t="0" r="0" b="0"/>
              <wp:wrapNone/>
              <wp:docPr id="10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0;margin-top:0;width:595.3pt;height:141.45pt;z-index:-2514575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emuwIAAMY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xSQemuwIA&#10;AMYFAAAOAAAAAAAAAAAAAAAAAC4CAABkcnMvZTJvRG9jLnhtbFBLAQItABQABgAIAAAAIQA0xUTO&#10;2wAAAAYBAAAPAAAAAAAAAAAAAAAAABUFAABkcnMvZG93bnJldi54bWxQSwUGAAAAAAQABADzAAAA&#10;HQYAAAAA&#10;" filled="f" stroked="f">
              <v:textbox>
                <w:txbxContent>
                  <w:p w:rsidR="005050BF" w:rsidRPr="0001226A" w:rsidRDefault="005050BF" w:rsidP="003F606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2D685E" w:rsidRDefault="005050BF" w:rsidP="003F606A">
    <w:pPr>
      <w:pStyle w:val="Heade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AB334B" w:rsidRDefault="005050BF" w:rsidP="003F606A">
    <w:pPr>
      <w:pStyle w:val="Heade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AB334B" w:rsidRDefault="005050BF" w:rsidP="003F606A">
    <w:pPr>
      <w:pStyle w:val="Header"/>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rPr>
        <w:b/>
        <w:color w:val="FF0000"/>
        <w:sz w:val="28"/>
        <w:szCs w:val="28"/>
      </w:rP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AB334B" w:rsidRDefault="005050BF" w:rsidP="003F606A">
    <w:pPr>
      <w:pStyle w:val="Heade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AB334B" w:rsidRDefault="005050BF" w:rsidP="003F606A">
    <w:pPr>
      <w:pStyle w:val="Header"/>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E66125" w:rsidRDefault="005050BF" w:rsidP="003F606A">
    <w:pPr>
      <w:pStyle w:val="Heade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E66125" w:rsidRDefault="005050BF" w:rsidP="003F606A">
    <w:pPr>
      <w:pStyle w:val="Heade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E66125" w:rsidRDefault="005050BF" w:rsidP="003F606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E66125" w:rsidRDefault="005050BF" w:rsidP="003F606A">
    <w:pPr>
      <w:pStyle w:val="Heade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B546FA" w:rsidRDefault="005050BF" w:rsidP="003F606A">
    <w:pPr>
      <w:pStyle w:val="Header"/>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B546FA" w:rsidRDefault="005050BF" w:rsidP="003F606A">
    <w:pPr>
      <w:pStyle w:val="Heade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60B7B" w:rsidRDefault="005050BF" w:rsidP="003F606A">
    <w:pPr>
      <w:pStyle w:val="Heade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60B7B" w:rsidRDefault="005050BF" w:rsidP="003F606A">
    <w:pPr>
      <w:pStyle w:val="Header"/>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2E1644" w:rsidRDefault="005050BF" w:rsidP="003F606A">
    <w:pPr>
      <w:pStyle w:val="Heade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60B7B" w:rsidRDefault="005050BF" w:rsidP="003F606A">
    <w:pPr>
      <w:pStyle w:val="Heade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60B7B" w:rsidRDefault="005050BF" w:rsidP="003F606A">
    <w:pPr>
      <w:pStyle w:val="Header"/>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60B7B" w:rsidRDefault="005050BF" w:rsidP="003F606A">
    <w:pPr>
      <w:pStyle w:val="Heade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60B7B" w:rsidRDefault="005050BF" w:rsidP="003F606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1B5FF2" w:rsidRDefault="005050BF" w:rsidP="005B2F0D">
    <w:pPr>
      <w:pStyle w:val="Heade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60B7B" w:rsidRDefault="005050BF" w:rsidP="003F606A">
    <w:pPr>
      <w:pStyle w:val="Heade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C60B7B" w:rsidRDefault="005050BF" w:rsidP="003F606A">
    <w:pPr>
      <w:pStyle w:val="Heade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jc w:val="right"/>
      <w:rPr>
        <w:b/>
        <w:color w:val="FF0000"/>
        <w:sz w:val="28"/>
        <w:szCs w:val="28"/>
      </w:rP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6906A4" w:rsidRDefault="005050BF" w:rsidP="003F606A">
    <w:pPr>
      <w:pStyle w:val="Heade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3F606A">
    <w:pPr>
      <w:pStyle w:val="Header"/>
    </w:pPr>
  </w:p>
  <w:p w:rsidR="005050BF" w:rsidRPr="006906A4" w:rsidRDefault="005050BF" w:rsidP="003F606A">
    <w:pPr>
      <w:pStyle w:val="Heade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3F60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pPr>
      <w:pStyle w:val="Header"/>
    </w:pPr>
    <w:r>
      <w:rPr>
        <w:noProof/>
        <w:lang w:eastAsia="en-AU"/>
      </w:rPr>
      <mc:AlternateContent>
        <mc:Choice Requires="wps">
          <w:drawing>
            <wp:anchor distT="0" distB="0" distL="114300" distR="114300" simplePos="0" relativeHeight="251711488" behindDoc="1" locked="1" layoutInCell="1" allowOverlap="1" wp14:anchorId="5E1CB36E" wp14:editId="0E1C6B6A">
              <wp:simplePos x="0" y="0"/>
              <wp:positionH relativeFrom="page">
                <wp:align>center</wp:align>
              </wp:positionH>
              <wp:positionV relativeFrom="page">
                <wp:align>center</wp:align>
              </wp:positionV>
              <wp:extent cx="7560000" cy="1796400"/>
              <wp:effectExtent l="0" t="0" r="0" b="0"/>
              <wp:wrapNone/>
              <wp:docPr id="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604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OBWIgy3AgAAvAUA&#10;AA4AAAAAAAAAAAAAAAAALgIAAGRycy9lMm9Eb2MueG1sUEsBAi0AFAAGAAgAAAAhADTFRM7bAAAA&#10;BgEAAA8AAAAAAAAAAAAAAAAAEQUAAGRycy9kb3ducmV2LnhtbFBLBQYAAAAABAAEAPMAAAAZBgAA&#10;AAA=&#10;" filled="f" stroked="f">
              <v:textbox>
                <w:txbxContent>
                  <w:p w:rsidR="005050BF" w:rsidRPr="0001226A" w:rsidRDefault="005050BF"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r>
      <w:rPr>
        <w:noProof/>
        <w:lang w:eastAsia="en-AU"/>
      </w:rPr>
      <mc:AlternateContent>
        <mc:Choice Requires="wps">
          <w:drawing>
            <wp:anchor distT="0" distB="0" distL="114300" distR="114300" simplePos="0" relativeHeight="251758592" behindDoc="1" locked="1" layoutInCell="1" allowOverlap="1" wp14:anchorId="13749766" wp14:editId="7AE0EC5B">
              <wp:simplePos x="0" y="0"/>
              <wp:positionH relativeFrom="page">
                <wp:align>center</wp:align>
              </wp:positionH>
              <wp:positionV relativeFrom="page">
                <wp:align>center</wp:align>
              </wp:positionV>
              <wp:extent cx="7560000" cy="1796400"/>
              <wp:effectExtent l="0" t="0" r="0" b="0"/>
              <wp:wrapNone/>
              <wp:docPr id="49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595.3pt;height:141.45pt;z-index:-2515578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WzvAIAAMU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t1XFs7wC&#10;AADFBQAADgAAAAAAAAAAAAAAAAAuAgAAZHJzL2Uyb0RvYy54bWxQSwECLQAUAAYACAAAACEANMVE&#10;ztsAAAAGAQAADwAAAAAAAAAAAAAAAAAWBQAAZHJzL2Rvd25yZXYueG1sUEsFBgAAAAAEAAQA8wAA&#10;AB4GAAAAAA==&#10;" filled="f" stroked="f">
              <v:textbo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7E3C99" w:rsidRDefault="005050BF" w:rsidP="007E3C9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605762" w:rsidRDefault="005050BF" w:rsidP="005B2F0D">
    <w:pPr>
      <w:pStyle w:val="Header"/>
      <w:rPr>
        <w:b/>
        <w:sz w:val="28"/>
        <w:szCs w:val="28"/>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567E6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r>
      <w:rPr>
        <w:noProof/>
        <w:lang w:eastAsia="en-AU"/>
      </w:rPr>
      <mc:AlternateContent>
        <mc:Choice Requires="wps">
          <w:drawing>
            <wp:anchor distT="0" distB="0" distL="114300" distR="114300" simplePos="0" relativeHeight="251772928" behindDoc="1" locked="1" layoutInCell="1" allowOverlap="1" wp14:anchorId="21D86A21" wp14:editId="066C2C43">
              <wp:simplePos x="0" y="0"/>
              <wp:positionH relativeFrom="page">
                <wp:align>center</wp:align>
              </wp:positionH>
              <wp:positionV relativeFrom="page">
                <wp:align>center</wp:align>
              </wp:positionV>
              <wp:extent cx="7560000" cy="1796400"/>
              <wp:effectExtent l="0" t="0" r="0" b="0"/>
              <wp:wrapNone/>
              <wp:docPr id="50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595.3pt;height:141.45pt;z-index:-251543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vXcc3uwIA&#10;AMUFAAAOAAAAAAAAAAAAAAAAAC4CAABkcnMvZTJvRG9jLnhtbFBLAQItABQABgAIAAAAIQA0xUTO&#10;2wAAAAYBAAAPAAAAAAAAAAAAAAAAABUFAABkcnMvZG93bnJldi54bWxQSwUGAAAAAAQABADzAAAA&#10;HQYAAAAA&#10;" filled="f" stroked="f">
              <v:textbo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7E3C99" w:rsidRDefault="005050BF" w:rsidP="007E3C9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7C7F33" w:rsidRDefault="005050BF" w:rsidP="00567E6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567E62">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6E6DC1" w:rsidRDefault="005050BF" w:rsidP="00567E62">
    <w:pPr>
      <w:pStyle w:val="Header"/>
      <w:rPr>
        <w:b/>
        <w:sz w:val="28"/>
        <w:szCs w:val="28"/>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567E62">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r>
      <w:rPr>
        <w:noProof/>
        <w:lang w:eastAsia="en-AU"/>
      </w:rPr>
      <mc:AlternateContent>
        <mc:Choice Requires="wps">
          <w:drawing>
            <wp:anchor distT="0" distB="0" distL="114300" distR="114300" simplePos="0" relativeHeight="251795456" behindDoc="1" locked="1" layoutInCell="1" allowOverlap="1" wp14:anchorId="7EEAC99F" wp14:editId="1045DD50">
              <wp:simplePos x="0" y="0"/>
              <wp:positionH relativeFrom="page">
                <wp:align>center</wp:align>
              </wp:positionH>
              <wp:positionV relativeFrom="page">
                <wp:align>center</wp:align>
              </wp:positionV>
              <wp:extent cx="7560000" cy="1796400"/>
              <wp:effectExtent l="0" t="0" r="0" b="0"/>
              <wp:wrapNone/>
              <wp:docPr id="5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E8358C">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595.3pt;height:141.45pt;z-index:-251521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feVKr7wC&#10;AADFBQAADgAAAAAAAAAAAAAAAAAuAgAAZHJzL2Uyb0RvYy54bWxQSwECLQAUAAYACAAAACEANMVE&#10;ztsAAAAGAQAADwAAAAAAAAAAAAAAAAAWBQAAZHJzL2Rvd25yZXYueG1sUEsFBgAAAAAEAAQA8wAA&#10;AB4GAAAAAA==&#10;" filled="f" stroked="f">
              <v:textbox>
                <w:txbxContent>
                  <w:p w:rsidR="005050BF" w:rsidRPr="0001226A" w:rsidRDefault="005050BF" w:rsidP="00E8358C">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E8358C" w:rsidRDefault="005050BF" w:rsidP="00E8358C">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AE73FD" w:rsidRDefault="005050BF" w:rsidP="00567E62">
    <w:pPr>
      <w:pStyle w:val="Header"/>
      <w:jc w:val="right"/>
      <w:rPr>
        <w:b/>
        <w:sz w:val="28"/>
        <w:szCs w:val="28"/>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r>
      <w:rPr>
        <w:noProof/>
        <w:lang w:eastAsia="en-AU"/>
      </w:rPr>
      <mc:AlternateContent>
        <mc:Choice Requires="wps">
          <w:drawing>
            <wp:anchor distT="0" distB="0" distL="114300" distR="114300" simplePos="0" relativeHeight="251801600" behindDoc="1" locked="1" layoutInCell="1" allowOverlap="1" wp14:anchorId="634805F9" wp14:editId="5D1A1F56">
              <wp:simplePos x="0" y="0"/>
              <wp:positionH relativeFrom="page">
                <wp:align>center</wp:align>
              </wp:positionH>
              <wp:positionV relativeFrom="page">
                <wp:align>center</wp:align>
              </wp:positionV>
              <wp:extent cx="7560000" cy="1796400"/>
              <wp:effectExtent l="0" t="0" r="0" b="0"/>
              <wp:wrapNone/>
              <wp:docPr id="53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E8358C">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595.3pt;height:141.45pt;z-index:-2515148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fWeB1rwC&#10;AADFBQAADgAAAAAAAAAAAAAAAAAuAgAAZHJzL2Uyb0RvYy54bWxQSwECLQAUAAYACAAAACEANMVE&#10;ztsAAAAGAQAADwAAAAAAAAAAAAAAAAAWBQAAZHJzL2Rvd25yZXYueG1sUEsFBgAAAAAEAAQA8wAA&#10;AB4GAAAAAA==&#10;" filled="f" stroked="f">
              <v:textbox>
                <w:txbxContent>
                  <w:p w:rsidR="005050BF" w:rsidRPr="0001226A" w:rsidRDefault="005050BF" w:rsidP="00E8358C">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E8358C" w:rsidRDefault="005050BF" w:rsidP="00E8358C">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pPr>
      <w:pStyle w:val="Header"/>
    </w:pPr>
    <w:r>
      <w:rPr>
        <w:noProof/>
        <w:lang w:eastAsia="en-AU"/>
      </w:rPr>
      <w:drawing>
        <wp:anchor distT="0" distB="0" distL="114300" distR="114300" simplePos="0" relativeHeight="251699200" behindDoc="1" locked="0" layoutInCell="1" allowOverlap="1" wp14:anchorId="4E310613" wp14:editId="49C2ECF4">
          <wp:simplePos x="0" y="0"/>
          <wp:positionH relativeFrom="page">
            <wp:posOffset>0</wp:posOffset>
          </wp:positionH>
          <wp:positionV relativeFrom="page">
            <wp:posOffset>0</wp:posOffset>
          </wp:positionV>
          <wp:extent cx="7563600" cy="10695600"/>
          <wp:effectExtent l="0" t="0" r="0" b="0"/>
          <wp:wrapNone/>
          <wp:docPr id="498" name="Picture 49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98176" behindDoc="1" locked="1" layoutInCell="1" allowOverlap="1" wp14:anchorId="5609359D" wp14:editId="3A5AB43B">
              <wp:simplePos x="0" y="0"/>
              <wp:positionH relativeFrom="page">
                <wp:align>center</wp:align>
              </wp:positionH>
              <wp:positionV relativeFrom="page">
                <wp:align>center</wp:align>
              </wp:positionV>
              <wp:extent cx="7560000" cy="1796400"/>
              <wp:effectExtent l="0" t="0" r="0" b="0"/>
              <wp:wrapNone/>
              <wp:docPr id="2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0;margin-top:0;width:595.3pt;height:141.45pt;z-index:-2516183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HOuwIAAMU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LViHOuwIA&#10;AMUFAAAOAAAAAAAAAAAAAAAAAC4CAABkcnMvZTJvRG9jLnhtbFBLAQItABQABgAIAAAAIQA0xUTO&#10;2wAAAAYBAAAPAAAAAAAAAAAAAAAAABUFAABkcnMvZG93bnJldi54bWxQSwUGAAAAAAQABADzAAAA&#10;HQYAAAAA&#10;" filled="f" stroked="f">
              <v:textbox>
                <w:txbxContent>
                  <w:p w:rsidR="005050BF" w:rsidRPr="0001226A" w:rsidRDefault="005050BF"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p>
  <w:p w:rsidR="005050BF" w:rsidRPr="007E3C99" w:rsidRDefault="005050BF" w:rsidP="007E3C99">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A353BA">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01508D">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r>
      <w:rPr>
        <w:noProof/>
        <w:lang w:eastAsia="en-AU"/>
      </w:rPr>
      <mc:AlternateContent>
        <mc:Choice Requires="wps">
          <w:drawing>
            <wp:anchor distT="0" distB="0" distL="114300" distR="114300" simplePos="0" relativeHeight="251721728" behindDoc="1" locked="1" layoutInCell="1" allowOverlap="1" wp14:anchorId="16DEE62B" wp14:editId="0030C888">
              <wp:simplePos x="0" y="0"/>
              <wp:positionH relativeFrom="page">
                <wp:align>center</wp:align>
              </wp:positionH>
              <wp:positionV relativeFrom="page">
                <wp:align>center</wp:align>
              </wp:positionV>
              <wp:extent cx="7560000" cy="1796400"/>
              <wp:effectExtent l="0" t="0" r="0" b="0"/>
              <wp:wrapNone/>
              <wp:docPr id="45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594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W6sd+6AgAA&#10;xQUAAA4AAAAAAAAAAAAAAAAALgIAAGRycy9lMm9Eb2MueG1sUEsBAi0AFAAGAAgAAAAhADTFRM7b&#10;AAAABgEAAA8AAAAAAAAAAAAAAAAAFAUAAGRycy9kb3ducmV2LnhtbFBLBQYAAAAABAAEAPMAAAAc&#10;BgAAAAA=&#10;" filled="f" stroked="f">
              <v:textbo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7E3C99" w:rsidRDefault="005050BF" w:rsidP="007E3C99">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01508D">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E8358C">
    <w:pPr>
      <w:pStyle w:val="Header"/>
    </w:pPr>
  </w:p>
  <w:p w:rsidR="005050BF" w:rsidRPr="00E8358C" w:rsidRDefault="005050BF" w:rsidP="00E8358C">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F00365" w:rsidRDefault="005050BF" w:rsidP="0001508D">
    <w:pPr>
      <w:pStyle w:val="Header"/>
      <w:jc w:val="right"/>
      <w:rPr>
        <w:b/>
        <w:sz w:val="28"/>
        <w:szCs w:val="28"/>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9515BE" w:rsidRDefault="005050BF" w:rsidP="005B2F0D">
    <w:pPr>
      <w:pStyle w:val="Header"/>
      <w:jc w:val="right"/>
      <w:rPr>
        <w:b/>
        <w:sz w:val="28"/>
        <w:szCs w:val="28"/>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7A24E1">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7A24E1">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r>
      <w:rPr>
        <w:noProof/>
        <w:lang w:eastAsia="en-AU"/>
      </w:rPr>
      <mc:AlternateContent>
        <mc:Choice Requires="wps">
          <w:drawing>
            <wp:anchor distT="0" distB="0" distL="114300" distR="114300" simplePos="0" relativeHeight="251846656" behindDoc="1" locked="1" layoutInCell="1" allowOverlap="1" wp14:anchorId="44C1205D" wp14:editId="40035CF6">
              <wp:simplePos x="0" y="0"/>
              <wp:positionH relativeFrom="page">
                <wp:align>center</wp:align>
              </wp:positionH>
              <wp:positionV relativeFrom="page">
                <wp:align>center</wp:align>
              </wp:positionV>
              <wp:extent cx="7560000" cy="1796400"/>
              <wp:effectExtent l="0" t="0" r="0" b="0"/>
              <wp:wrapNone/>
              <wp:docPr id="57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A97AC4">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0;margin-top:0;width:595.3pt;height:141.45pt;z-index:-251469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rdrS8bwC&#10;AADGBQAADgAAAAAAAAAAAAAAAAAuAgAAZHJzL2Uyb0RvYy54bWxQSwECLQAUAAYACAAAACEANMVE&#10;ztsAAAAGAQAADwAAAAAAAAAAAAAAAAAWBQAAZHJzL2Rvd25yZXYueG1sUEsFBgAAAAAEAAQA8wAA&#10;AB4GAAAAAA==&#10;" filled="f" stroked="f">
              <v:textbox>
                <w:txbxContent>
                  <w:p w:rsidR="005050BF" w:rsidRPr="0001226A" w:rsidRDefault="005050BF" w:rsidP="00A97AC4">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A97AC4" w:rsidRDefault="005050BF" w:rsidP="00A97AC4">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7E3C99">
    <w:pPr>
      <w:pStyle w:val="Header"/>
    </w:pPr>
    <w:r>
      <w:rPr>
        <w:noProof/>
        <w:lang w:eastAsia="en-AU"/>
      </w:rPr>
      <mc:AlternateContent>
        <mc:Choice Requires="wps">
          <w:drawing>
            <wp:anchor distT="0" distB="0" distL="114300" distR="114300" simplePos="0" relativeHeight="251727872" behindDoc="1" locked="1" layoutInCell="1" allowOverlap="1" wp14:anchorId="6A89B2C4" wp14:editId="3F9BED3C">
              <wp:simplePos x="0" y="0"/>
              <wp:positionH relativeFrom="page">
                <wp:align>center</wp:align>
              </wp:positionH>
              <wp:positionV relativeFrom="page">
                <wp:align>center</wp:align>
              </wp:positionV>
              <wp:extent cx="7560000" cy="1796400"/>
              <wp:effectExtent l="0" t="0" r="0" b="0"/>
              <wp:wrapNone/>
              <wp:docPr id="46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5886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E7vAIAAMU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CxYxO7wC&#10;AADFBQAADgAAAAAAAAAAAAAAAAAuAgAAZHJzL2Uyb0RvYy54bWxQSwECLQAUAAYACAAAACEANMVE&#10;ztsAAAAGAQAADwAAAAAAAAAAAAAAAAAWBQAAZHJzL2Rvd25yZXYueG1sUEsFBgAAAAAEAAQA8wAA&#10;AB4GAAAAAA==&#10;" filled="f" stroked="f">
              <v:textbox>
                <w:txbxContent>
                  <w:p w:rsidR="005050BF" w:rsidRPr="0001226A" w:rsidRDefault="005050BF" w:rsidP="007E3C99">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5050BF" w:rsidRPr="007E3C99" w:rsidRDefault="005050BF" w:rsidP="007E3C99">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083ECF">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Pr="00C17112" w:rsidRDefault="005050BF" w:rsidP="0067067E">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BF" w:rsidRDefault="005050BF" w:rsidP="00A97AC4">
    <w:pPr>
      <w:pStyle w:val="Header"/>
    </w:pPr>
  </w:p>
  <w:p w:rsidR="005050BF" w:rsidRPr="00A97AC4" w:rsidRDefault="005050BF" w:rsidP="00A97A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588E"/>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A051D1"/>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5138AD"/>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CB72CD"/>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68B37FE"/>
    <w:multiLevelType w:val="multilevel"/>
    <w:tmpl w:val="D1A2BED4"/>
    <w:lvl w:ilvl="0">
      <w:start w:val="1"/>
      <w:numFmt w:val="bullet"/>
      <w:pStyle w:val="ListBullet"/>
      <w:lvlText w:val="•"/>
      <w:lvlJc w:val="left"/>
      <w:pPr>
        <w:tabs>
          <w:tab w:val="num" w:pos="454"/>
        </w:tabs>
        <w:ind w:left="454" w:hanging="454"/>
      </w:pPr>
      <w:rPr>
        <w:rFonts w:ascii="Calibri" w:hAnsi="Calibri" w:hint="default"/>
        <w:b w:val="0"/>
        <w:i w:val="0"/>
        <w:color w:val="auto"/>
        <w:position w:val="0"/>
        <w:sz w:val="22"/>
      </w:rPr>
    </w:lvl>
    <w:lvl w:ilvl="1">
      <w:start w:val="1"/>
      <w:numFmt w:val="bullet"/>
      <w:pStyle w:val="ListBullet2"/>
      <w:lvlText w:val="–"/>
      <w:lvlJc w:val="left"/>
      <w:pPr>
        <w:tabs>
          <w:tab w:val="num" w:pos="907"/>
        </w:tabs>
        <w:ind w:left="907" w:hanging="453"/>
      </w:pPr>
      <w:rPr>
        <w:rFonts w:ascii="Calibri" w:hAnsi="Calibri" w:hint="default"/>
        <w:b w:val="0"/>
        <w:i w:val="0"/>
        <w:color w:val="auto"/>
        <w:position w:val="0"/>
        <w:sz w:val="22"/>
      </w:rPr>
    </w:lvl>
    <w:lvl w:ilvl="2">
      <w:start w:val="1"/>
      <w:numFmt w:val="bullet"/>
      <w:pStyle w:val="ListBullet3"/>
      <w:lvlText w:val=""/>
      <w:lvlJc w:val="left"/>
      <w:pPr>
        <w:tabs>
          <w:tab w:val="num" w:pos="1361"/>
        </w:tabs>
        <w:ind w:left="1361" w:hanging="454"/>
      </w:pPr>
      <w:rPr>
        <w:rFonts w:ascii="Wingdings" w:hAnsi="Wingdings" w:hint="default"/>
        <w:b w:val="0"/>
        <w:i w:val="0"/>
        <w:color w:val="auto"/>
        <w:spacing w:val="0"/>
        <w:w w:val="100"/>
        <w:position w:val="1"/>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nsid w:val="070F0081"/>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75F78D7"/>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7D63AD2"/>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80968AB"/>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8BF3312"/>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8EF67AF"/>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AD423E4"/>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C22341E"/>
    <w:multiLevelType w:val="hybridMultilevel"/>
    <w:tmpl w:val="DA00C372"/>
    <w:lvl w:ilvl="0" w:tplc="8C4A7E30">
      <w:start w:val="1"/>
      <w:numFmt w:val="decimal"/>
      <w:lvlText w:val="%1"/>
      <w:lvlJc w:val="left"/>
      <w:pPr>
        <w:ind w:left="360" w:hanging="360"/>
      </w:pPr>
      <w:rPr>
        <w:rFonts w:ascii="Calibri" w:hAnsi="Calibri" w:hint="default"/>
        <w:b w:val="0"/>
        <w:i w:val="0"/>
        <w:caps w:val="0"/>
        <w:strike w:val="0"/>
        <w:dstrike w:val="0"/>
        <w:vanish w:val="0"/>
        <w:sz w:val="20"/>
        <w:szCs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0D745448"/>
    <w:multiLevelType w:val="multilevel"/>
    <w:tmpl w:val="D34240A4"/>
    <w:lvl w:ilvl="0">
      <w:start w:val="1"/>
      <w:numFmt w:val="none"/>
      <w:lvlRestart w:val="0"/>
      <w:pStyle w:val="Heading1"/>
      <w:suff w:val="nothing"/>
      <w:lvlText w:val=""/>
      <w:lvlJc w:val="left"/>
      <w:pPr>
        <w:tabs>
          <w:tab w:val="num" w:pos="0"/>
        </w:tabs>
        <w:ind w:left="0" w:firstLine="0"/>
      </w:pPr>
      <w:rPr>
        <w:rFonts w:hint="default"/>
      </w:rPr>
    </w:lvl>
    <w:lvl w:ilvl="1">
      <w:start w:val="1"/>
      <w:numFmt w:val="none"/>
      <w:pStyle w:val="Heading2"/>
      <w:suff w:val="nothing"/>
      <w:lvlText w:val=""/>
      <w:lvlJc w:val="left"/>
      <w:pPr>
        <w:tabs>
          <w:tab w:val="num" w:pos="0"/>
        </w:tabs>
        <w:ind w:left="0" w:firstLine="0"/>
      </w:pPr>
      <w:rPr>
        <w:rFonts w:hint="default"/>
      </w:rPr>
    </w:lvl>
    <w:lvl w:ilvl="2">
      <w:start w:val="1"/>
      <w:numFmt w:val="none"/>
      <w:pStyle w:val="Heading3"/>
      <w:suff w:val="nothing"/>
      <w:lvlText w:val=""/>
      <w:lvlJc w:val="left"/>
      <w:pPr>
        <w:tabs>
          <w:tab w:val="num" w:pos="0"/>
        </w:tabs>
        <w:ind w:left="0" w:firstLine="0"/>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14">
    <w:nsid w:val="0E9939D1"/>
    <w:multiLevelType w:val="hybridMultilevel"/>
    <w:tmpl w:val="7C506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0FB2573F"/>
    <w:multiLevelType w:val="multilevel"/>
    <w:tmpl w:val="93FEDA8E"/>
    <w:name w:val="TableFootnotes"/>
    <w:lvl w:ilvl="0">
      <w:start w:val="1"/>
      <w:numFmt w:val="decimal"/>
      <w:pStyle w:val="TableFootnotes"/>
      <w:lvlText w:val="%1"/>
      <w:lvlJc w:val="left"/>
      <w:pPr>
        <w:ind w:left="227" w:hanging="227"/>
      </w:pPr>
      <w:rPr>
        <w:rFonts w:hint="default"/>
        <w:color w:val="788184" w:themeColor="background2"/>
        <w:spacing w:val="0"/>
        <w:sz w:val="20"/>
        <w:vertAlign w:val="superscript"/>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16">
    <w:nsid w:val="11952D9E"/>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1E24D7A"/>
    <w:multiLevelType w:val="hybridMultilevel"/>
    <w:tmpl w:val="27822ED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2F32CB7"/>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4646598"/>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4C45081"/>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5396E8A"/>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56A33EB"/>
    <w:multiLevelType w:val="hybridMultilevel"/>
    <w:tmpl w:val="12A47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15E53A17"/>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70B421F"/>
    <w:multiLevelType w:val="hybridMultilevel"/>
    <w:tmpl w:val="98104136"/>
    <w:lvl w:ilvl="0" w:tplc="20F810EA">
      <w:start w:val="1"/>
      <w:numFmt w:val="decimal"/>
      <w:lvlText w:val="%1"/>
      <w:lvlJc w:val="left"/>
      <w:pPr>
        <w:ind w:left="360" w:hanging="360"/>
      </w:pPr>
      <w:rPr>
        <w:rFonts w:ascii="Calibri" w:hAnsi="Calibri" w:hint="default"/>
        <w:b w:val="0"/>
        <w:i w:val="0"/>
        <w:caps w:val="0"/>
        <w:strike w:val="0"/>
        <w:dstrike w:val="0"/>
        <w:vanish w:val="0"/>
        <w:sz w:val="20"/>
        <w:szCs w:val="20"/>
        <w:vertAlign w:val="baseline"/>
      </w:rPr>
    </w:lvl>
    <w:lvl w:ilvl="1" w:tplc="0C090019">
      <w:start w:val="1"/>
      <w:numFmt w:val="lowerLetter"/>
      <w:lvlText w:val="%2."/>
      <w:lvlJc w:val="left"/>
      <w:pPr>
        <w:ind w:left="967" w:hanging="360"/>
      </w:pPr>
    </w:lvl>
    <w:lvl w:ilvl="2" w:tplc="0C09001B">
      <w:start w:val="1"/>
      <w:numFmt w:val="lowerRoman"/>
      <w:lvlText w:val="%3."/>
      <w:lvlJc w:val="right"/>
      <w:pPr>
        <w:ind w:left="1687" w:hanging="180"/>
      </w:pPr>
    </w:lvl>
    <w:lvl w:ilvl="3" w:tplc="0C09000F">
      <w:start w:val="1"/>
      <w:numFmt w:val="decimal"/>
      <w:lvlText w:val="%4."/>
      <w:lvlJc w:val="left"/>
      <w:pPr>
        <w:ind w:left="2407" w:hanging="360"/>
      </w:pPr>
    </w:lvl>
    <w:lvl w:ilvl="4" w:tplc="0C090019">
      <w:start w:val="1"/>
      <w:numFmt w:val="lowerLetter"/>
      <w:lvlText w:val="%5."/>
      <w:lvlJc w:val="left"/>
      <w:pPr>
        <w:ind w:left="3127" w:hanging="360"/>
      </w:pPr>
    </w:lvl>
    <w:lvl w:ilvl="5" w:tplc="0C09001B">
      <w:start w:val="1"/>
      <w:numFmt w:val="lowerRoman"/>
      <w:lvlText w:val="%6."/>
      <w:lvlJc w:val="right"/>
      <w:pPr>
        <w:ind w:left="3847" w:hanging="180"/>
      </w:pPr>
    </w:lvl>
    <w:lvl w:ilvl="6" w:tplc="0C09000F">
      <w:start w:val="1"/>
      <w:numFmt w:val="decimal"/>
      <w:lvlText w:val="%7."/>
      <w:lvlJc w:val="left"/>
      <w:pPr>
        <w:ind w:left="4567" w:hanging="360"/>
      </w:pPr>
    </w:lvl>
    <w:lvl w:ilvl="7" w:tplc="0C090019">
      <w:start w:val="1"/>
      <w:numFmt w:val="lowerLetter"/>
      <w:lvlText w:val="%8."/>
      <w:lvlJc w:val="left"/>
      <w:pPr>
        <w:ind w:left="5287" w:hanging="360"/>
      </w:pPr>
    </w:lvl>
    <w:lvl w:ilvl="8" w:tplc="0C09001B">
      <w:start w:val="1"/>
      <w:numFmt w:val="lowerRoman"/>
      <w:lvlText w:val="%9."/>
      <w:lvlJc w:val="right"/>
      <w:pPr>
        <w:ind w:left="6007" w:hanging="180"/>
      </w:pPr>
    </w:lvl>
  </w:abstractNum>
  <w:abstractNum w:abstractNumId="25">
    <w:nsid w:val="178A4021"/>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18B05A5D"/>
    <w:multiLevelType w:val="hybridMultilevel"/>
    <w:tmpl w:val="27822ED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194A695C"/>
    <w:multiLevelType w:val="multilevel"/>
    <w:tmpl w:val="9710D28A"/>
    <w:lvl w:ilvl="0">
      <w:start w:val="1"/>
      <w:numFmt w:val="bullet"/>
      <w:pStyle w:val="TableTextBullet"/>
      <w:lvlText w:val="•"/>
      <w:lvlJc w:val="left"/>
      <w:pPr>
        <w:tabs>
          <w:tab w:val="num" w:pos="284"/>
        </w:tabs>
        <w:ind w:left="284" w:hanging="171"/>
      </w:pPr>
      <w:rPr>
        <w:rFonts w:ascii="Calibri" w:hAnsi="Calibri" w:hint="default"/>
        <w:color w:val="auto"/>
        <w:position w:val="2"/>
        <w:sz w:val="20"/>
        <w:szCs w:val="12"/>
      </w:rPr>
    </w:lvl>
    <w:lvl w:ilvl="1">
      <w:start w:val="1"/>
      <w:numFmt w:val="bullet"/>
      <w:pStyle w:val="TableTextBullet2"/>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tabs>
          <w:tab w:val="num" w:pos="624"/>
        </w:tabs>
        <w:ind w:left="624" w:hanging="170"/>
      </w:pPr>
      <w:rPr>
        <w:rFonts w:ascii="Wingdings" w:hAnsi="Wingdings"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8">
    <w:nsid w:val="1C5B1215"/>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1CFF17B9"/>
    <w:multiLevelType w:val="hybridMultilevel"/>
    <w:tmpl w:val="7522FD1C"/>
    <w:name w:val="TableFootnotes2"/>
    <w:lvl w:ilvl="0" w:tplc="5C72DC5C">
      <w:start w:val="1"/>
      <w:numFmt w:val="bullet"/>
      <w:lvlText w:val=""/>
      <w:lvlJc w:val="left"/>
      <w:pPr>
        <w:ind w:left="720" w:hanging="360"/>
      </w:pPr>
      <w:rPr>
        <w:rFonts w:ascii="Symbol" w:hAnsi="Symbol" w:hint="default"/>
        <w:u w:color="FF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D4803E3"/>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0A1701D"/>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0B74CCE"/>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20CE2872"/>
    <w:multiLevelType w:val="hybridMultilevel"/>
    <w:tmpl w:val="27822ED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214918B3"/>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17D758A"/>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236933B1"/>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23A95585"/>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24A74B70"/>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24CD7835"/>
    <w:multiLevelType w:val="hybridMultilevel"/>
    <w:tmpl w:val="E8FA599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255565EC"/>
    <w:multiLevelType w:val="hybridMultilevel"/>
    <w:tmpl w:val="27822ED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27577C42"/>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287C64F3"/>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29A84C3D"/>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2B935653"/>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2C72580B"/>
    <w:multiLevelType w:val="multilevel"/>
    <w:tmpl w:val="A1605A0E"/>
    <w:lvl w:ilvl="0">
      <w:start w:val="1"/>
      <w:numFmt w:val="decimal"/>
      <w:pStyle w:val="PullOutBoxNumber"/>
      <w:lvlText w:val="%1"/>
      <w:lvlJc w:val="left"/>
      <w:pPr>
        <w:tabs>
          <w:tab w:val="num" w:pos="624"/>
        </w:tabs>
        <w:ind w:left="624" w:hanging="340"/>
      </w:pPr>
      <w:rPr>
        <w:rFonts w:hint="default"/>
      </w:rPr>
    </w:lvl>
    <w:lvl w:ilvl="1">
      <w:start w:val="1"/>
      <w:numFmt w:val="lowerLetter"/>
      <w:pStyle w:val="PullOutBoxNumber2"/>
      <w:lvlText w:val="%2"/>
      <w:lvlJc w:val="left"/>
      <w:pPr>
        <w:tabs>
          <w:tab w:val="num" w:pos="964"/>
        </w:tabs>
        <w:ind w:left="964" w:hanging="340"/>
      </w:pPr>
      <w:rPr>
        <w:rFonts w:hint="default"/>
        <w:color w:val="auto"/>
      </w:rPr>
    </w:lvl>
    <w:lvl w:ilvl="2">
      <w:start w:val="1"/>
      <w:numFmt w:val="lowerRoman"/>
      <w:pStyle w:val="PullOutBoxNumber3"/>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nsid w:val="2D6D6934"/>
    <w:multiLevelType w:val="hybridMultilevel"/>
    <w:tmpl w:val="6A966B88"/>
    <w:lvl w:ilvl="0" w:tplc="E0E66822">
      <w:start w:val="1"/>
      <w:numFmt w:val="bullet"/>
      <w:lvlText w:val=""/>
      <w:lvlJc w:val="left"/>
      <w:pPr>
        <w:ind w:left="720" w:hanging="360"/>
      </w:pPr>
      <w:rPr>
        <w:rFonts w:ascii="Symbol" w:hAnsi="Symbol" w:hint="default"/>
        <w:u w:color="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2D722214"/>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2E1A5389"/>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2E244C46"/>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2F807A48"/>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2FC835FE"/>
    <w:multiLevelType w:val="hybridMultilevel"/>
    <w:tmpl w:val="13D41FA0"/>
    <w:lvl w:ilvl="0" w:tplc="EC98079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04807B3"/>
    <w:multiLevelType w:val="hybridMultilevel"/>
    <w:tmpl w:val="27822ED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30E45E35"/>
    <w:multiLevelType w:val="hybridMultilevel"/>
    <w:tmpl w:val="F904BD06"/>
    <w:lvl w:ilvl="0" w:tplc="08064874">
      <w:start w:val="1"/>
      <w:numFmt w:val="lowerLetter"/>
      <w:pStyle w:val="Footnotes"/>
      <w:lvlText w:val="(%1)"/>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825" w:hanging="360"/>
      </w:pPr>
    </w:lvl>
    <w:lvl w:ilvl="2" w:tplc="0C09001B">
      <w:start w:val="1"/>
      <w:numFmt w:val="lowerRoman"/>
      <w:lvlText w:val="%3."/>
      <w:lvlJc w:val="right"/>
      <w:pPr>
        <w:ind w:left="2023" w:hanging="180"/>
      </w:pPr>
    </w:lvl>
    <w:lvl w:ilvl="3" w:tplc="0C09000F" w:tentative="1">
      <w:start w:val="1"/>
      <w:numFmt w:val="decimal"/>
      <w:lvlText w:val="%4."/>
      <w:lvlJc w:val="left"/>
      <w:pPr>
        <w:ind w:left="2265" w:hanging="360"/>
      </w:pPr>
    </w:lvl>
    <w:lvl w:ilvl="4" w:tplc="0C090019" w:tentative="1">
      <w:start w:val="1"/>
      <w:numFmt w:val="lowerLetter"/>
      <w:lvlText w:val="%5."/>
      <w:lvlJc w:val="left"/>
      <w:pPr>
        <w:ind w:left="2985" w:hanging="360"/>
      </w:pPr>
    </w:lvl>
    <w:lvl w:ilvl="5" w:tplc="0C09001B" w:tentative="1">
      <w:start w:val="1"/>
      <w:numFmt w:val="lowerRoman"/>
      <w:lvlText w:val="%6."/>
      <w:lvlJc w:val="right"/>
      <w:pPr>
        <w:ind w:left="3705" w:hanging="180"/>
      </w:pPr>
    </w:lvl>
    <w:lvl w:ilvl="6" w:tplc="0C09000F" w:tentative="1">
      <w:start w:val="1"/>
      <w:numFmt w:val="decimal"/>
      <w:lvlText w:val="%7."/>
      <w:lvlJc w:val="left"/>
      <w:pPr>
        <w:ind w:left="4425" w:hanging="360"/>
      </w:pPr>
    </w:lvl>
    <w:lvl w:ilvl="7" w:tplc="0C090019" w:tentative="1">
      <w:start w:val="1"/>
      <w:numFmt w:val="lowerLetter"/>
      <w:lvlText w:val="%8."/>
      <w:lvlJc w:val="left"/>
      <w:pPr>
        <w:ind w:left="5145" w:hanging="360"/>
      </w:pPr>
    </w:lvl>
    <w:lvl w:ilvl="8" w:tplc="0C09001B" w:tentative="1">
      <w:start w:val="1"/>
      <w:numFmt w:val="lowerRoman"/>
      <w:lvlText w:val="%9."/>
      <w:lvlJc w:val="right"/>
      <w:pPr>
        <w:ind w:left="5865" w:hanging="180"/>
      </w:pPr>
    </w:lvl>
  </w:abstractNum>
  <w:abstractNum w:abstractNumId="54">
    <w:nsid w:val="30F56877"/>
    <w:multiLevelType w:val="hybridMultilevel"/>
    <w:tmpl w:val="EAE8755C"/>
    <w:lvl w:ilvl="0" w:tplc="95F2001A">
      <w:start w:val="1"/>
      <w:numFmt w:val="bullet"/>
      <w:lvlText w:val=""/>
      <w:lvlJc w:val="left"/>
      <w:pPr>
        <w:ind w:left="720" w:hanging="360"/>
      </w:pPr>
      <w:rPr>
        <w:rFonts w:ascii="Symbol" w:hAnsi="Symbol" w:hint="default"/>
        <w:u w:color="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33C71ACF"/>
    <w:multiLevelType w:val="hybridMultilevel"/>
    <w:tmpl w:val="4EFC81FE"/>
    <w:lvl w:ilvl="0" w:tplc="B4525D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33D76A47"/>
    <w:multiLevelType w:val="hybridMultilevel"/>
    <w:tmpl w:val="76228FA8"/>
    <w:lvl w:ilvl="0" w:tplc="EF1E1810">
      <w:start w:val="1"/>
      <w:numFmt w:val="lowerLetter"/>
      <w:lvlText w:val="(%1)"/>
      <w:lvlJc w:val="left"/>
      <w:pPr>
        <w:ind w:left="360" w:hanging="360"/>
      </w:pPr>
    </w:lvl>
    <w:lvl w:ilvl="1" w:tplc="0C090019">
      <w:start w:val="1"/>
      <w:numFmt w:val="lowerLetter"/>
      <w:lvlText w:val="%2."/>
      <w:lvlJc w:val="left"/>
      <w:pPr>
        <w:ind w:left="967" w:hanging="360"/>
      </w:pPr>
    </w:lvl>
    <w:lvl w:ilvl="2" w:tplc="0C09001B">
      <w:start w:val="1"/>
      <w:numFmt w:val="lowerRoman"/>
      <w:lvlText w:val="%3."/>
      <w:lvlJc w:val="right"/>
      <w:pPr>
        <w:ind w:left="1687" w:hanging="180"/>
      </w:pPr>
    </w:lvl>
    <w:lvl w:ilvl="3" w:tplc="0C09000F">
      <w:start w:val="1"/>
      <w:numFmt w:val="decimal"/>
      <w:lvlText w:val="%4."/>
      <w:lvlJc w:val="left"/>
      <w:pPr>
        <w:ind w:left="2407" w:hanging="360"/>
      </w:pPr>
    </w:lvl>
    <w:lvl w:ilvl="4" w:tplc="0C090019">
      <w:start w:val="1"/>
      <w:numFmt w:val="lowerLetter"/>
      <w:lvlText w:val="%5."/>
      <w:lvlJc w:val="left"/>
      <w:pPr>
        <w:ind w:left="3127" w:hanging="360"/>
      </w:pPr>
    </w:lvl>
    <w:lvl w:ilvl="5" w:tplc="0C09001B">
      <w:start w:val="1"/>
      <w:numFmt w:val="lowerRoman"/>
      <w:lvlText w:val="%6."/>
      <w:lvlJc w:val="right"/>
      <w:pPr>
        <w:ind w:left="3847" w:hanging="180"/>
      </w:pPr>
    </w:lvl>
    <w:lvl w:ilvl="6" w:tplc="0C09000F">
      <w:start w:val="1"/>
      <w:numFmt w:val="decimal"/>
      <w:lvlText w:val="%7."/>
      <w:lvlJc w:val="left"/>
      <w:pPr>
        <w:ind w:left="4567" w:hanging="360"/>
      </w:pPr>
    </w:lvl>
    <w:lvl w:ilvl="7" w:tplc="0C090019">
      <w:start w:val="1"/>
      <w:numFmt w:val="lowerLetter"/>
      <w:lvlText w:val="%8."/>
      <w:lvlJc w:val="left"/>
      <w:pPr>
        <w:ind w:left="5287" w:hanging="360"/>
      </w:pPr>
    </w:lvl>
    <w:lvl w:ilvl="8" w:tplc="0C09001B">
      <w:start w:val="1"/>
      <w:numFmt w:val="lowerRoman"/>
      <w:lvlText w:val="%9."/>
      <w:lvlJc w:val="right"/>
      <w:pPr>
        <w:ind w:left="6007" w:hanging="180"/>
      </w:pPr>
    </w:lvl>
  </w:abstractNum>
  <w:abstractNum w:abstractNumId="57">
    <w:nsid w:val="34E44875"/>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35153448"/>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352D3AA4"/>
    <w:multiLevelType w:val="hybridMultilevel"/>
    <w:tmpl w:val="D8BAE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36B5712D"/>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38567B8F"/>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38723AD4"/>
    <w:multiLevelType w:val="multilevel"/>
    <w:tmpl w:val="4BF09F32"/>
    <w:lvl w:ilvl="0">
      <w:start w:val="1"/>
      <w:numFmt w:val="bullet"/>
      <w:pStyle w:val="PullOutBoxBullet"/>
      <w:lvlText w:val="•"/>
      <w:lvlJc w:val="left"/>
      <w:pPr>
        <w:tabs>
          <w:tab w:val="num" w:pos="624"/>
        </w:tabs>
        <w:ind w:left="624" w:hanging="340"/>
      </w:pPr>
      <w:rPr>
        <w:rFonts w:ascii="Calibri" w:hAnsi="Calibri" w:hint="default"/>
        <w:color w:val="auto"/>
        <w:sz w:val="22"/>
      </w:rPr>
    </w:lvl>
    <w:lvl w:ilvl="1">
      <w:start w:val="1"/>
      <w:numFmt w:val="bullet"/>
      <w:pStyle w:val="PullOutBoxBullet2"/>
      <w:lvlText w:val="–"/>
      <w:lvlJc w:val="left"/>
      <w:pPr>
        <w:tabs>
          <w:tab w:val="num" w:pos="964"/>
        </w:tabs>
        <w:ind w:left="964" w:hanging="340"/>
      </w:pPr>
      <w:rPr>
        <w:rFonts w:ascii="Calibri" w:hAnsi="Calibri" w:hint="default"/>
        <w:color w:val="auto"/>
        <w:sz w:val="22"/>
      </w:rPr>
    </w:lvl>
    <w:lvl w:ilvl="2">
      <w:start w:val="1"/>
      <w:numFmt w:val="bullet"/>
      <w:pStyle w:val="PullOutBoxBullet3"/>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3">
    <w:nsid w:val="39175B3C"/>
    <w:multiLevelType w:val="hybridMultilevel"/>
    <w:tmpl w:val="27822ED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39344428"/>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395E0097"/>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3ACE27D9"/>
    <w:multiLevelType w:val="hybridMultilevel"/>
    <w:tmpl w:val="27822ED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3B2E19AC"/>
    <w:multiLevelType w:val="singleLevel"/>
    <w:tmpl w:val="032CEB48"/>
    <w:lvl w:ilvl="0">
      <w:start w:val="1"/>
      <w:numFmt w:val="lowerLetter"/>
      <w:lvlRestart w:val="0"/>
      <w:pStyle w:val="ChartandTableFootnoteAlpha"/>
      <w:lvlText w:val="(%1)"/>
      <w:lvlJc w:val="left"/>
      <w:pPr>
        <w:tabs>
          <w:tab w:val="num" w:pos="284"/>
        </w:tabs>
        <w:ind w:left="284" w:hanging="284"/>
      </w:pPr>
      <w:rPr>
        <w:rFonts w:ascii="Times New Roman" w:hAnsi="Times New Roman" w:cs="Times New Roman" w:hint="default"/>
        <w:b w:val="0"/>
        <w:i w:val="0"/>
        <w:color w:val="000000"/>
        <w:sz w:val="18"/>
        <w:szCs w:val="18"/>
      </w:rPr>
    </w:lvl>
  </w:abstractNum>
  <w:abstractNum w:abstractNumId="68">
    <w:nsid w:val="3DFB1916"/>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3E4942EA"/>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3F0C6137"/>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40843F5A"/>
    <w:multiLevelType w:val="hybridMultilevel"/>
    <w:tmpl w:val="D65C1864"/>
    <w:lvl w:ilvl="0" w:tplc="950677BC">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nsid w:val="414F3A90"/>
    <w:multiLevelType w:val="hybridMultilevel"/>
    <w:tmpl w:val="A788A000"/>
    <w:lvl w:ilvl="0" w:tplc="A2647464">
      <w:start w:val="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43210E4B"/>
    <w:multiLevelType w:val="hybridMultilevel"/>
    <w:tmpl w:val="27822ED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440C4C26"/>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47863554"/>
    <w:multiLevelType w:val="hybridMultilevel"/>
    <w:tmpl w:val="3B56C3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48260FA5"/>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493A796F"/>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49894CC0"/>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499B0030"/>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4A334B35"/>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4BD90D7B"/>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4C0B74C7"/>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4CF75DBB"/>
    <w:multiLevelType w:val="hybridMultilevel"/>
    <w:tmpl w:val="321CB948"/>
    <w:lvl w:ilvl="0" w:tplc="5120C3FC">
      <w:start w:val="201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4D7F43EB"/>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4DB31B03"/>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502C69FA"/>
    <w:multiLevelType w:val="hybridMultilevel"/>
    <w:tmpl w:val="AD6A6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nsid w:val="573D7FB9"/>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58A7517E"/>
    <w:multiLevelType w:val="hybridMultilevel"/>
    <w:tmpl w:val="9A00827A"/>
    <w:lvl w:ilvl="0" w:tplc="888CD80E">
      <w:start w:val="1"/>
      <w:numFmt w:val="bullet"/>
      <w:lvlText w:val=""/>
      <w:lvlJc w:val="left"/>
      <w:pPr>
        <w:ind w:left="1627" w:hanging="360"/>
      </w:pPr>
      <w:rPr>
        <w:rFonts w:ascii="Wingdings" w:hAnsi="Wingdings"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89">
    <w:nsid w:val="5C9B615C"/>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5CF26D94"/>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5D0540A9"/>
    <w:multiLevelType w:val="multilevel"/>
    <w:tmpl w:val="531015A8"/>
    <w:name w:val="AppendicesNumbering"/>
    <w:lvl w:ilvl="0">
      <w:start w:val="7"/>
      <w:numFmt w:val="upperLetter"/>
      <w:lvlRestart w:val="0"/>
      <w:pStyle w:val="Heading8"/>
      <w:suff w:val="space"/>
      <w:lvlText w:val="Appendix %1"/>
      <w:lvlJc w:val="left"/>
      <w:pPr>
        <w:ind w:left="0" w:firstLine="0"/>
      </w:pPr>
      <w:rPr>
        <w:rFonts w:hint="default"/>
        <w:b w:val="0"/>
        <w:i w:val="0"/>
        <w:sz w:val="40"/>
      </w:rPr>
    </w:lvl>
    <w:lvl w:ilvl="1">
      <w:start w:val="1"/>
      <w:numFmt w:val="none"/>
      <w:pStyle w:val="Heading9"/>
      <w:suff w:val="nothing"/>
      <w:lvlText w:val=""/>
      <w:lvlJc w:val="left"/>
      <w:pPr>
        <w:ind w:left="0" w:firstLine="0"/>
      </w:pPr>
      <w:rPr>
        <w:rFonts w:hint="default"/>
        <w:sz w:val="26"/>
      </w:rPr>
    </w:lvl>
    <w:lvl w:ilvl="2">
      <w:start w:val="1"/>
      <w:numFmt w:val="none"/>
      <w:pStyle w:val="AppendixHeading2"/>
      <w:suff w:val="nothing"/>
      <w:lvlText w:val=""/>
      <w:lvlJc w:val="left"/>
      <w:pPr>
        <w:ind w:left="0" w:firstLine="0"/>
      </w:pPr>
      <w:rPr>
        <w:rFonts w:hint="default"/>
      </w:rPr>
    </w:lvl>
    <w:lvl w:ilvl="3">
      <w:start w:val="1"/>
      <w:numFmt w:val="none"/>
      <w:lvlRestart w:val="2"/>
      <w:pStyle w:val="AppendixHeading3"/>
      <w:suff w:val="nothing"/>
      <w:lvlText w:val=""/>
      <w:lvlJc w:val="left"/>
      <w:pPr>
        <w:ind w:left="0" w:firstLine="0"/>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92">
    <w:nsid w:val="5E3B5161"/>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5E633DE9"/>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5E912090"/>
    <w:multiLevelType w:val="hybridMultilevel"/>
    <w:tmpl w:val="27822EDE"/>
    <w:name w:val="TableFootnotes22"/>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nsid w:val="5F34140E"/>
    <w:multiLevelType w:val="hybridMultilevel"/>
    <w:tmpl w:val="8A926582"/>
    <w:lvl w:ilvl="0" w:tplc="CE145B14">
      <w:start w:val="2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60A569C2"/>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nsid w:val="6317373C"/>
    <w:multiLevelType w:val="hybridMultilevel"/>
    <w:tmpl w:val="E4F29F58"/>
    <w:lvl w:ilvl="0" w:tplc="9DEC124A">
      <w:start w:val="2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64C47B29"/>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65472C80"/>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66A87691"/>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nsid w:val="69070E29"/>
    <w:multiLevelType w:val="hybridMultilevel"/>
    <w:tmpl w:val="65EA4040"/>
    <w:lvl w:ilvl="0" w:tplc="CA7A5E2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6CCD4C7A"/>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nsid w:val="6D1D40AC"/>
    <w:multiLevelType w:val="multilevel"/>
    <w:tmpl w:val="D18C6390"/>
    <w:lvl w:ilvl="0">
      <w:start w:val="1"/>
      <w:numFmt w:val="decimal"/>
      <w:pStyle w:val="TableTextNumber"/>
      <w:lvlText w:val="%1"/>
      <w:lvlJc w:val="left"/>
      <w:pPr>
        <w:tabs>
          <w:tab w:val="num" w:pos="397"/>
        </w:tabs>
        <w:ind w:left="397" w:hanging="284"/>
      </w:pPr>
      <w:rPr>
        <w:rFonts w:hint="default"/>
      </w:rPr>
    </w:lvl>
    <w:lvl w:ilvl="1">
      <w:start w:val="1"/>
      <w:numFmt w:val="lowerLetter"/>
      <w:pStyle w:val="TableTextNumber2"/>
      <w:lvlText w:val="%2"/>
      <w:lvlJc w:val="left"/>
      <w:pPr>
        <w:tabs>
          <w:tab w:val="num" w:pos="709"/>
        </w:tabs>
        <w:ind w:left="709" w:hanging="283"/>
      </w:pPr>
      <w:rPr>
        <w:rFonts w:hint="default"/>
      </w:rPr>
    </w:lvl>
    <w:lvl w:ilvl="2">
      <w:start w:val="1"/>
      <w:numFmt w:val="lowerRoman"/>
      <w:pStyle w:val="TableTextNumber3"/>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4">
    <w:nsid w:val="6DD00F06"/>
    <w:multiLevelType w:val="hybridMultilevel"/>
    <w:tmpl w:val="3A6EF32A"/>
    <w:name w:val="AppendicesNumbering2"/>
    <w:lvl w:ilvl="0" w:tplc="C5946D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nsid w:val="6EFA364F"/>
    <w:multiLevelType w:val="hybridMultilevel"/>
    <w:tmpl w:val="326A963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70250B03"/>
    <w:multiLevelType w:val="multilevel"/>
    <w:tmpl w:val="5796740A"/>
    <w:lvl w:ilvl="0">
      <w:start w:val="1"/>
      <w:numFmt w:val="bullet"/>
      <w:pStyle w:val="QuoteBullet"/>
      <w:lvlText w:val="•"/>
      <w:lvlJc w:val="left"/>
      <w:pPr>
        <w:tabs>
          <w:tab w:val="num" w:pos="567"/>
        </w:tabs>
        <w:ind w:left="567" w:hanging="283"/>
      </w:pPr>
      <w:rPr>
        <w:rFonts w:ascii="Arial" w:hAnsi="Arial" w:hint="default"/>
        <w:color w:val="auto"/>
        <w:sz w:val="18"/>
      </w:rPr>
    </w:lvl>
    <w:lvl w:ilvl="1">
      <w:start w:val="1"/>
      <w:numFmt w:val="bullet"/>
      <w:pStyle w:val="QuoteBullet2"/>
      <w:lvlText w:val="‒"/>
      <w:lvlJc w:val="left"/>
      <w:pPr>
        <w:tabs>
          <w:tab w:val="num" w:pos="851"/>
        </w:tabs>
        <w:ind w:left="851" w:hanging="284"/>
      </w:pPr>
      <w:rPr>
        <w:rFonts w:ascii="Calibri" w:hAnsi="Calibri" w:hint="default"/>
        <w:color w:val="auto"/>
      </w:rPr>
    </w:lvl>
    <w:lvl w:ilvl="2">
      <w:start w:val="1"/>
      <w:numFmt w:val="bullet"/>
      <w:lvlText w:val="‒"/>
      <w:lvlJc w:val="left"/>
      <w:pPr>
        <w:tabs>
          <w:tab w:val="num" w:pos="1418"/>
        </w:tabs>
        <w:ind w:left="1418" w:hanging="283"/>
      </w:pPr>
      <w:rPr>
        <w:rFonts w:ascii="Calibri" w:hAnsi="Calibri" w:hint="default"/>
        <w:color w:val="2B3B5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07">
    <w:nsid w:val="71506ADB"/>
    <w:multiLevelType w:val="hybridMultilevel"/>
    <w:tmpl w:val="40183C5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8">
    <w:nsid w:val="71CE2F93"/>
    <w:multiLevelType w:val="multilevel"/>
    <w:tmpl w:val="850CAC36"/>
    <w:lvl w:ilvl="0">
      <w:start w:val="1"/>
      <w:numFmt w:val="bullet"/>
      <w:lvlText w:val="•"/>
      <w:lvlJc w:val="left"/>
      <w:pPr>
        <w:tabs>
          <w:tab w:val="num" w:pos="284"/>
        </w:tabs>
        <w:ind w:left="284" w:hanging="171"/>
      </w:pPr>
      <w:rPr>
        <w:rFonts w:ascii="Calibri" w:hAnsi="Calibri" w:hint="default"/>
        <w:color w:val="auto"/>
        <w:position w:val="2"/>
        <w:sz w:val="20"/>
        <w:szCs w:val="12"/>
      </w:rPr>
    </w:lvl>
    <w:lvl w:ilvl="1">
      <w:start w:val="1"/>
      <w:numFmt w:val="bullet"/>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pStyle w:val="TableTextBullet1"/>
      <w:lvlText w:val=""/>
      <w:lvlJc w:val="left"/>
      <w:pPr>
        <w:tabs>
          <w:tab w:val="num" w:pos="624"/>
        </w:tabs>
        <w:ind w:left="624" w:hanging="170"/>
      </w:pPr>
      <w:rPr>
        <w:rFonts w:ascii="Symbol" w:hAnsi="Symbol"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9">
    <w:nsid w:val="721D05C3"/>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72E17349"/>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nsid w:val="742C0EFA"/>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nsid w:val="74B522AE"/>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nsid w:val="74D14B95"/>
    <w:multiLevelType w:val="hybridMultilevel"/>
    <w:tmpl w:val="27822ED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nsid w:val="7839021E"/>
    <w:multiLevelType w:val="multilevel"/>
    <w:tmpl w:val="C186E662"/>
    <w:lvl w:ilvl="0">
      <w:start w:val="1"/>
      <w:numFmt w:val="decimal"/>
      <w:pStyle w:val="ListNumber"/>
      <w:lvlText w:val="%1"/>
      <w:lvlJc w:val="left"/>
      <w:pPr>
        <w:tabs>
          <w:tab w:val="num" w:pos="454"/>
        </w:tabs>
        <w:ind w:left="454" w:hanging="454"/>
      </w:pPr>
      <w:rPr>
        <w:rFonts w:hint="default"/>
        <w:color w:val="auto"/>
        <w:spacing w:val="0"/>
        <w:sz w:val="22"/>
      </w:rPr>
    </w:lvl>
    <w:lvl w:ilvl="1">
      <w:start w:val="1"/>
      <w:numFmt w:val="lowerLetter"/>
      <w:pStyle w:val="ListNumber2"/>
      <w:lvlText w:val="%2"/>
      <w:lvlJc w:val="left"/>
      <w:pPr>
        <w:tabs>
          <w:tab w:val="num" w:pos="907"/>
        </w:tabs>
        <w:ind w:left="907" w:hanging="453"/>
      </w:pPr>
      <w:rPr>
        <w:rFonts w:hint="default"/>
        <w:color w:val="auto"/>
        <w:spacing w:val="0"/>
        <w:sz w:val="22"/>
      </w:rPr>
    </w:lvl>
    <w:lvl w:ilvl="2">
      <w:start w:val="1"/>
      <w:numFmt w:val="lowerRoman"/>
      <w:pStyle w:val="ListNumber3"/>
      <w:lvlText w:val="%3"/>
      <w:lvlJc w:val="left"/>
      <w:pPr>
        <w:tabs>
          <w:tab w:val="num" w:pos="1361"/>
        </w:tabs>
        <w:ind w:left="1361" w:hanging="454"/>
      </w:pPr>
      <w:rPr>
        <w:rFonts w:hint="default"/>
        <w:color w:val="auto"/>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5">
    <w:nsid w:val="783B41BC"/>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nsid w:val="7B8B69D3"/>
    <w:multiLevelType w:val="hybridMultilevel"/>
    <w:tmpl w:val="27822EDE"/>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nsid w:val="7D5320C1"/>
    <w:multiLevelType w:val="hybridMultilevel"/>
    <w:tmpl w:val="F9221CCA"/>
    <w:lvl w:ilvl="0" w:tplc="512C7414">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1"/>
  </w:num>
  <w:num w:numId="2">
    <w:abstractNumId w:val="62"/>
  </w:num>
  <w:num w:numId="3">
    <w:abstractNumId w:val="15"/>
  </w:num>
  <w:num w:numId="4">
    <w:abstractNumId w:val="27"/>
  </w:num>
  <w:num w:numId="5">
    <w:abstractNumId w:val="13"/>
  </w:num>
  <w:num w:numId="6">
    <w:abstractNumId w:val="53"/>
  </w:num>
  <w:num w:numId="7">
    <w:abstractNumId w:val="53"/>
    <w:lvlOverride w:ilvl="0">
      <w:startOverride w:val="1"/>
    </w:lvlOverride>
  </w:num>
  <w:num w:numId="8">
    <w:abstractNumId w:val="53"/>
    <w:lvlOverride w:ilvl="0">
      <w:startOverride w:val="1"/>
    </w:lvlOverride>
  </w:num>
  <w:num w:numId="9">
    <w:abstractNumId w:val="53"/>
    <w:lvlOverride w:ilvl="0">
      <w:startOverride w:val="1"/>
    </w:lvlOverride>
  </w:num>
  <w:num w:numId="10">
    <w:abstractNumId w:val="13"/>
  </w:num>
  <w:num w:numId="11">
    <w:abstractNumId w:val="13"/>
  </w:num>
  <w:num w:numId="12">
    <w:abstractNumId w:val="4"/>
  </w:num>
  <w:num w:numId="13">
    <w:abstractNumId w:val="114"/>
  </w:num>
  <w:num w:numId="14">
    <w:abstractNumId w:val="62"/>
  </w:num>
  <w:num w:numId="15">
    <w:abstractNumId w:val="45"/>
  </w:num>
  <w:num w:numId="16">
    <w:abstractNumId w:val="106"/>
  </w:num>
  <w:num w:numId="17">
    <w:abstractNumId w:val="27"/>
  </w:num>
  <w:num w:numId="18">
    <w:abstractNumId w:val="103"/>
  </w:num>
  <w:num w:numId="19">
    <w:abstractNumId w:val="108"/>
  </w:num>
  <w:num w:numId="20">
    <w:abstractNumId w:val="67"/>
    <w:lvlOverride w:ilvl="0">
      <w:startOverride w:val="1"/>
    </w:lvlOverride>
  </w:num>
  <w:num w:numId="21">
    <w:abstractNumId w:val="53"/>
    <w:lvlOverride w:ilvl="0">
      <w:startOverride w:val="1"/>
    </w:lvlOverride>
  </w:num>
  <w:num w:numId="22">
    <w:abstractNumId w:val="53"/>
    <w:lvlOverride w:ilvl="0">
      <w:startOverride w:val="1"/>
    </w:lvlOverride>
  </w:num>
  <w:num w:numId="23">
    <w:abstractNumId w:val="53"/>
    <w:lvlOverride w:ilvl="0">
      <w:startOverride w:val="1"/>
    </w:lvlOverride>
  </w:num>
  <w:num w:numId="24">
    <w:abstractNumId w:val="53"/>
    <w:lvlOverride w:ilvl="0">
      <w:startOverride w:val="1"/>
    </w:lvlOverride>
  </w:num>
  <w:num w:numId="25">
    <w:abstractNumId w:val="53"/>
    <w:lvlOverride w:ilvl="0">
      <w:startOverride w:val="1"/>
    </w:lvlOverride>
  </w:num>
  <w:num w:numId="26">
    <w:abstractNumId w:val="53"/>
    <w:lvlOverride w:ilvl="0">
      <w:startOverride w:val="1"/>
    </w:lvlOverride>
  </w:num>
  <w:num w:numId="27">
    <w:abstractNumId w:val="53"/>
    <w:lvlOverride w:ilvl="0">
      <w:startOverride w:val="1"/>
    </w:lvlOverride>
  </w:num>
  <w:num w:numId="28">
    <w:abstractNumId w:val="104"/>
  </w:num>
  <w:num w:numId="29">
    <w:abstractNumId w:val="53"/>
    <w:lvlOverride w:ilvl="0">
      <w:startOverride w:val="1"/>
    </w:lvlOverride>
  </w:num>
  <w:num w:numId="30">
    <w:abstractNumId w:val="53"/>
    <w:lvlOverride w:ilvl="0">
      <w:startOverride w:val="1"/>
    </w:lvlOverride>
  </w:num>
  <w:num w:numId="31">
    <w:abstractNumId w:val="53"/>
    <w:lvlOverride w:ilvl="0">
      <w:startOverride w:val="1"/>
    </w:lvlOverride>
  </w:num>
  <w:num w:numId="32">
    <w:abstractNumId w:val="53"/>
    <w:lvlOverride w:ilvl="0">
      <w:startOverride w:val="1"/>
    </w:lvlOverride>
  </w:num>
  <w:num w:numId="33">
    <w:abstractNumId w:val="95"/>
  </w:num>
  <w:num w:numId="34">
    <w:abstractNumId w:val="53"/>
    <w:lvlOverride w:ilvl="0">
      <w:startOverride w:val="1"/>
    </w:lvlOverride>
  </w:num>
  <w:num w:numId="35">
    <w:abstractNumId w:val="53"/>
    <w:lvlOverride w:ilvl="0">
      <w:startOverride w:val="1"/>
    </w:lvlOverride>
  </w:num>
  <w:num w:numId="36">
    <w:abstractNumId w:val="53"/>
    <w:lvlOverride w:ilvl="0">
      <w:startOverride w:val="1"/>
    </w:lvlOverride>
  </w:num>
  <w:num w:numId="37">
    <w:abstractNumId w:val="53"/>
    <w:lvlOverride w:ilvl="0">
      <w:startOverride w:val="1"/>
    </w:lvlOverride>
  </w:num>
  <w:num w:numId="38">
    <w:abstractNumId w:val="53"/>
    <w:lvlOverride w:ilvl="0">
      <w:startOverride w:val="1"/>
    </w:lvlOverride>
  </w:num>
  <w:num w:numId="39">
    <w:abstractNumId w:val="53"/>
    <w:lvlOverride w:ilvl="0">
      <w:startOverride w:val="1"/>
    </w:lvlOverride>
  </w:num>
  <w:num w:numId="40">
    <w:abstractNumId w:val="53"/>
    <w:lvlOverride w:ilvl="0">
      <w:startOverride w:val="1"/>
    </w:lvlOverride>
  </w:num>
  <w:num w:numId="41">
    <w:abstractNumId w:val="53"/>
    <w:lvlOverride w:ilvl="0">
      <w:startOverride w:val="1"/>
    </w:lvlOverride>
  </w:num>
  <w:num w:numId="42">
    <w:abstractNumId w:val="53"/>
    <w:lvlOverride w:ilvl="0">
      <w:startOverride w:val="1"/>
    </w:lvlOverride>
  </w:num>
  <w:num w:numId="43">
    <w:abstractNumId w:val="53"/>
    <w:lvlOverride w:ilvl="0">
      <w:startOverride w:val="1"/>
    </w:lvlOverride>
  </w:num>
  <w:num w:numId="44">
    <w:abstractNumId w:val="53"/>
    <w:lvlOverride w:ilvl="0">
      <w:startOverride w:val="1"/>
    </w:lvlOverride>
  </w:num>
  <w:num w:numId="45">
    <w:abstractNumId w:val="53"/>
    <w:lvlOverride w:ilvl="0">
      <w:startOverride w:val="1"/>
    </w:lvlOverride>
  </w:num>
  <w:num w:numId="46">
    <w:abstractNumId w:val="53"/>
    <w:lvlOverride w:ilvl="0">
      <w:startOverride w:val="1"/>
    </w:lvlOverride>
  </w:num>
  <w:num w:numId="47">
    <w:abstractNumId w:val="53"/>
    <w:lvlOverride w:ilvl="0">
      <w:startOverride w:val="1"/>
    </w:lvlOverride>
  </w:num>
  <w:num w:numId="48">
    <w:abstractNumId w:val="53"/>
    <w:lvlOverride w:ilvl="0">
      <w:startOverride w:val="1"/>
    </w:lvlOverride>
  </w:num>
  <w:num w:numId="49">
    <w:abstractNumId w:val="53"/>
    <w:lvlOverride w:ilvl="0">
      <w:startOverride w:val="1"/>
    </w:lvlOverride>
  </w:num>
  <w:num w:numId="50">
    <w:abstractNumId w:val="53"/>
    <w:lvlOverride w:ilvl="0">
      <w:startOverride w:val="1"/>
    </w:lvlOverride>
  </w:num>
  <w:num w:numId="51">
    <w:abstractNumId w:val="53"/>
    <w:lvlOverride w:ilvl="0">
      <w:startOverride w:val="1"/>
    </w:lvlOverride>
  </w:num>
  <w:num w:numId="52">
    <w:abstractNumId w:val="53"/>
    <w:lvlOverride w:ilvl="0">
      <w:startOverride w:val="1"/>
    </w:lvlOverride>
  </w:num>
  <w:num w:numId="53">
    <w:abstractNumId w:val="53"/>
    <w:lvlOverride w:ilvl="0">
      <w:startOverride w:val="1"/>
    </w:lvlOverride>
  </w:num>
  <w:num w:numId="54">
    <w:abstractNumId w:val="53"/>
    <w:lvlOverride w:ilvl="0">
      <w:startOverride w:val="1"/>
    </w:lvlOverride>
  </w:num>
  <w:num w:numId="55">
    <w:abstractNumId w:val="53"/>
    <w:lvlOverride w:ilvl="0">
      <w:startOverride w:val="1"/>
    </w:lvlOverride>
  </w:num>
  <w:num w:numId="56">
    <w:abstractNumId w:val="53"/>
    <w:lvlOverride w:ilvl="0">
      <w:startOverride w:val="1"/>
    </w:lvlOverride>
  </w:num>
  <w:num w:numId="57">
    <w:abstractNumId w:val="53"/>
    <w:lvlOverride w:ilvl="0">
      <w:startOverride w:val="1"/>
    </w:lvlOverride>
  </w:num>
  <w:num w:numId="58">
    <w:abstractNumId w:val="53"/>
    <w:lvlOverride w:ilvl="0">
      <w:startOverride w:val="1"/>
    </w:lvlOverride>
  </w:num>
  <w:num w:numId="59">
    <w:abstractNumId w:val="53"/>
    <w:lvlOverride w:ilvl="0">
      <w:startOverride w:val="1"/>
    </w:lvlOverride>
  </w:num>
  <w:num w:numId="60">
    <w:abstractNumId w:val="53"/>
    <w:lvlOverride w:ilvl="0">
      <w:startOverride w:val="1"/>
    </w:lvlOverride>
  </w:num>
  <w:num w:numId="61">
    <w:abstractNumId w:val="53"/>
    <w:lvlOverride w:ilvl="0">
      <w:startOverride w:val="1"/>
    </w:lvlOverride>
  </w:num>
  <w:num w:numId="62">
    <w:abstractNumId w:val="53"/>
    <w:lvlOverride w:ilvl="0">
      <w:startOverride w:val="1"/>
    </w:lvlOverride>
  </w:num>
  <w:num w:numId="63">
    <w:abstractNumId w:val="53"/>
    <w:lvlOverride w:ilvl="0">
      <w:startOverride w:val="1"/>
    </w:lvlOverride>
  </w:num>
  <w:num w:numId="64">
    <w:abstractNumId w:val="53"/>
    <w:lvlOverride w:ilvl="0">
      <w:startOverride w:val="1"/>
    </w:lvlOverride>
  </w:num>
  <w:num w:numId="65">
    <w:abstractNumId w:val="53"/>
    <w:lvlOverride w:ilvl="0">
      <w:startOverride w:val="1"/>
    </w:lvlOverride>
  </w:num>
  <w:num w:numId="66">
    <w:abstractNumId w:val="53"/>
    <w:lvlOverride w:ilvl="0">
      <w:startOverride w:val="1"/>
    </w:lvlOverride>
  </w:num>
  <w:num w:numId="67">
    <w:abstractNumId w:val="53"/>
    <w:lvlOverride w:ilvl="0">
      <w:startOverride w:val="1"/>
    </w:lvlOverride>
  </w:num>
  <w:num w:numId="68">
    <w:abstractNumId w:val="53"/>
    <w:lvlOverride w:ilvl="0">
      <w:startOverride w:val="1"/>
    </w:lvlOverride>
  </w:num>
  <w:num w:numId="69">
    <w:abstractNumId w:val="53"/>
    <w:lvlOverride w:ilvl="0">
      <w:startOverride w:val="1"/>
    </w:lvlOverride>
  </w:num>
  <w:num w:numId="70">
    <w:abstractNumId w:val="53"/>
    <w:lvlOverride w:ilvl="0">
      <w:startOverride w:val="1"/>
    </w:lvlOverride>
  </w:num>
  <w:num w:numId="71">
    <w:abstractNumId w:val="53"/>
    <w:lvlOverride w:ilvl="0">
      <w:startOverride w:val="1"/>
    </w:lvlOverride>
  </w:num>
  <w:num w:numId="72">
    <w:abstractNumId w:val="53"/>
    <w:lvlOverride w:ilvl="0">
      <w:startOverride w:val="1"/>
    </w:lvlOverride>
  </w:num>
  <w:num w:numId="73">
    <w:abstractNumId w:val="53"/>
    <w:lvlOverride w:ilvl="0">
      <w:startOverride w:val="1"/>
    </w:lvlOverride>
  </w:num>
  <w:num w:numId="74">
    <w:abstractNumId w:val="53"/>
    <w:lvlOverride w:ilvl="0">
      <w:startOverride w:val="1"/>
    </w:lvlOverride>
  </w:num>
  <w:num w:numId="75">
    <w:abstractNumId w:val="53"/>
    <w:lvlOverride w:ilvl="0">
      <w:startOverride w:val="1"/>
    </w:lvlOverride>
  </w:num>
  <w:num w:numId="76">
    <w:abstractNumId w:val="53"/>
    <w:lvlOverride w:ilvl="0">
      <w:startOverride w:val="1"/>
    </w:lvlOverride>
  </w:num>
  <w:num w:numId="77">
    <w:abstractNumId w:val="53"/>
    <w:lvlOverride w:ilvl="0">
      <w:startOverride w:val="1"/>
    </w:lvlOverride>
  </w:num>
  <w:num w:numId="78">
    <w:abstractNumId w:val="53"/>
    <w:lvlOverride w:ilvl="0">
      <w:startOverride w:val="1"/>
    </w:lvlOverride>
  </w:num>
  <w:num w:numId="79">
    <w:abstractNumId w:val="53"/>
    <w:lvlOverride w:ilvl="0">
      <w:startOverride w:val="1"/>
    </w:lvlOverride>
  </w:num>
  <w:num w:numId="80">
    <w:abstractNumId w:val="53"/>
    <w:lvlOverride w:ilvl="0">
      <w:startOverride w:val="1"/>
    </w:lvlOverride>
  </w:num>
  <w:num w:numId="81">
    <w:abstractNumId w:val="53"/>
    <w:lvlOverride w:ilvl="0">
      <w:startOverride w:val="1"/>
    </w:lvlOverride>
  </w:num>
  <w:num w:numId="82">
    <w:abstractNumId w:val="53"/>
    <w:lvlOverride w:ilvl="0">
      <w:startOverride w:val="1"/>
    </w:lvlOverride>
  </w:num>
  <w:num w:numId="83">
    <w:abstractNumId w:val="53"/>
    <w:lvlOverride w:ilvl="0">
      <w:startOverride w:val="1"/>
    </w:lvlOverride>
  </w:num>
  <w:num w:numId="84">
    <w:abstractNumId w:val="53"/>
    <w:lvlOverride w:ilvl="0">
      <w:startOverride w:val="1"/>
    </w:lvlOverride>
  </w:num>
  <w:num w:numId="85">
    <w:abstractNumId w:val="53"/>
    <w:lvlOverride w:ilvl="0">
      <w:startOverride w:val="1"/>
    </w:lvlOverride>
  </w:num>
  <w:num w:numId="86">
    <w:abstractNumId w:val="53"/>
    <w:lvlOverride w:ilvl="0">
      <w:startOverride w:val="1"/>
    </w:lvlOverride>
  </w:num>
  <w:num w:numId="87">
    <w:abstractNumId w:val="53"/>
    <w:lvlOverride w:ilvl="0">
      <w:startOverride w:val="1"/>
    </w:lvlOverride>
  </w:num>
  <w:num w:numId="88">
    <w:abstractNumId w:val="53"/>
    <w:lvlOverride w:ilvl="0">
      <w:startOverride w:val="1"/>
    </w:lvlOverride>
  </w:num>
  <w:num w:numId="89">
    <w:abstractNumId w:val="53"/>
    <w:lvlOverride w:ilvl="0">
      <w:startOverride w:val="1"/>
    </w:lvlOverride>
  </w:num>
  <w:num w:numId="90">
    <w:abstractNumId w:val="53"/>
    <w:lvlOverride w:ilvl="0">
      <w:startOverride w:val="1"/>
    </w:lvlOverride>
  </w:num>
  <w:num w:numId="91">
    <w:abstractNumId w:val="53"/>
    <w:lvlOverride w:ilvl="0">
      <w:startOverride w:val="1"/>
    </w:lvlOverride>
  </w:num>
  <w:num w:numId="92">
    <w:abstractNumId w:val="53"/>
    <w:lvlOverride w:ilvl="0">
      <w:startOverride w:val="1"/>
    </w:lvlOverride>
  </w:num>
  <w:num w:numId="93">
    <w:abstractNumId w:val="53"/>
    <w:lvlOverride w:ilvl="0">
      <w:startOverride w:val="1"/>
    </w:lvlOverride>
  </w:num>
  <w:num w:numId="94">
    <w:abstractNumId w:val="53"/>
    <w:lvlOverride w:ilvl="0">
      <w:startOverride w:val="1"/>
    </w:lvlOverride>
  </w:num>
  <w:num w:numId="95">
    <w:abstractNumId w:val="53"/>
    <w:lvlOverride w:ilvl="0">
      <w:startOverride w:val="1"/>
    </w:lvlOverride>
  </w:num>
  <w:num w:numId="96">
    <w:abstractNumId w:val="53"/>
    <w:lvlOverride w:ilvl="0">
      <w:startOverride w:val="1"/>
    </w:lvlOverride>
  </w:num>
  <w:num w:numId="97">
    <w:abstractNumId w:val="53"/>
    <w:lvlOverride w:ilvl="0">
      <w:startOverride w:val="1"/>
    </w:lvlOverride>
  </w:num>
  <w:num w:numId="98">
    <w:abstractNumId w:val="53"/>
    <w:lvlOverride w:ilvl="0">
      <w:startOverride w:val="1"/>
    </w:lvlOverride>
  </w:num>
  <w:num w:numId="99">
    <w:abstractNumId w:val="53"/>
    <w:lvlOverride w:ilvl="0">
      <w:startOverride w:val="1"/>
    </w:lvlOverride>
  </w:num>
  <w:num w:numId="100">
    <w:abstractNumId w:val="53"/>
    <w:lvlOverride w:ilvl="0">
      <w:startOverride w:val="1"/>
    </w:lvlOverride>
  </w:num>
  <w:num w:numId="101">
    <w:abstractNumId w:val="53"/>
    <w:lvlOverride w:ilvl="0">
      <w:startOverride w:val="1"/>
    </w:lvlOverride>
  </w:num>
  <w:num w:numId="102">
    <w:abstractNumId w:val="53"/>
    <w:lvlOverride w:ilvl="0">
      <w:startOverride w:val="1"/>
    </w:lvlOverride>
  </w:num>
  <w:num w:numId="103">
    <w:abstractNumId w:val="53"/>
    <w:lvlOverride w:ilvl="0">
      <w:startOverride w:val="1"/>
    </w:lvlOverride>
  </w:num>
  <w:num w:numId="104">
    <w:abstractNumId w:val="53"/>
    <w:lvlOverride w:ilvl="0">
      <w:startOverride w:val="1"/>
    </w:lvlOverride>
  </w:num>
  <w:num w:numId="105">
    <w:abstractNumId w:val="53"/>
    <w:lvlOverride w:ilvl="0">
      <w:startOverride w:val="1"/>
    </w:lvlOverride>
  </w:num>
  <w:num w:numId="106">
    <w:abstractNumId w:val="94"/>
  </w:num>
  <w:num w:numId="107">
    <w:abstractNumId w:val="94"/>
    <w:lvlOverride w:ilvl="0">
      <w:startOverride w:val="1"/>
    </w:lvlOverride>
  </w:num>
  <w:num w:numId="108">
    <w:abstractNumId w:val="94"/>
    <w:lvlOverride w:ilvl="0">
      <w:startOverride w:val="1"/>
    </w:lvlOverride>
  </w:num>
  <w:num w:numId="109">
    <w:abstractNumId w:val="94"/>
    <w:lvlOverride w:ilvl="0">
      <w:startOverride w:val="1"/>
    </w:lvlOverride>
  </w:num>
  <w:num w:numId="110">
    <w:abstractNumId w:val="94"/>
    <w:lvlOverride w:ilvl="0">
      <w:startOverride w:val="1"/>
    </w:lvlOverride>
  </w:num>
  <w:num w:numId="111">
    <w:abstractNumId w:val="94"/>
    <w:lvlOverride w:ilvl="0">
      <w:startOverride w:val="1"/>
    </w:lvlOverride>
  </w:num>
  <w:num w:numId="112">
    <w:abstractNumId w:val="88"/>
  </w:num>
  <w:num w:numId="113">
    <w:abstractNumId w:val="97"/>
  </w:num>
  <w:num w:numId="114">
    <w:abstractNumId w:val="71"/>
  </w:num>
  <w:num w:numId="115">
    <w:abstractNumId w:val="101"/>
  </w:num>
  <w:num w:numId="1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5"/>
  </w:num>
  <w:num w:numId="118">
    <w:abstractNumId w:val="22"/>
  </w:num>
  <w:num w:numId="119">
    <w:abstractNumId w:val="86"/>
  </w:num>
  <w:num w:numId="120">
    <w:abstractNumId w:val="14"/>
  </w:num>
  <w:num w:numId="121">
    <w:abstractNumId w:val="51"/>
  </w:num>
  <w:num w:numId="122">
    <w:abstractNumId w:val="59"/>
  </w:num>
  <w:num w:numId="123">
    <w:abstractNumId w:val="54"/>
  </w:num>
  <w:num w:numId="124">
    <w:abstractNumId w:val="46"/>
  </w:num>
  <w:num w:numId="125">
    <w:abstractNumId w:val="83"/>
  </w:num>
  <w:num w:numId="126">
    <w:abstractNumId w:val="24"/>
  </w:num>
  <w:num w:numId="127">
    <w:abstractNumId w:val="56"/>
  </w:num>
  <w:num w:numId="128">
    <w:abstractNumId w:val="55"/>
  </w:num>
  <w:num w:numId="129">
    <w:abstractNumId w:val="55"/>
    <w:lvlOverride w:ilvl="0">
      <w:startOverride w:val="1"/>
    </w:lvlOverride>
  </w:num>
  <w:num w:numId="130">
    <w:abstractNumId w:val="12"/>
  </w:num>
  <w:num w:numId="131">
    <w:abstractNumId w:val="55"/>
    <w:lvlOverride w:ilvl="0">
      <w:startOverride w:val="1"/>
    </w:lvlOverride>
  </w:num>
  <w:num w:numId="132">
    <w:abstractNumId w:val="55"/>
    <w:lvlOverride w:ilvl="0">
      <w:startOverride w:val="1"/>
    </w:lvlOverride>
  </w:num>
  <w:num w:numId="133">
    <w:abstractNumId w:val="55"/>
    <w:lvlOverride w:ilvl="0">
      <w:startOverride w:val="1"/>
    </w:lvlOverride>
  </w:num>
  <w:num w:numId="134">
    <w:abstractNumId w:val="72"/>
  </w:num>
  <w:num w:numId="135">
    <w:abstractNumId w:val="107"/>
  </w:num>
  <w:num w:numId="136">
    <w:abstractNumId w:val="40"/>
  </w:num>
  <w:num w:numId="137">
    <w:abstractNumId w:val="52"/>
  </w:num>
  <w:num w:numId="138">
    <w:abstractNumId w:val="26"/>
  </w:num>
  <w:num w:numId="139">
    <w:abstractNumId w:val="66"/>
  </w:num>
  <w:num w:numId="140">
    <w:abstractNumId w:val="116"/>
  </w:num>
  <w:num w:numId="141">
    <w:abstractNumId w:val="39"/>
  </w:num>
  <w:num w:numId="142">
    <w:abstractNumId w:val="73"/>
  </w:num>
  <w:num w:numId="143">
    <w:abstractNumId w:val="53"/>
    <w:lvlOverride w:ilvl="0">
      <w:startOverride w:val="1"/>
    </w:lvlOverride>
  </w:num>
  <w:num w:numId="144">
    <w:abstractNumId w:val="113"/>
  </w:num>
  <w:num w:numId="145">
    <w:abstractNumId w:val="63"/>
  </w:num>
  <w:num w:numId="146">
    <w:abstractNumId w:val="17"/>
  </w:num>
  <w:num w:numId="147">
    <w:abstractNumId w:val="33"/>
  </w:num>
  <w:num w:numId="148">
    <w:abstractNumId w:val="105"/>
  </w:num>
  <w:num w:numId="149">
    <w:abstractNumId w:val="58"/>
  </w:num>
  <w:num w:numId="150">
    <w:abstractNumId w:val="115"/>
  </w:num>
  <w:num w:numId="151">
    <w:abstractNumId w:val="53"/>
    <w:lvlOverride w:ilvl="0">
      <w:startOverride w:val="1"/>
    </w:lvlOverride>
  </w:num>
  <w:num w:numId="152">
    <w:abstractNumId w:val="16"/>
  </w:num>
  <w:num w:numId="153">
    <w:abstractNumId w:val="7"/>
  </w:num>
  <w:num w:numId="154">
    <w:abstractNumId w:val="77"/>
  </w:num>
  <w:num w:numId="155">
    <w:abstractNumId w:val="36"/>
  </w:num>
  <w:num w:numId="156">
    <w:abstractNumId w:val="60"/>
  </w:num>
  <w:num w:numId="157">
    <w:abstractNumId w:val="78"/>
  </w:num>
  <w:num w:numId="158">
    <w:abstractNumId w:val="64"/>
  </w:num>
  <w:num w:numId="159">
    <w:abstractNumId w:val="31"/>
  </w:num>
  <w:num w:numId="160">
    <w:abstractNumId w:val="79"/>
  </w:num>
  <w:num w:numId="161">
    <w:abstractNumId w:val="34"/>
  </w:num>
  <w:num w:numId="162">
    <w:abstractNumId w:val="32"/>
  </w:num>
  <w:num w:numId="163">
    <w:abstractNumId w:val="5"/>
  </w:num>
  <w:num w:numId="164">
    <w:abstractNumId w:val="92"/>
  </w:num>
  <w:num w:numId="165">
    <w:abstractNumId w:val="28"/>
  </w:num>
  <w:num w:numId="166">
    <w:abstractNumId w:val="74"/>
  </w:num>
  <w:num w:numId="167">
    <w:abstractNumId w:val="35"/>
  </w:num>
  <w:num w:numId="168">
    <w:abstractNumId w:val="38"/>
  </w:num>
  <w:num w:numId="169">
    <w:abstractNumId w:val="6"/>
  </w:num>
  <w:num w:numId="170">
    <w:abstractNumId w:val="89"/>
  </w:num>
  <w:num w:numId="171">
    <w:abstractNumId w:val="25"/>
  </w:num>
  <w:num w:numId="172">
    <w:abstractNumId w:val="111"/>
  </w:num>
  <w:num w:numId="173">
    <w:abstractNumId w:val="61"/>
  </w:num>
  <w:num w:numId="174">
    <w:abstractNumId w:val="44"/>
  </w:num>
  <w:num w:numId="175">
    <w:abstractNumId w:val="81"/>
  </w:num>
  <w:num w:numId="176">
    <w:abstractNumId w:val="57"/>
  </w:num>
  <w:num w:numId="177">
    <w:abstractNumId w:val="98"/>
  </w:num>
  <w:num w:numId="178">
    <w:abstractNumId w:val="21"/>
  </w:num>
  <w:num w:numId="179">
    <w:abstractNumId w:val="102"/>
  </w:num>
  <w:num w:numId="180">
    <w:abstractNumId w:val="48"/>
  </w:num>
  <w:num w:numId="181">
    <w:abstractNumId w:val="99"/>
  </w:num>
  <w:num w:numId="182">
    <w:abstractNumId w:val="20"/>
  </w:num>
  <w:num w:numId="183">
    <w:abstractNumId w:val="47"/>
  </w:num>
  <w:num w:numId="184">
    <w:abstractNumId w:val="42"/>
  </w:num>
  <w:num w:numId="185">
    <w:abstractNumId w:val="85"/>
  </w:num>
  <w:num w:numId="186">
    <w:abstractNumId w:val="68"/>
  </w:num>
  <w:num w:numId="187">
    <w:abstractNumId w:val="117"/>
  </w:num>
  <w:num w:numId="188">
    <w:abstractNumId w:val="11"/>
  </w:num>
  <w:num w:numId="189">
    <w:abstractNumId w:val="87"/>
  </w:num>
  <w:num w:numId="190">
    <w:abstractNumId w:val="76"/>
  </w:num>
  <w:num w:numId="191">
    <w:abstractNumId w:val="30"/>
  </w:num>
  <w:num w:numId="192">
    <w:abstractNumId w:val="82"/>
  </w:num>
  <w:num w:numId="193">
    <w:abstractNumId w:val="41"/>
  </w:num>
  <w:num w:numId="194">
    <w:abstractNumId w:val="43"/>
  </w:num>
  <w:num w:numId="195">
    <w:abstractNumId w:val="1"/>
  </w:num>
  <w:num w:numId="196">
    <w:abstractNumId w:val="69"/>
  </w:num>
  <w:num w:numId="197">
    <w:abstractNumId w:val="84"/>
  </w:num>
  <w:num w:numId="198">
    <w:abstractNumId w:val="112"/>
  </w:num>
  <w:num w:numId="199">
    <w:abstractNumId w:val="90"/>
  </w:num>
  <w:num w:numId="200">
    <w:abstractNumId w:val="23"/>
  </w:num>
  <w:num w:numId="201">
    <w:abstractNumId w:val="109"/>
  </w:num>
  <w:num w:numId="202">
    <w:abstractNumId w:val="100"/>
  </w:num>
  <w:num w:numId="203">
    <w:abstractNumId w:val="10"/>
  </w:num>
  <w:num w:numId="204">
    <w:abstractNumId w:val="80"/>
  </w:num>
  <w:num w:numId="205">
    <w:abstractNumId w:val="9"/>
  </w:num>
  <w:num w:numId="206">
    <w:abstractNumId w:val="96"/>
  </w:num>
  <w:num w:numId="207">
    <w:abstractNumId w:val="110"/>
  </w:num>
  <w:num w:numId="208">
    <w:abstractNumId w:val="70"/>
  </w:num>
  <w:num w:numId="209">
    <w:abstractNumId w:val="93"/>
  </w:num>
  <w:num w:numId="210">
    <w:abstractNumId w:val="2"/>
  </w:num>
  <w:num w:numId="211">
    <w:abstractNumId w:val="3"/>
  </w:num>
  <w:num w:numId="212">
    <w:abstractNumId w:val="49"/>
  </w:num>
  <w:num w:numId="213">
    <w:abstractNumId w:val="37"/>
  </w:num>
  <w:num w:numId="214">
    <w:abstractNumId w:val="18"/>
  </w:num>
  <w:num w:numId="215">
    <w:abstractNumId w:val="65"/>
  </w:num>
  <w:num w:numId="216">
    <w:abstractNumId w:val="19"/>
  </w:num>
  <w:num w:numId="217">
    <w:abstractNumId w:val="0"/>
  </w:num>
  <w:num w:numId="218">
    <w:abstractNumId w:val="50"/>
  </w:num>
  <w:num w:numId="219">
    <w:abstractNumId w:val="53"/>
    <w:lvlOverride w:ilvl="0">
      <w:startOverride w:val="1"/>
    </w:lvlOverride>
  </w:num>
  <w:num w:numId="220">
    <w:abstractNumId w:val="53"/>
    <w:lvlOverride w:ilvl="0">
      <w:startOverride w:val="1"/>
    </w:lvlOverride>
  </w:num>
  <w:num w:numId="221">
    <w:abstractNumId w:val="53"/>
    <w:lvlOverride w:ilvl="0">
      <w:startOverride w:val="1"/>
    </w:lvlOverride>
  </w:num>
  <w:num w:numId="222">
    <w:abstractNumId w:val="53"/>
    <w:lvlOverride w:ilvl="0">
      <w:startOverride w:val="1"/>
    </w:lvlOverride>
  </w:num>
  <w:num w:numId="223">
    <w:abstractNumId w:val="53"/>
    <w:lvlOverride w:ilvl="0">
      <w:startOverride w:val="1"/>
    </w:lvlOverride>
  </w:num>
  <w:num w:numId="224">
    <w:abstractNumId w:val="53"/>
    <w:lvlOverride w:ilvl="0">
      <w:startOverride w:val="1"/>
    </w:lvlOverride>
  </w:num>
  <w:num w:numId="225">
    <w:abstractNumId w:val="53"/>
    <w:lvlOverride w:ilvl="0">
      <w:startOverride w:val="1"/>
    </w:lvlOverride>
  </w:num>
  <w:num w:numId="226">
    <w:abstractNumId w:val="53"/>
    <w:lvlOverride w:ilvl="0">
      <w:startOverride w:val="1"/>
    </w:lvlOverride>
  </w:num>
  <w:num w:numId="227">
    <w:abstractNumId w:val="53"/>
    <w:lvlOverride w:ilvl="0">
      <w:startOverride w:val="1"/>
    </w:lvlOverride>
  </w:num>
  <w:num w:numId="228">
    <w:abstractNumId w:val="53"/>
    <w:lvlOverride w:ilvl="0">
      <w:startOverride w:val="1"/>
    </w:lvlOverride>
  </w:num>
  <w:num w:numId="229">
    <w:abstractNumId w:val="53"/>
    <w:lvlOverride w:ilvl="0">
      <w:startOverride w:val="1"/>
    </w:lvlOverride>
  </w:num>
  <w:num w:numId="230">
    <w:abstractNumId w:val="53"/>
    <w:lvlOverride w:ilvl="0">
      <w:startOverride w:val="1"/>
    </w:lvlOverride>
  </w:num>
  <w:num w:numId="231">
    <w:abstractNumId w:val="53"/>
    <w:lvlOverride w:ilvl="0">
      <w:startOverride w:val="1"/>
    </w:lvlOverride>
  </w:num>
  <w:num w:numId="232">
    <w:abstractNumId w:val="53"/>
    <w:lvlOverride w:ilvl="0">
      <w:startOverride w:val="1"/>
    </w:lvlOverride>
  </w:num>
  <w:num w:numId="233">
    <w:abstractNumId w:val="53"/>
    <w:lvlOverride w:ilvl="0">
      <w:startOverride w:val="1"/>
    </w:lvlOverride>
  </w:num>
  <w:num w:numId="234">
    <w:abstractNumId w:val="53"/>
    <w:lvlOverride w:ilvl="0">
      <w:startOverride w:val="1"/>
    </w:lvlOverride>
  </w:num>
  <w:num w:numId="235">
    <w:abstractNumId w:val="53"/>
    <w:lvlOverride w:ilvl="0">
      <w:startOverride w:val="1"/>
    </w:lvlOverride>
  </w:num>
  <w:num w:numId="236">
    <w:abstractNumId w:val="53"/>
    <w:lvlOverride w:ilvl="0">
      <w:startOverride w:val="1"/>
    </w:lvlOverride>
  </w:num>
  <w:num w:numId="237">
    <w:abstractNumId w:val="53"/>
    <w:lvlOverride w:ilvl="0">
      <w:startOverride w:val="1"/>
    </w:lvlOverride>
  </w:num>
  <w:num w:numId="238">
    <w:abstractNumId w:val="53"/>
    <w:lvlOverride w:ilvl="0">
      <w:startOverride w:val="1"/>
    </w:lvlOverride>
  </w:num>
  <w:num w:numId="239">
    <w:abstractNumId w:val="53"/>
    <w:lvlOverride w:ilvl="0">
      <w:startOverride w:val="1"/>
    </w:lvlOverride>
  </w:num>
  <w:num w:numId="240">
    <w:abstractNumId w:val="53"/>
    <w:lvlOverride w:ilvl="0">
      <w:startOverride w:val="1"/>
    </w:lvlOverride>
  </w:num>
  <w:num w:numId="241">
    <w:abstractNumId w:val="53"/>
    <w:lvlOverride w:ilvl="0">
      <w:startOverride w:val="1"/>
    </w:lvlOverride>
  </w:num>
  <w:num w:numId="242">
    <w:abstractNumId w:val="53"/>
    <w:lvlOverride w:ilvl="0">
      <w:startOverride w:val="1"/>
    </w:lvlOverride>
  </w:num>
  <w:num w:numId="243">
    <w:abstractNumId w:val="53"/>
    <w:lvlOverride w:ilvl="0">
      <w:startOverride w:val="1"/>
    </w:lvlOverride>
  </w:num>
  <w:num w:numId="244">
    <w:abstractNumId w:val="53"/>
    <w:lvlOverride w:ilvl="0">
      <w:startOverride w:val="1"/>
    </w:lvlOverride>
  </w:num>
  <w:num w:numId="245">
    <w:abstractNumId w:val="53"/>
    <w:lvlOverride w:ilvl="0">
      <w:startOverride w:val="1"/>
    </w:lvlOverride>
  </w:num>
  <w:num w:numId="246">
    <w:abstractNumId w:val="53"/>
    <w:lvlOverride w:ilvl="0">
      <w:startOverride w:val="1"/>
    </w:lvlOverride>
  </w:num>
  <w:num w:numId="247">
    <w:abstractNumId w:val="53"/>
    <w:lvlOverride w:ilvl="0">
      <w:startOverride w:val="1"/>
    </w:lvlOverride>
  </w:num>
  <w:num w:numId="248">
    <w:abstractNumId w:val="53"/>
    <w:lvlOverride w:ilvl="0">
      <w:startOverride w:val="1"/>
    </w:lvlOverride>
  </w:num>
  <w:num w:numId="249">
    <w:abstractNumId w:val="53"/>
    <w:lvlOverride w:ilvl="0">
      <w:startOverride w:val="1"/>
    </w:lvlOverride>
  </w:num>
  <w:num w:numId="250">
    <w:abstractNumId w:val="53"/>
    <w:lvlOverride w:ilvl="0">
      <w:startOverride w:val="1"/>
    </w:lvlOverride>
  </w:num>
  <w:num w:numId="251">
    <w:abstractNumId w:val="53"/>
    <w:lvlOverride w:ilvl="0">
      <w:startOverride w:val="1"/>
    </w:lvlOverride>
  </w:num>
  <w:num w:numId="252">
    <w:abstractNumId w:val="53"/>
    <w:lvlOverride w:ilvl="0">
      <w:startOverride w:val="1"/>
    </w:lvlOverride>
  </w:num>
  <w:num w:numId="253">
    <w:abstractNumId w:val="53"/>
    <w:lvlOverride w:ilvl="0">
      <w:startOverride w:val="1"/>
    </w:lvlOverride>
  </w:num>
  <w:num w:numId="254">
    <w:abstractNumId w:val="53"/>
    <w:lvlOverride w:ilvl="0">
      <w:startOverride w:val="1"/>
    </w:lvlOverride>
  </w:num>
  <w:num w:numId="255">
    <w:abstractNumId w:val="53"/>
    <w:lvlOverride w:ilvl="0">
      <w:startOverride w:val="1"/>
    </w:lvlOverride>
  </w:num>
  <w:num w:numId="256">
    <w:abstractNumId w:val="53"/>
    <w:lvlOverride w:ilvl="0">
      <w:startOverride w:val="1"/>
    </w:lvlOverride>
  </w:num>
  <w:num w:numId="257">
    <w:abstractNumId w:val="53"/>
    <w:lvlOverride w:ilvl="0">
      <w:startOverride w:val="1"/>
    </w:lvlOverride>
  </w:num>
  <w:num w:numId="258">
    <w:abstractNumId w:val="53"/>
    <w:lvlOverride w:ilvl="0">
      <w:startOverride w:val="1"/>
    </w:lvlOverride>
  </w:num>
  <w:num w:numId="259">
    <w:abstractNumId w:val="53"/>
    <w:lvlOverride w:ilvl="0">
      <w:startOverride w:val="1"/>
    </w:lvlOverride>
  </w:num>
  <w:num w:numId="260">
    <w:abstractNumId w:val="53"/>
    <w:lvlOverride w:ilvl="0">
      <w:startOverride w:val="1"/>
    </w:lvlOverride>
  </w:num>
  <w:num w:numId="261">
    <w:abstractNumId w:val="53"/>
    <w:lvlOverride w:ilvl="0">
      <w:startOverride w:val="1"/>
    </w:lvlOverride>
  </w:num>
  <w:num w:numId="262">
    <w:abstractNumId w:val="53"/>
    <w:lvlOverride w:ilvl="0">
      <w:startOverride w:val="1"/>
    </w:lvlOverride>
  </w:num>
  <w:num w:numId="263">
    <w:abstractNumId w:val="53"/>
    <w:lvlOverride w:ilvl="0">
      <w:startOverride w:val="1"/>
    </w:lvlOverride>
  </w:num>
  <w:num w:numId="264">
    <w:abstractNumId w:val="53"/>
    <w:lvlOverride w:ilvl="0">
      <w:startOverride w:val="1"/>
    </w:lvlOverride>
  </w:num>
  <w:num w:numId="265">
    <w:abstractNumId w:val="53"/>
    <w:lvlOverride w:ilvl="0">
      <w:startOverride w:val="1"/>
    </w:lvlOverride>
  </w:num>
  <w:num w:numId="266">
    <w:abstractNumId w:val="53"/>
    <w:lvlOverride w:ilvl="0">
      <w:startOverride w:val="1"/>
    </w:lvlOverride>
  </w:num>
  <w:num w:numId="267">
    <w:abstractNumId w:val="53"/>
    <w:lvlOverride w:ilvl="0">
      <w:startOverride w:val="1"/>
    </w:lvlOverride>
  </w:num>
  <w:num w:numId="268">
    <w:abstractNumId w:val="53"/>
    <w:lvlOverride w:ilvl="0">
      <w:startOverride w:val="1"/>
    </w:lvlOverride>
  </w:num>
  <w:num w:numId="269">
    <w:abstractNumId w:val="53"/>
    <w:lvlOverride w:ilvl="0">
      <w:startOverride w:val="1"/>
    </w:lvlOverride>
  </w:num>
  <w:num w:numId="270">
    <w:abstractNumId w:val="53"/>
    <w:lvlOverride w:ilvl="0">
      <w:startOverride w:val="1"/>
    </w:lvlOverride>
  </w:num>
  <w:num w:numId="271">
    <w:abstractNumId w:val="53"/>
    <w:lvlOverride w:ilvl="0">
      <w:startOverride w:val="1"/>
    </w:lvlOverride>
  </w:num>
  <w:num w:numId="272">
    <w:abstractNumId w:val="53"/>
    <w:lvlOverride w:ilvl="0">
      <w:startOverride w:val="1"/>
    </w:lvlOverride>
  </w:num>
  <w:num w:numId="273">
    <w:abstractNumId w:val="53"/>
    <w:lvlOverride w:ilvl="0">
      <w:startOverride w:val="1"/>
    </w:lvlOverride>
  </w:num>
  <w:num w:numId="274">
    <w:abstractNumId w:val="53"/>
    <w:lvlOverride w:ilvl="0">
      <w:startOverride w:val="1"/>
    </w:lvlOverride>
  </w:num>
  <w:num w:numId="275">
    <w:abstractNumId w:val="53"/>
    <w:lvlOverride w:ilvl="0">
      <w:startOverride w:val="1"/>
    </w:lvlOverride>
  </w:num>
  <w:num w:numId="276">
    <w:abstractNumId w:val="53"/>
    <w:lvlOverride w:ilvl="0">
      <w:startOverride w:val="1"/>
    </w:lvlOverride>
  </w:num>
  <w:num w:numId="277">
    <w:abstractNumId w:val="53"/>
    <w:lvlOverride w:ilvl="0">
      <w:startOverride w:val="1"/>
    </w:lvlOverride>
  </w:num>
  <w:num w:numId="278">
    <w:abstractNumId w:val="53"/>
    <w:lvlOverride w:ilvl="0">
      <w:startOverride w:val="1"/>
    </w:lvlOverride>
  </w:num>
  <w:num w:numId="279">
    <w:abstractNumId w:val="53"/>
    <w:lvlOverride w:ilvl="0">
      <w:startOverride w:val="1"/>
    </w:lvlOverride>
  </w:num>
  <w:num w:numId="280">
    <w:abstractNumId w:val="53"/>
    <w:lvlOverride w:ilvl="0">
      <w:startOverride w:val="1"/>
    </w:lvlOverride>
  </w:num>
  <w:num w:numId="281">
    <w:abstractNumId w:val="53"/>
    <w:lvlOverride w:ilvl="0">
      <w:startOverride w:val="1"/>
    </w:lvlOverride>
  </w:num>
  <w:num w:numId="282">
    <w:abstractNumId w:val="53"/>
    <w:lvlOverride w:ilvl="0">
      <w:startOverride w:val="1"/>
    </w:lvlOverride>
  </w:num>
  <w:num w:numId="283">
    <w:abstractNumId w:val="53"/>
    <w:lvlOverride w:ilvl="0">
      <w:startOverride w:val="1"/>
    </w:lvlOverride>
  </w:num>
  <w:num w:numId="284">
    <w:abstractNumId w:val="53"/>
    <w:lvlOverride w:ilvl="0">
      <w:startOverride w:val="1"/>
    </w:lvlOverride>
  </w:num>
  <w:num w:numId="285">
    <w:abstractNumId w:val="53"/>
    <w:lvlOverride w:ilvl="0">
      <w:startOverride w:val="1"/>
    </w:lvlOverride>
  </w:num>
  <w:num w:numId="286">
    <w:abstractNumId w:val="53"/>
    <w:lvlOverride w:ilvl="0">
      <w:startOverride w:val="1"/>
    </w:lvlOverride>
  </w:num>
  <w:num w:numId="287">
    <w:abstractNumId w:val="53"/>
    <w:lvlOverride w:ilvl="0">
      <w:startOverride w:val="1"/>
    </w:lvlOverride>
  </w:num>
  <w:num w:numId="288">
    <w:abstractNumId w:val="53"/>
    <w:lvlOverride w:ilvl="0">
      <w:startOverride w:val="1"/>
    </w:lvlOverride>
  </w:num>
  <w:num w:numId="289">
    <w:abstractNumId w:val="53"/>
    <w:lvlOverride w:ilvl="0">
      <w:startOverride w:val="1"/>
    </w:lvlOverride>
  </w:num>
  <w:num w:numId="290">
    <w:abstractNumId w:val="53"/>
    <w:lvlOverride w:ilvl="0">
      <w:startOverride w:val="1"/>
    </w:lvlOverride>
  </w:num>
  <w:num w:numId="291">
    <w:abstractNumId w:val="53"/>
    <w:lvlOverride w:ilvl="0">
      <w:startOverride w:val="1"/>
    </w:lvlOverride>
  </w:num>
  <w:num w:numId="292">
    <w:abstractNumId w:val="53"/>
    <w:lvlOverride w:ilvl="0">
      <w:startOverride w:val="1"/>
    </w:lvlOverride>
  </w:num>
  <w:num w:numId="293">
    <w:abstractNumId w:val="53"/>
    <w:lvlOverride w:ilvl="0">
      <w:startOverride w:val="1"/>
    </w:lvlOverride>
  </w:num>
  <w:num w:numId="294">
    <w:abstractNumId w:val="53"/>
    <w:lvlOverride w:ilvl="0">
      <w:startOverride w:val="1"/>
    </w:lvlOverride>
  </w:num>
  <w:num w:numId="295">
    <w:abstractNumId w:val="53"/>
    <w:lvlOverride w:ilvl="0">
      <w:startOverride w:val="1"/>
    </w:lvlOverride>
  </w:num>
  <w:num w:numId="296">
    <w:abstractNumId w:val="53"/>
    <w:lvlOverride w:ilvl="0">
      <w:startOverride w:val="1"/>
    </w:lvlOverride>
  </w:num>
  <w:num w:numId="297">
    <w:abstractNumId w:val="53"/>
    <w:lvlOverride w:ilvl="0">
      <w:startOverride w:val="1"/>
    </w:lvlOverride>
  </w:num>
  <w:num w:numId="298">
    <w:abstractNumId w:val="53"/>
    <w:lvlOverride w:ilvl="0">
      <w:startOverride w:val="1"/>
    </w:lvlOverride>
  </w:num>
  <w:num w:numId="299">
    <w:abstractNumId w:val="53"/>
    <w:lvlOverride w:ilvl="0">
      <w:startOverride w:val="1"/>
    </w:lvlOverride>
  </w:num>
  <w:num w:numId="300">
    <w:abstractNumId w:val="53"/>
    <w:lvlOverride w:ilvl="0">
      <w:startOverride w:val="1"/>
    </w:lvlOverride>
  </w:num>
  <w:num w:numId="301">
    <w:abstractNumId w:val="53"/>
    <w:lvlOverride w:ilvl="0">
      <w:startOverride w:val="1"/>
    </w:lvlOverride>
  </w:num>
  <w:num w:numId="302">
    <w:abstractNumId w:val="53"/>
    <w:lvlOverride w:ilvl="0">
      <w:startOverride w:val="1"/>
    </w:lvlOverride>
  </w:num>
  <w:num w:numId="303">
    <w:abstractNumId w:val="53"/>
    <w:lvlOverride w:ilvl="0">
      <w:startOverride w:val="1"/>
    </w:lvlOverride>
  </w:num>
  <w:num w:numId="304">
    <w:abstractNumId w:val="53"/>
    <w:lvlOverride w:ilvl="0">
      <w:startOverride w:val="1"/>
    </w:lvlOverride>
  </w:num>
  <w:num w:numId="305">
    <w:abstractNumId w:val="53"/>
    <w:lvlOverride w:ilvl="0">
      <w:startOverride w:val="1"/>
    </w:lvlOverride>
  </w:num>
  <w:num w:numId="306">
    <w:abstractNumId w:val="53"/>
    <w:lvlOverride w:ilvl="0">
      <w:startOverride w:val="1"/>
    </w:lvlOverride>
  </w:num>
  <w:num w:numId="307">
    <w:abstractNumId w:val="53"/>
    <w:lvlOverride w:ilvl="0">
      <w:startOverride w:val="1"/>
    </w:lvlOverride>
  </w:num>
  <w:num w:numId="308">
    <w:abstractNumId w:val="53"/>
    <w:lvlOverride w:ilvl="0">
      <w:startOverride w:val="1"/>
    </w:lvlOverride>
  </w:num>
  <w:num w:numId="309">
    <w:abstractNumId w:val="53"/>
    <w:lvlOverride w:ilvl="0">
      <w:startOverride w:val="1"/>
    </w:lvlOverride>
  </w:num>
  <w:num w:numId="310">
    <w:abstractNumId w:val="53"/>
    <w:lvlOverride w:ilvl="0">
      <w:startOverride w:val="1"/>
    </w:lvlOverride>
  </w:num>
  <w:num w:numId="311">
    <w:abstractNumId w:val="53"/>
    <w:lvlOverride w:ilvl="0">
      <w:startOverride w:val="1"/>
    </w:lvlOverride>
  </w:num>
  <w:num w:numId="312">
    <w:abstractNumId w:val="53"/>
    <w:lvlOverride w:ilvl="0">
      <w:startOverride w:val="1"/>
    </w:lvlOverride>
  </w:num>
  <w:num w:numId="313">
    <w:abstractNumId w:val="53"/>
    <w:lvlOverride w:ilvl="0">
      <w:startOverride w:val="1"/>
    </w:lvlOverride>
  </w:num>
  <w:num w:numId="314">
    <w:abstractNumId w:val="53"/>
    <w:lvlOverride w:ilvl="0">
      <w:startOverride w:val="1"/>
    </w:lvlOverride>
  </w:num>
  <w:num w:numId="315">
    <w:abstractNumId w:val="53"/>
    <w:lvlOverride w:ilvl="0">
      <w:startOverride w:val="1"/>
    </w:lvlOverride>
  </w:num>
  <w:num w:numId="316">
    <w:abstractNumId w:val="53"/>
    <w:lvlOverride w:ilvl="0">
      <w:startOverride w:val="1"/>
    </w:lvlOverride>
  </w:num>
  <w:num w:numId="317">
    <w:abstractNumId w:val="53"/>
    <w:lvlOverride w:ilvl="0">
      <w:startOverride w:val="1"/>
    </w:lvlOverride>
  </w:num>
  <w:num w:numId="318">
    <w:abstractNumId w:val="53"/>
    <w:lvlOverride w:ilvl="0">
      <w:startOverride w:val="1"/>
    </w:lvlOverride>
  </w:num>
  <w:num w:numId="319">
    <w:abstractNumId w:val="53"/>
    <w:lvlOverride w:ilvl="0">
      <w:startOverride w:val="1"/>
    </w:lvlOverride>
  </w:num>
  <w:num w:numId="320">
    <w:abstractNumId w:val="53"/>
    <w:lvlOverride w:ilvl="0">
      <w:startOverride w:val="1"/>
    </w:lvlOverride>
  </w:num>
  <w:num w:numId="321">
    <w:abstractNumId w:val="53"/>
    <w:lvlOverride w:ilvl="0">
      <w:startOverride w:val="1"/>
    </w:lvlOverride>
  </w:num>
  <w:num w:numId="322">
    <w:abstractNumId w:val="53"/>
    <w:lvlOverride w:ilvl="0">
      <w:startOverride w:val="1"/>
    </w:lvlOverride>
  </w:num>
  <w:num w:numId="323">
    <w:abstractNumId w:val="53"/>
    <w:lvlOverride w:ilvl="0">
      <w:startOverride w:val="1"/>
    </w:lvlOverride>
  </w:num>
  <w:num w:numId="324">
    <w:abstractNumId w:val="53"/>
    <w:lvlOverride w:ilvl="0">
      <w:startOverride w:val="1"/>
    </w:lvlOverride>
  </w:num>
  <w:num w:numId="325">
    <w:abstractNumId w:val="53"/>
    <w:lvlOverride w:ilvl="0">
      <w:startOverride w:val="1"/>
    </w:lvlOverride>
  </w:num>
  <w:num w:numId="326">
    <w:abstractNumId w:val="53"/>
    <w:lvlOverride w:ilvl="0">
      <w:startOverride w:val="1"/>
    </w:lvlOverride>
  </w:num>
  <w:num w:numId="327">
    <w:abstractNumId w:val="53"/>
    <w:lvlOverride w:ilvl="0">
      <w:startOverride w:val="1"/>
    </w:lvlOverride>
  </w:num>
  <w:num w:numId="328">
    <w:abstractNumId w:val="53"/>
    <w:lvlOverride w:ilvl="0">
      <w:startOverride w:val="1"/>
    </w:lvlOverride>
  </w:num>
  <w:num w:numId="329">
    <w:abstractNumId w:val="53"/>
    <w:lvlOverride w:ilvl="0">
      <w:startOverride w:val="1"/>
    </w:lvlOverride>
  </w:num>
  <w:num w:numId="330">
    <w:abstractNumId w:val="53"/>
    <w:lvlOverride w:ilvl="0">
      <w:startOverride w:val="1"/>
    </w:lvlOverride>
  </w:num>
  <w:num w:numId="331">
    <w:abstractNumId w:val="53"/>
    <w:lvlOverride w:ilvl="0">
      <w:startOverride w:val="1"/>
    </w:lvlOverride>
  </w:num>
  <w:num w:numId="332">
    <w:abstractNumId w:val="53"/>
    <w:lvlOverride w:ilvl="0">
      <w:startOverride w:val="1"/>
    </w:lvlOverride>
  </w:num>
  <w:num w:numId="333">
    <w:abstractNumId w:val="53"/>
    <w:lvlOverride w:ilvl="0">
      <w:startOverride w:val="1"/>
    </w:lvlOverride>
  </w:num>
  <w:num w:numId="334">
    <w:abstractNumId w:val="53"/>
    <w:lvlOverride w:ilvl="0">
      <w:startOverride w:val="1"/>
    </w:lvlOverride>
  </w:num>
  <w:num w:numId="335">
    <w:abstractNumId w:val="53"/>
    <w:lvlOverride w:ilvl="0">
      <w:startOverride w:val="1"/>
    </w:lvlOverride>
  </w:num>
  <w:num w:numId="336">
    <w:abstractNumId w:val="53"/>
    <w:lvlOverride w:ilvl="0">
      <w:startOverride w:val="1"/>
    </w:lvlOverride>
  </w:num>
  <w:num w:numId="337">
    <w:abstractNumId w:val="53"/>
    <w:lvlOverride w:ilvl="0">
      <w:startOverride w:val="1"/>
    </w:lvlOverride>
  </w:num>
  <w:num w:numId="338">
    <w:abstractNumId w:val="53"/>
    <w:lvlOverride w:ilvl="0">
      <w:startOverride w:val="1"/>
    </w:lvlOverride>
  </w:num>
  <w:num w:numId="339">
    <w:abstractNumId w:val="53"/>
    <w:lvlOverride w:ilvl="0">
      <w:startOverride w:val="1"/>
    </w:lvlOverride>
  </w:num>
  <w:num w:numId="340">
    <w:abstractNumId w:val="53"/>
    <w:lvlOverride w:ilvl="0">
      <w:startOverride w:val="1"/>
    </w:lvlOverride>
  </w:num>
  <w:num w:numId="341">
    <w:abstractNumId w:val="53"/>
    <w:lvlOverride w:ilvl="0">
      <w:startOverride w:val="1"/>
    </w:lvlOverride>
  </w:num>
  <w:num w:numId="342">
    <w:abstractNumId w:val="53"/>
    <w:lvlOverride w:ilvl="0">
      <w:startOverride w:val="1"/>
    </w:lvlOverride>
  </w:num>
  <w:num w:numId="343">
    <w:abstractNumId w:val="53"/>
    <w:lvlOverride w:ilvl="0">
      <w:startOverride w:val="1"/>
    </w:lvlOverride>
  </w:num>
  <w:num w:numId="344">
    <w:abstractNumId w:val="53"/>
    <w:lvlOverride w:ilvl="0">
      <w:startOverride w:val="1"/>
    </w:lvlOverride>
  </w:num>
  <w:num w:numId="345">
    <w:abstractNumId w:val="53"/>
    <w:lvlOverride w:ilvl="0">
      <w:startOverride w:val="1"/>
    </w:lvlOverride>
  </w:num>
  <w:num w:numId="346">
    <w:abstractNumId w:val="53"/>
    <w:lvlOverride w:ilvl="0">
      <w:startOverride w:val="1"/>
    </w:lvlOverride>
  </w:num>
  <w:num w:numId="347">
    <w:abstractNumId w:val="53"/>
    <w:lvlOverride w:ilvl="0">
      <w:startOverride w:val="1"/>
    </w:lvlOverride>
  </w:num>
  <w:num w:numId="348">
    <w:abstractNumId w:val="53"/>
    <w:lvlOverride w:ilvl="0">
      <w:startOverride w:val="1"/>
    </w:lvlOverride>
  </w:num>
  <w:num w:numId="349">
    <w:abstractNumId w:val="53"/>
    <w:lvlOverride w:ilvl="0">
      <w:startOverride w:val="1"/>
    </w:lvlOverride>
  </w:num>
  <w:num w:numId="350">
    <w:abstractNumId w:val="53"/>
    <w:lvlOverride w:ilvl="0">
      <w:startOverride w:val="1"/>
    </w:lvlOverride>
  </w:num>
  <w:num w:numId="351">
    <w:abstractNumId w:val="53"/>
    <w:lvlOverride w:ilvl="0">
      <w:startOverride w:val="1"/>
    </w:lvlOverride>
  </w:num>
  <w:num w:numId="352">
    <w:abstractNumId w:val="53"/>
    <w:lvlOverride w:ilvl="0">
      <w:startOverride w:val="1"/>
    </w:lvlOverride>
  </w:num>
  <w:num w:numId="353">
    <w:abstractNumId w:val="53"/>
    <w:lvlOverride w:ilvl="0">
      <w:startOverride w:val="1"/>
    </w:lvlOverride>
  </w:num>
  <w:num w:numId="354">
    <w:abstractNumId w:val="53"/>
    <w:lvlOverride w:ilvl="0">
      <w:startOverride w:val="1"/>
    </w:lvlOverride>
  </w:num>
  <w:num w:numId="355">
    <w:abstractNumId w:val="53"/>
    <w:lvlOverride w:ilvl="0">
      <w:startOverride w:val="1"/>
    </w:lvlOverride>
  </w:num>
  <w:num w:numId="356">
    <w:abstractNumId w:val="53"/>
    <w:lvlOverride w:ilvl="0">
      <w:startOverride w:val="1"/>
    </w:lvlOverride>
  </w:num>
  <w:num w:numId="357">
    <w:abstractNumId w:val="53"/>
    <w:lvlOverride w:ilvl="0">
      <w:startOverride w:val="1"/>
    </w:lvlOverride>
  </w:num>
  <w:num w:numId="358">
    <w:abstractNumId w:val="53"/>
    <w:lvlOverride w:ilvl="0">
      <w:startOverride w:val="1"/>
    </w:lvlOverride>
  </w:num>
  <w:num w:numId="359">
    <w:abstractNumId w:val="53"/>
    <w:lvlOverride w:ilvl="0">
      <w:startOverride w:val="1"/>
    </w:lvlOverride>
  </w:num>
  <w:num w:numId="360">
    <w:abstractNumId w:val="53"/>
    <w:lvlOverride w:ilvl="0">
      <w:startOverride w:val="1"/>
    </w:lvlOverride>
  </w:num>
  <w:num w:numId="361">
    <w:abstractNumId w:val="53"/>
    <w:lvlOverride w:ilvl="0">
      <w:startOverride w:val="1"/>
    </w:lvlOverride>
  </w:num>
  <w:num w:numId="362">
    <w:abstractNumId w:val="53"/>
    <w:lvlOverride w:ilvl="0">
      <w:startOverride w:val="1"/>
    </w:lvlOverride>
  </w:num>
  <w:num w:numId="363">
    <w:abstractNumId w:val="53"/>
    <w:lvlOverride w:ilvl="0">
      <w:startOverride w:val="1"/>
    </w:lvlOverride>
  </w:num>
  <w:num w:numId="364">
    <w:abstractNumId w:val="53"/>
    <w:lvlOverride w:ilvl="0">
      <w:startOverride w:val="1"/>
    </w:lvlOverride>
  </w:num>
  <w:num w:numId="365">
    <w:abstractNumId w:val="53"/>
    <w:lvlOverride w:ilvl="0">
      <w:startOverride w:val="1"/>
    </w:lvlOverride>
  </w:num>
  <w:num w:numId="366">
    <w:abstractNumId w:val="53"/>
    <w:lvlOverride w:ilvl="0">
      <w:startOverride w:val="1"/>
    </w:lvlOverride>
  </w:num>
  <w:num w:numId="367">
    <w:abstractNumId w:val="53"/>
    <w:lvlOverride w:ilvl="0">
      <w:startOverride w:val="1"/>
    </w:lvlOverride>
  </w:num>
  <w:num w:numId="368">
    <w:abstractNumId w:val="53"/>
    <w:lvlOverride w:ilvl="0">
      <w:startOverride w:val="1"/>
    </w:lvlOverride>
  </w:num>
  <w:num w:numId="369">
    <w:abstractNumId w:val="8"/>
  </w:num>
  <w:numIdMacAtCleanup w:val="3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0"/>
  <w:evenAndOddHeaders/>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True"/>
    <w:docVar w:name="AppendixName" w:val="Appendix"/>
    <w:docVar w:name="Disclaimer" w:val="False"/>
    <w:docVar w:name="Foreword" w:val="False"/>
    <w:docVar w:name="Heading1Numbered" w:val="False"/>
    <w:docVar w:name="Heading2Numbered" w:val="False"/>
    <w:docVar w:name="Heading3Numbered" w:val="False"/>
    <w:docVar w:name="IsWordingOverview" w:val="True"/>
    <w:docVar w:name="NumberedBodyText" w:val="False"/>
    <w:docVar w:name="optHeading1OddPage" w:val="False"/>
    <w:docVar w:name="Overview" w:val="False"/>
    <w:docVar w:name="PageSetup" w:val="Double"/>
    <w:docVar w:name="RibbonLabel" w:val="Appendix"/>
    <w:docVar w:name="TOC" w:val="False"/>
    <w:docVar w:name="TOCNew" w:val="True"/>
    <w:docVar w:name="Version" w:val="Version 1"/>
  </w:docVars>
  <w:rsids>
    <w:rsidRoot w:val="008430E8"/>
    <w:rsid w:val="0000322C"/>
    <w:rsid w:val="00003CDD"/>
    <w:rsid w:val="0001508D"/>
    <w:rsid w:val="000168A7"/>
    <w:rsid w:val="000278D0"/>
    <w:rsid w:val="00027E62"/>
    <w:rsid w:val="000307C8"/>
    <w:rsid w:val="00030F73"/>
    <w:rsid w:val="00035ADE"/>
    <w:rsid w:val="000361A1"/>
    <w:rsid w:val="0004224B"/>
    <w:rsid w:val="00045DB2"/>
    <w:rsid w:val="00046226"/>
    <w:rsid w:val="000501F1"/>
    <w:rsid w:val="0005330D"/>
    <w:rsid w:val="000557A7"/>
    <w:rsid w:val="00055805"/>
    <w:rsid w:val="00056CB3"/>
    <w:rsid w:val="00061D10"/>
    <w:rsid w:val="00067A28"/>
    <w:rsid w:val="000714DE"/>
    <w:rsid w:val="0007260F"/>
    <w:rsid w:val="00080297"/>
    <w:rsid w:val="000805D5"/>
    <w:rsid w:val="0008103B"/>
    <w:rsid w:val="00083ECF"/>
    <w:rsid w:val="00085B46"/>
    <w:rsid w:val="00085F97"/>
    <w:rsid w:val="0009134B"/>
    <w:rsid w:val="00092A33"/>
    <w:rsid w:val="000A2FEC"/>
    <w:rsid w:val="000A348F"/>
    <w:rsid w:val="000B5C96"/>
    <w:rsid w:val="000B6942"/>
    <w:rsid w:val="000B6BA7"/>
    <w:rsid w:val="000C09FA"/>
    <w:rsid w:val="000C1EA9"/>
    <w:rsid w:val="000C300F"/>
    <w:rsid w:val="000C37A9"/>
    <w:rsid w:val="000C6728"/>
    <w:rsid w:val="000C702E"/>
    <w:rsid w:val="000D15E9"/>
    <w:rsid w:val="000D3182"/>
    <w:rsid w:val="000D45C4"/>
    <w:rsid w:val="000E18F3"/>
    <w:rsid w:val="000E266E"/>
    <w:rsid w:val="000F1515"/>
    <w:rsid w:val="000F16B5"/>
    <w:rsid w:val="000F4B3A"/>
    <w:rsid w:val="000F553D"/>
    <w:rsid w:val="000F616E"/>
    <w:rsid w:val="000F7918"/>
    <w:rsid w:val="00110D43"/>
    <w:rsid w:val="001159EA"/>
    <w:rsid w:val="00115F0C"/>
    <w:rsid w:val="001253A3"/>
    <w:rsid w:val="00125410"/>
    <w:rsid w:val="00126A09"/>
    <w:rsid w:val="00130858"/>
    <w:rsid w:val="00136C26"/>
    <w:rsid w:val="00137465"/>
    <w:rsid w:val="00137CA8"/>
    <w:rsid w:val="0014059F"/>
    <w:rsid w:val="00141551"/>
    <w:rsid w:val="001417CE"/>
    <w:rsid w:val="0014479F"/>
    <w:rsid w:val="00154DC5"/>
    <w:rsid w:val="0015650C"/>
    <w:rsid w:val="00156850"/>
    <w:rsid w:val="00156CA0"/>
    <w:rsid w:val="00160C8D"/>
    <w:rsid w:val="001629C0"/>
    <w:rsid w:val="00165122"/>
    <w:rsid w:val="00165854"/>
    <w:rsid w:val="00167B60"/>
    <w:rsid w:val="00173DFD"/>
    <w:rsid w:val="00180FF9"/>
    <w:rsid w:val="00195228"/>
    <w:rsid w:val="00195696"/>
    <w:rsid w:val="00196532"/>
    <w:rsid w:val="001A0C4E"/>
    <w:rsid w:val="001A1EFC"/>
    <w:rsid w:val="001A48EF"/>
    <w:rsid w:val="001A49CC"/>
    <w:rsid w:val="001A5553"/>
    <w:rsid w:val="001A716E"/>
    <w:rsid w:val="001B2C65"/>
    <w:rsid w:val="001B7058"/>
    <w:rsid w:val="001C2C6D"/>
    <w:rsid w:val="001C3A4F"/>
    <w:rsid w:val="001C4121"/>
    <w:rsid w:val="001C48DE"/>
    <w:rsid w:val="001C4F6F"/>
    <w:rsid w:val="001D163D"/>
    <w:rsid w:val="001D52E3"/>
    <w:rsid w:val="001D576F"/>
    <w:rsid w:val="001D7C29"/>
    <w:rsid w:val="001E0475"/>
    <w:rsid w:val="001F5C90"/>
    <w:rsid w:val="001F767C"/>
    <w:rsid w:val="002024BF"/>
    <w:rsid w:val="00210FCF"/>
    <w:rsid w:val="00213752"/>
    <w:rsid w:val="002172C7"/>
    <w:rsid w:val="00222EFF"/>
    <w:rsid w:val="002240D5"/>
    <w:rsid w:val="002261A7"/>
    <w:rsid w:val="00226AEC"/>
    <w:rsid w:val="0025347D"/>
    <w:rsid w:val="002545F3"/>
    <w:rsid w:val="002556C8"/>
    <w:rsid w:val="002573EC"/>
    <w:rsid w:val="00262F6D"/>
    <w:rsid w:val="0026344F"/>
    <w:rsid w:val="00266A17"/>
    <w:rsid w:val="002678E3"/>
    <w:rsid w:val="00270372"/>
    <w:rsid w:val="00275534"/>
    <w:rsid w:val="00277075"/>
    <w:rsid w:val="002775D2"/>
    <w:rsid w:val="00277ED3"/>
    <w:rsid w:val="002815B7"/>
    <w:rsid w:val="00281ADD"/>
    <w:rsid w:val="0028211E"/>
    <w:rsid w:val="0029223C"/>
    <w:rsid w:val="00292DE1"/>
    <w:rsid w:val="00293E0D"/>
    <w:rsid w:val="00293E80"/>
    <w:rsid w:val="002973B0"/>
    <w:rsid w:val="002975EF"/>
    <w:rsid w:val="00297C14"/>
    <w:rsid w:val="002A220F"/>
    <w:rsid w:val="002A24F1"/>
    <w:rsid w:val="002A5778"/>
    <w:rsid w:val="002B1E84"/>
    <w:rsid w:val="002B2085"/>
    <w:rsid w:val="002B3EC4"/>
    <w:rsid w:val="002B657C"/>
    <w:rsid w:val="002C08BC"/>
    <w:rsid w:val="002C37D5"/>
    <w:rsid w:val="002C429E"/>
    <w:rsid w:val="002C7093"/>
    <w:rsid w:val="002C7B15"/>
    <w:rsid w:val="002D34DB"/>
    <w:rsid w:val="002D4B11"/>
    <w:rsid w:val="002D4F41"/>
    <w:rsid w:val="002E5633"/>
    <w:rsid w:val="002F1963"/>
    <w:rsid w:val="002F5B6E"/>
    <w:rsid w:val="002F61B5"/>
    <w:rsid w:val="0030209B"/>
    <w:rsid w:val="00305AC7"/>
    <w:rsid w:val="00307DEB"/>
    <w:rsid w:val="00310E0B"/>
    <w:rsid w:val="003127E4"/>
    <w:rsid w:val="00313215"/>
    <w:rsid w:val="00316289"/>
    <w:rsid w:val="003174C3"/>
    <w:rsid w:val="0031772C"/>
    <w:rsid w:val="0032557A"/>
    <w:rsid w:val="00340778"/>
    <w:rsid w:val="00344D2C"/>
    <w:rsid w:val="003458CE"/>
    <w:rsid w:val="00345A57"/>
    <w:rsid w:val="00346D90"/>
    <w:rsid w:val="00351F62"/>
    <w:rsid w:val="003601F4"/>
    <w:rsid w:val="003671E2"/>
    <w:rsid w:val="00367C10"/>
    <w:rsid w:val="003703FC"/>
    <w:rsid w:val="00372AE6"/>
    <w:rsid w:val="0038158D"/>
    <w:rsid w:val="003837E1"/>
    <w:rsid w:val="0038584D"/>
    <w:rsid w:val="00386E89"/>
    <w:rsid w:val="00387CD5"/>
    <w:rsid w:val="0039257F"/>
    <w:rsid w:val="003931DE"/>
    <w:rsid w:val="00397D1A"/>
    <w:rsid w:val="003A154A"/>
    <w:rsid w:val="003A163C"/>
    <w:rsid w:val="003A1F07"/>
    <w:rsid w:val="003A2B4E"/>
    <w:rsid w:val="003A2FBB"/>
    <w:rsid w:val="003A33DB"/>
    <w:rsid w:val="003A3799"/>
    <w:rsid w:val="003A4913"/>
    <w:rsid w:val="003A54A9"/>
    <w:rsid w:val="003A7083"/>
    <w:rsid w:val="003B2EDF"/>
    <w:rsid w:val="003B38B3"/>
    <w:rsid w:val="003B3A97"/>
    <w:rsid w:val="003B3D44"/>
    <w:rsid w:val="003B449D"/>
    <w:rsid w:val="003C5488"/>
    <w:rsid w:val="003C7CC2"/>
    <w:rsid w:val="003D50B6"/>
    <w:rsid w:val="003E05DF"/>
    <w:rsid w:val="003E6085"/>
    <w:rsid w:val="003E6CA3"/>
    <w:rsid w:val="003F188E"/>
    <w:rsid w:val="003F1B9A"/>
    <w:rsid w:val="003F4C96"/>
    <w:rsid w:val="003F606A"/>
    <w:rsid w:val="00406002"/>
    <w:rsid w:val="00406AD3"/>
    <w:rsid w:val="00412E42"/>
    <w:rsid w:val="00424141"/>
    <w:rsid w:val="00426356"/>
    <w:rsid w:val="00426929"/>
    <w:rsid w:val="00430B24"/>
    <w:rsid w:val="00436E0B"/>
    <w:rsid w:val="00442C16"/>
    <w:rsid w:val="00446439"/>
    <w:rsid w:val="0045016F"/>
    <w:rsid w:val="00450BDA"/>
    <w:rsid w:val="00451CF8"/>
    <w:rsid w:val="00453A3E"/>
    <w:rsid w:val="0045442C"/>
    <w:rsid w:val="0045452F"/>
    <w:rsid w:val="0045766B"/>
    <w:rsid w:val="00470D56"/>
    <w:rsid w:val="00474BB7"/>
    <w:rsid w:val="004810EE"/>
    <w:rsid w:val="004816D7"/>
    <w:rsid w:val="0048342E"/>
    <w:rsid w:val="00487478"/>
    <w:rsid w:val="0048782D"/>
    <w:rsid w:val="00494DC1"/>
    <w:rsid w:val="004A3F56"/>
    <w:rsid w:val="004A5E21"/>
    <w:rsid w:val="004A666A"/>
    <w:rsid w:val="004A6E8A"/>
    <w:rsid w:val="004B0108"/>
    <w:rsid w:val="004B143F"/>
    <w:rsid w:val="004B4310"/>
    <w:rsid w:val="004B49A0"/>
    <w:rsid w:val="004C4DCA"/>
    <w:rsid w:val="004C6306"/>
    <w:rsid w:val="004C6F5E"/>
    <w:rsid w:val="004C7E94"/>
    <w:rsid w:val="004D3A49"/>
    <w:rsid w:val="004D44DE"/>
    <w:rsid w:val="004D6BCC"/>
    <w:rsid w:val="004D7CF8"/>
    <w:rsid w:val="004D7EDA"/>
    <w:rsid w:val="004E0E49"/>
    <w:rsid w:val="004E16FE"/>
    <w:rsid w:val="004E197A"/>
    <w:rsid w:val="004E5D52"/>
    <w:rsid w:val="004F07D7"/>
    <w:rsid w:val="004F1297"/>
    <w:rsid w:val="004F16DB"/>
    <w:rsid w:val="004F4D35"/>
    <w:rsid w:val="004F4D7E"/>
    <w:rsid w:val="004F5B16"/>
    <w:rsid w:val="004F5D9D"/>
    <w:rsid w:val="004F68E5"/>
    <w:rsid w:val="004F741B"/>
    <w:rsid w:val="00503253"/>
    <w:rsid w:val="00503BB0"/>
    <w:rsid w:val="00503E03"/>
    <w:rsid w:val="005050BF"/>
    <w:rsid w:val="005057AC"/>
    <w:rsid w:val="005077ED"/>
    <w:rsid w:val="00512226"/>
    <w:rsid w:val="00512747"/>
    <w:rsid w:val="005141BF"/>
    <w:rsid w:val="005147C6"/>
    <w:rsid w:val="005159B1"/>
    <w:rsid w:val="00517F2F"/>
    <w:rsid w:val="00522502"/>
    <w:rsid w:val="005227B7"/>
    <w:rsid w:val="005255A1"/>
    <w:rsid w:val="0052641C"/>
    <w:rsid w:val="0052641E"/>
    <w:rsid w:val="0053795D"/>
    <w:rsid w:val="00544522"/>
    <w:rsid w:val="00544835"/>
    <w:rsid w:val="005468AB"/>
    <w:rsid w:val="005501A0"/>
    <w:rsid w:val="00550831"/>
    <w:rsid w:val="00554273"/>
    <w:rsid w:val="00555964"/>
    <w:rsid w:val="005642B6"/>
    <w:rsid w:val="00567E62"/>
    <w:rsid w:val="00571D5E"/>
    <w:rsid w:val="005823D0"/>
    <w:rsid w:val="00582D53"/>
    <w:rsid w:val="0058404D"/>
    <w:rsid w:val="0059097F"/>
    <w:rsid w:val="00594AA9"/>
    <w:rsid w:val="005A2748"/>
    <w:rsid w:val="005A3C37"/>
    <w:rsid w:val="005A443F"/>
    <w:rsid w:val="005B2F0D"/>
    <w:rsid w:val="005B58D4"/>
    <w:rsid w:val="005C07B3"/>
    <w:rsid w:val="005C284E"/>
    <w:rsid w:val="005C47D4"/>
    <w:rsid w:val="005C50A7"/>
    <w:rsid w:val="005D0DB0"/>
    <w:rsid w:val="005D2694"/>
    <w:rsid w:val="005D2DCB"/>
    <w:rsid w:val="005D51D0"/>
    <w:rsid w:val="005D6F83"/>
    <w:rsid w:val="005D7877"/>
    <w:rsid w:val="005D7CCF"/>
    <w:rsid w:val="005E58C4"/>
    <w:rsid w:val="005E5D8F"/>
    <w:rsid w:val="005F19AE"/>
    <w:rsid w:val="005F5A5C"/>
    <w:rsid w:val="005F5CD9"/>
    <w:rsid w:val="0060256F"/>
    <w:rsid w:val="0061135C"/>
    <w:rsid w:val="006114F8"/>
    <w:rsid w:val="006136DD"/>
    <w:rsid w:val="006149F0"/>
    <w:rsid w:val="00620BFC"/>
    <w:rsid w:val="006220A5"/>
    <w:rsid w:val="00624AC8"/>
    <w:rsid w:val="00627256"/>
    <w:rsid w:val="00627965"/>
    <w:rsid w:val="00627AE9"/>
    <w:rsid w:val="00631A79"/>
    <w:rsid w:val="00633C60"/>
    <w:rsid w:val="00634329"/>
    <w:rsid w:val="00635389"/>
    <w:rsid w:val="0064126D"/>
    <w:rsid w:val="00641FF4"/>
    <w:rsid w:val="006451B8"/>
    <w:rsid w:val="00645722"/>
    <w:rsid w:val="00646666"/>
    <w:rsid w:val="00652432"/>
    <w:rsid w:val="00657840"/>
    <w:rsid w:val="0066003C"/>
    <w:rsid w:val="0066041E"/>
    <w:rsid w:val="0067067E"/>
    <w:rsid w:val="00673CCC"/>
    <w:rsid w:val="00675C98"/>
    <w:rsid w:val="006804CA"/>
    <w:rsid w:val="0069026B"/>
    <w:rsid w:val="00690D3C"/>
    <w:rsid w:val="00692747"/>
    <w:rsid w:val="006956EA"/>
    <w:rsid w:val="006A42F4"/>
    <w:rsid w:val="006A490C"/>
    <w:rsid w:val="006A5E2F"/>
    <w:rsid w:val="006B4F7D"/>
    <w:rsid w:val="006C114C"/>
    <w:rsid w:val="006C3864"/>
    <w:rsid w:val="006C5383"/>
    <w:rsid w:val="006C5E72"/>
    <w:rsid w:val="006D2AEC"/>
    <w:rsid w:val="006D4C8E"/>
    <w:rsid w:val="006E19D1"/>
    <w:rsid w:val="006E1CBB"/>
    <w:rsid w:val="006F100B"/>
    <w:rsid w:val="006F239A"/>
    <w:rsid w:val="006F2C9D"/>
    <w:rsid w:val="007029D0"/>
    <w:rsid w:val="0070637D"/>
    <w:rsid w:val="007071DD"/>
    <w:rsid w:val="0070771F"/>
    <w:rsid w:val="00712A14"/>
    <w:rsid w:val="00716C04"/>
    <w:rsid w:val="00717180"/>
    <w:rsid w:val="007179D2"/>
    <w:rsid w:val="00720648"/>
    <w:rsid w:val="00720750"/>
    <w:rsid w:val="007208C6"/>
    <w:rsid w:val="0072549C"/>
    <w:rsid w:val="00725A80"/>
    <w:rsid w:val="007314A8"/>
    <w:rsid w:val="00733970"/>
    <w:rsid w:val="00733F3C"/>
    <w:rsid w:val="00736595"/>
    <w:rsid w:val="00754C58"/>
    <w:rsid w:val="00760675"/>
    <w:rsid w:val="00761D0F"/>
    <w:rsid w:val="00762F57"/>
    <w:rsid w:val="007673D9"/>
    <w:rsid w:val="00774D51"/>
    <w:rsid w:val="00776E78"/>
    <w:rsid w:val="0078138A"/>
    <w:rsid w:val="00783014"/>
    <w:rsid w:val="007834DC"/>
    <w:rsid w:val="007911D9"/>
    <w:rsid w:val="00792F45"/>
    <w:rsid w:val="007959D8"/>
    <w:rsid w:val="0079630F"/>
    <w:rsid w:val="007A04C2"/>
    <w:rsid w:val="007A0EC5"/>
    <w:rsid w:val="007A24E1"/>
    <w:rsid w:val="007A4BF9"/>
    <w:rsid w:val="007B146A"/>
    <w:rsid w:val="007B493C"/>
    <w:rsid w:val="007C0E7C"/>
    <w:rsid w:val="007C0EAA"/>
    <w:rsid w:val="007C44B2"/>
    <w:rsid w:val="007C6496"/>
    <w:rsid w:val="007C745E"/>
    <w:rsid w:val="007D1FB5"/>
    <w:rsid w:val="007D6381"/>
    <w:rsid w:val="007E3AE0"/>
    <w:rsid w:val="007E3C99"/>
    <w:rsid w:val="007E3F8C"/>
    <w:rsid w:val="007E4D38"/>
    <w:rsid w:val="007F2058"/>
    <w:rsid w:val="007F7685"/>
    <w:rsid w:val="0080011D"/>
    <w:rsid w:val="00800EA5"/>
    <w:rsid w:val="00801C01"/>
    <w:rsid w:val="008125CA"/>
    <w:rsid w:val="008130BB"/>
    <w:rsid w:val="008142BC"/>
    <w:rsid w:val="00822666"/>
    <w:rsid w:val="008237FA"/>
    <w:rsid w:val="00825D37"/>
    <w:rsid w:val="008369B0"/>
    <w:rsid w:val="008430E8"/>
    <w:rsid w:val="008525E2"/>
    <w:rsid w:val="0085732C"/>
    <w:rsid w:val="0085755E"/>
    <w:rsid w:val="00860B45"/>
    <w:rsid w:val="00863860"/>
    <w:rsid w:val="008638B5"/>
    <w:rsid w:val="008734DB"/>
    <w:rsid w:val="0087390B"/>
    <w:rsid w:val="008745A1"/>
    <w:rsid w:val="008768E9"/>
    <w:rsid w:val="0087751B"/>
    <w:rsid w:val="00885276"/>
    <w:rsid w:val="0088597B"/>
    <w:rsid w:val="008906DD"/>
    <w:rsid w:val="00890995"/>
    <w:rsid w:val="008914FB"/>
    <w:rsid w:val="00892D28"/>
    <w:rsid w:val="00895C1D"/>
    <w:rsid w:val="00897E99"/>
    <w:rsid w:val="008A0A0A"/>
    <w:rsid w:val="008A4829"/>
    <w:rsid w:val="008B2384"/>
    <w:rsid w:val="008B38D6"/>
    <w:rsid w:val="008B4802"/>
    <w:rsid w:val="008B69E3"/>
    <w:rsid w:val="008C1FD1"/>
    <w:rsid w:val="008C24A8"/>
    <w:rsid w:val="008C35EF"/>
    <w:rsid w:val="008C5996"/>
    <w:rsid w:val="008D51A3"/>
    <w:rsid w:val="008D5A11"/>
    <w:rsid w:val="008D5E23"/>
    <w:rsid w:val="008D6F4F"/>
    <w:rsid w:val="008E6D59"/>
    <w:rsid w:val="008F29BA"/>
    <w:rsid w:val="008F36E3"/>
    <w:rsid w:val="008F5D66"/>
    <w:rsid w:val="0090155F"/>
    <w:rsid w:val="00901AE4"/>
    <w:rsid w:val="009028AA"/>
    <w:rsid w:val="00903E3F"/>
    <w:rsid w:val="009049C3"/>
    <w:rsid w:val="009057D9"/>
    <w:rsid w:val="00905B06"/>
    <w:rsid w:val="0090774A"/>
    <w:rsid w:val="00907E2F"/>
    <w:rsid w:val="00910D07"/>
    <w:rsid w:val="00914B2F"/>
    <w:rsid w:val="009150E6"/>
    <w:rsid w:val="00917F89"/>
    <w:rsid w:val="009255EE"/>
    <w:rsid w:val="00925603"/>
    <w:rsid w:val="00925F76"/>
    <w:rsid w:val="00926067"/>
    <w:rsid w:val="00932E89"/>
    <w:rsid w:val="0093359D"/>
    <w:rsid w:val="00933F2B"/>
    <w:rsid w:val="00936118"/>
    <w:rsid w:val="0093781F"/>
    <w:rsid w:val="00940018"/>
    <w:rsid w:val="009405C6"/>
    <w:rsid w:val="00942EEB"/>
    <w:rsid w:val="0094468E"/>
    <w:rsid w:val="00945261"/>
    <w:rsid w:val="009506A5"/>
    <w:rsid w:val="00953106"/>
    <w:rsid w:val="009541CC"/>
    <w:rsid w:val="00956564"/>
    <w:rsid w:val="00956D5A"/>
    <w:rsid w:val="0096185B"/>
    <w:rsid w:val="00961B2C"/>
    <w:rsid w:val="00961DBB"/>
    <w:rsid w:val="00965A30"/>
    <w:rsid w:val="0096618E"/>
    <w:rsid w:val="00981433"/>
    <w:rsid w:val="0098201C"/>
    <w:rsid w:val="0098460A"/>
    <w:rsid w:val="00985C07"/>
    <w:rsid w:val="00987F5F"/>
    <w:rsid w:val="00995B4F"/>
    <w:rsid w:val="00997582"/>
    <w:rsid w:val="009A2C21"/>
    <w:rsid w:val="009A3E58"/>
    <w:rsid w:val="009A5F02"/>
    <w:rsid w:val="009A7AB1"/>
    <w:rsid w:val="009B1BCB"/>
    <w:rsid w:val="009B6584"/>
    <w:rsid w:val="009C1ABB"/>
    <w:rsid w:val="009C6DAA"/>
    <w:rsid w:val="009C7B5B"/>
    <w:rsid w:val="009D0E74"/>
    <w:rsid w:val="009D1A96"/>
    <w:rsid w:val="009D370B"/>
    <w:rsid w:val="009E2087"/>
    <w:rsid w:val="009E252B"/>
    <w:rsid w:val="009E3265"/>
    <w:rsid w:val="009E3353"/>
    <w:rsid w:val="009E446D"/>
    <w:rsid w:val="009E7C09"/>
    <w:rsid w:val="009F0468"/>
    <w:rsid w:val="009F146D"/>
    <w:rsid w:val="009F4F1E"/>
    <w:rsid w:val="00A015E4"/>
    <w:rsid w:val="00A044AE"/>
    <w:rsid w:val="00A075BC"/>
    <w:rsid w:val="00A11222"/>
    <w:rsid w:val="00A12C39"/>
    <w:rsid w:val="00A134FB"/>
    <w:rsid w:val="00A20802"/>
    <w:rsid w:val="00A25B4F"/>
    <w:rsid w:val="00A3050B"/>
    <w:rsid w:val="00A353BA"/>
    <w:rsid w:val="00A429F3"/>
    <w:rsid w:val="00A4395C"/>
    <w:rsid w:val="00A43DA9"/>
    <w:rsid w:val="00A442BF"/>
    <w:rsid w:val="00A47904"/>
    <w:rsid w:val="00A53716"/>
    <w:rsid w:val="00A5629E"/>
    <w:rsid w:val="00A64832"/>
    <w:rsid w:val="00A732DB"/>
    <w:rsid w:val="00A753C8"/>
    <w:rsid w:val="00A85E9C"/>
    <w:rsid w:val="00A86F04"/>
    <w:rsid w:val="00A946C4"/>
    <w:rsid w:val="00A97AC4"/>
    <w:rsid w:val="00AA28C3"/>
    <w:rsid w:val="00AA7E3E"/>
    <w:rsid w:val="00AC01F8"/>
    <w:rsid w:val="00AC059A"/>
    <w:rsid w:val="00AD0308"/>
    <w:rsid w:val="00AD377A"/>
    <w:rsid w:val="00AD37B9"/>
    <w:rsid w:val="00AD67BB"/>
    <w:rsid w:val="00AE1CC1"/>
    <w:rsid w:val="00AE28C5"/>
    <w:rsid w:val="00AE3EA4"/>
    <w:rsid w:val="00AF137C"/>
    <w:rsid w:val="00AF17F5"/>
    <w:rsid w:val="00AF1B02"/>
    <w:rsid w:val="00AF1B5A"/>
    <w:rsid w:val="00AF20D2"/>
    <w:rsid w:val="00AF41E4"/>
    <w:rsid w:val="00AF49FE"/>
    <w:rsid w:val="00B0607C"/>
    <w:rsid w:val="00B06A75"/>
    <w:rsid w:val="00B06BC3"/>
    <w:rsid w:val="00B06EFC"/>
    <w:rsid w:val="00B15A0F"/>
    <w:rsid w:val="00B20236"/>
    <w:rsid w:val="00B20937"/>
    <w:rsid w:val="00B220A0"/>
    <w:rsid w:val="00B22B64"/>
    <w:rsid w:val="00B22FEA"/>
    <w:rsid w:val="00B23443"/>
    <w:rsid w:val="00B24321"/>
    <w:rsid w:val="00B30FEB"/>
    <w:rsid w:val="00B33193"/>
    <w:rsid w:val="00B40AA3"/>
    <w:rsid w:val="00B44478"/>
    <w:rsid w:val="00B512A0"/>
    <w:rsid w:val="00B57595"/>
    <w:rsid w:val="00B6002C"/>
    <w:rsid w:val="00B620EE"/>
    <w:rsid w:val="00B8359A"/>
    <w:rsid w:val="00B85366"/>
    <w:rsid w:val="00B87F60"/>
    <w:rsid w:val="00B93D3D"/>
    <w:rsid w:val="00BA471F"/>
    <w:rsid w:val="00BB5013"/>
    <w:rsid w:val="00BB528E"/>
    <w:rsid w:val="00BC2600"/>
    <w:rsid w:val="00BC36F0"/>
    <w:rsid w:val="00BC4FA7"/>
    <w:rsid w:val="00BC5E30"/>
    <w:rsid w:val="00BD02C5"/>
    <w:rsid w:val="00BD068D"/>
    <w:rsid w:val="00BD209D"/>
    <w:rsid w:val="00BD2867"/>
    <w:rsid w:val="00BE0D9A"/>
    <w:rsid w:val="00BE1A50"/>
    <w:rsid w:val="00BE2F0D"/>
    <w:rsid w:val="00BE7FBF"/>
    <w:rsid w:val="00BF0BD5"/>
    <w:rsid w:val="00BF55F8"/>
    <w:rsid w:val="00C051FD"/>
    <w:rsid w:val="00C11265"/>
    <w:rsid w:val="00C17ABF"/>
    <w:rsid w:val="00C20C7D"/>
    <w:rsid w:val="00C20DEF"/>
    <w:rsid w:val="00C24B25"/>
    <w:rsid w:val="00C32017"/>
    <w:rsid w:val="00C32C2F"/>
    <w:rsid w:val="00C360A1"/>
    <w:rsid w:val="00C3738A"/>
    <w:rsid w:val="00C40D92"/>
    <w:rsid w:val="00C41E04"/>
    <w:rsid w:val="00C4315A"/>
    <w:rsid w:val="00C43F5E"/>
    <w:rsid w:val="00C44074"/>
    <w:rsid w:val="00C45D57"/>
    <w:rsid w:val="00C4651F"/>
    <w:rsid w:val="00C51D0B"/>
    <w:rsid w:val="00C52A50"/>
    <w:rsid w:val="00C642D4"/>
    <w:rsid w:val="00C65EA6"/>
    <w:rsid w:val="00C72E8F"/>
    <w:rsid w:val="00C730F4"/>
    <w:rsid w:val="00C80200"/>
    <w:rsid w:val="00C8270B"/>
    <w:rsid w:val="00C841A9"/>
    <w:rsid w:val="00C85558"/>
    <w:rsid w:val="00C8728F"/>
    <w:rsid w:val="00C96ED3"/>
    <w:rsid w:val="00C97FBC"/>
    <w:rsid w:val="00CA0B7E"/>
    <w:rsid w:val="00CA5598"/>
    <w:rsid w:val="00CA5EF8"/>
    <w:rsid w:val="00CB249D"/>
    <w:rsid w:val="00CB28A3"/>
    <w:rsid w:val="00CB3767"/>
    <w:rsid w:val="00CC00A0"/>
    <w:rsid w:val="00CC1A0C"/>
    <w:rsid w:val="00CC5455"/>
    <w:rsid w:val="00CC6C06"/>
    <w:rsid w:val="00CC75A5"/>
    <w:rsid w:val="00CD5509"/>
    <w:rsid w:val="00CE12AC"/>
    <w:rsid w:val="00CE1EB0"/>
    <w:rsid w:val="00CE3DF2"/>
    <w:rsid w:val="00CE6815"/>
    <w:rsid w:val="00CF0C0F"/>
    <w:rsid w:val="00CF1690"/>
    <w:rsid w:val="00CF1F2A"/>
    <w:rsid w:val="00CF5CE3"/>
    <w:rsid w:val="00CF5FAC"/>
    <w:rsid w:val="00CF656C"/>
    <w:rsid w:val="00CF7412"/>
    <w:rsid w:val="00D030F8"/>
    <w:rsid w:val="00D045D2"/>
    <w:rsid w:val="00D077B7"/>
    <w:rsid w:val="00D11796"/>
    <w:rsid w:val="00D13D1B"/>
    <w:rsid w:val="00D20297"/>
    <w:rsid w:val="00D21E6B"/>
    <w:rsid w:val="00D23634"/>
    <w:rsid w:val="00D34551"/>
    <w:rsid w:val="00D35174"/>
    <w:rsid w:val="00D457D6"/>
    <w:rsid w:val="00D6203F"/>
    <w:rsid w:val="00D64CE2"/>
    <w:rsid w:val="00D753F0"/>
    <w:rsid w:val="00D764FE"/>
    <w:rsid w:val="00D7740C"/>
    <w:rsid w:val="00D7751B"/>
    <w:rsid w:val="00D815DC"/>
    <w:rsid w:val="00D822B5"/>
    <w:rsid w:val="00D83D3C"/>
    <w:rsid w:val="00D85B17"/>
    <w:rsid w:val="00D867AE"/>
    <w:rsid w:val="00D87BBB"/>
    <w:rsid w:val="00D87C87"/>
    <w:rsid w:val="00D90100"/>
    <w:rsid w:val="00D921C4"/>
    <w:rsid w:val="00D9296A"/>
    <w:rsid w:val="00D93C23"/>
    <w:rsid w:val="00D95638"/>
    <w:rsid w:val="00D9584C"/>
    <w:rsid w:val="00DA14D9"/>
    <w:rsid w:val="00DB13AD"/>
    <w:rsid w:val="00DB2309"/>
    <w:rsid w:val="00DB23F9"/>
    <w:rsid w:val="00DB58BE"/>
    <w:rsid w:val="00DB6176"/>
    <w:rsid w:val="00DB6AA0"/>
    <w:rsid w:val="00DB731A"/>
    <w:rsid w:val="00DB7C3A"/>
    <w:rsid w:val="00DC5EB8"/>
    <w:rsid w:val="00DD2779"/>
    <w:rsid w:val="00DD32AB"/>
    <w:rsid w:val="00DD5BF6"/>
    <w:rsid w:val="00DE1865"/>
    <w:rsid w:val="00DE3D76"/>
    <w:rsid w:val="00DE6CEF"/>
    <w:rsid w:val="00DE7F72"/>
    <w:rsid w:val="00DF11C2"/>
    <w:rsid w:val="00DF4593"/>
    <w:rsid w:val="00DF6FFC"/>
    <w:rsid w:val="00E06EB4"/>
    <w:rsid w:val="00E07E53"/>
    <w:rsid w:val="00E10D05"/>
    <w:rsid w:val="00E1316F"/>
    <w:rsid w:val="00E1733B"/>
    <w:rsid w:val="00E20903"/>
    <w:rsid w:val="00E2223E"/>
    <w:rsid w:val="00E22D98"/>
    <w:rsid w:val="00E23A5E"/>
    <w:rsid w:val="00E24623"/>
    <w:rsid w:val="00E252E3"/>
    <w:rsid w:val="00E40505"/>
    <w:rsid w:val="00E42A41"/>
    <w:rsid w:val="00E42EDF"/>
    <w:rsid w:val="00E45766"/>
    <w:rsid w:val="00E46526"/>
    <w:rsid w:val="00E46AB6"/>
    <w:rsid w:val="00E53810"/>
    <w:rsid w:val="00E54AEC"/>
    <w:rsid w:val="00E567E5"/>
    <w:rsid w:val="00E63D4A"/>
    <w:rsid w:val="00E651E6"/>
    <w:rsid w:val="00E6708B"/>
    <w:rsid w:val="00E672F0"/>
    <w:rsid w:val="00E73A8C"/>
    <w:rsid w:val="00E75050"/>
    <w:rsid w:val="00E76F42"/>
    <w:rsid w:val="00E8225A"/>
    <w:rsid w:val="00E8358C"/>
    <w:rsid w:val="00E871B9"/>
    <w:rsid w:val="00E915E6"/>
    <w:rsid w:val="00E921F4"/>
    <w:rsid w:val="00E9722D"/>
    <w:rsid w:val="00E976CA"/>
    <w:rsid w:val="00EA20C1"/>
    <w:rsid w:val="00EA3E11"/>
    <w:rsid w:val="00EA541E"/>
    <w:rsid w:val="00EA6EB3"/>
    <w:rsid w:val="00EB4A8E"/>
    <w:rsid w:val="00EB5EF3"/>
    <w:rsid w:val="00EB695D"/>
    <w:rsid w:val="00EC06F6"/>
    <w:rsid w:val="00EC3910"/>
    <w:rsid w:val="00ED1C32"/>
    <w:rsid w:val="00ED39CE"/>
    <w:rsid w:val="00ED4134"/>
    <w:rsid w:val="00ED4E15"/>
    <w:rsid w:val="00EE05F1"/>
    <w:rsid w:val="00EE471A"/>
    <w:rsid w:val="00EE4E1E"/>
    <w:rsid w:val="00EE545F"/>
    <w:rsid w:val="00EE5492"/>
    <w:rsid w:val="00EF0AB6"/>
    <w:rsid w:val="00EF53F9"/>
    <w:rsid w:val="00F00219"/>
    <w:rsid w:val="00F07046"/>
    <w:rsid w:val="00F07BD5"/>
    <w:rsid w:val="00F10BED"/>
    <w:rsid w:val="00F122D6"/>
    <w:rsid w:val="00F15BF4"/>
    <w:rsid w:val="00F17940"/>
    <w:rsid w:val="00F2046C"/>
    <w:rsid w:val="00F20647"/>
    <w:rsid w:val="00F31392"/>
    <w:rsid w:val="00F348B5"/>
    <w:rsid w:val="00F3505A"/>
    <w:rsid w:val="00F3652B"/>
    <w:rsid w:val="00F36A57"/>
    <w:rsid w:val="00F377B9"/>
    <w:rsid w:val="00F45442"/>
    <w:rsid w:val="00F5145E"/>
    <w:rsid w:val="00F55422"/>
    <w:rsid w:val="00F558EA"/>
    <w:rsid w:val="00F613CB"/>
    <w:rsid w:val="00F61F79"/>
    <w:rsid w:val="00F656A4"/>
    <w:rsid w:val="00F6665E"/>
    <w:rsid w:val="00F7075F"/>
    <w:rsid w:val="00F71D76"/>
    <w:rsid w:val="00F8300C"/>
    <w:rsid w:val="00F83240"/>
    <w:rsid w:val="00F8349F"/>
    <w:rsid w:val="00F83FB7"/>
    <w:rsid w:val="00F85935"/>
    <w:rsid w:val="00F85D29"/>
    <w:rsid w:val="00F969D3"/>
    <w:rsid w:val="00FA190E"/>
    <w:rsid w:val="00FA54D8"/>
    <w:rsid w:val="00FB4456"/>
    <w:rsid w:val="00FB5DF8"/>
    <w:rsid w:val="00FC1265"/>
    <w:rsid w:val="00FC4FB7"/>
    <w:rsid w:val="00FD357B"/>
    <w:rsid w:val="00FD38FC"/>
    <w:rsid w:val="00FD6119"/>
    <w:rsid w:val="00FD688E"/>
    <w:rsid w:val="00FD7C0C"/>
    <w:rsid w:val="00FD7D0A"/>
    <w:rsid w:val="00FE045C"/>
    <w:rsid w:val="00FE0C52"/>
    <w:rsid w:val="00FE0CB0"/>
    <w:rsid w:val="00FE1692"/>
    <w:rsid w:val="00FF0566"/>
    <w:rsid w:val="00FF2E93"/>
    <w:rsid w:val="00FF4087"/>
    <w:rsid w:val="00FF6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qFormat="1"/>
    <w:lsdException w:name="table of figures" w:semiHidden="0" w:unhideWhenUsed="0"/>
    <w:lsdException w:name="footnote reference" w:uiPriority="99"/>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nhideWhenUsed="0"/>
    <w:lsdException w:name="Default Paragraph Font" w:uiPriority="1"/>
    <w:lsdException w:name="Body Text" w:uiPriority="99" w:qFormat="1"/>
    <w:lsdException w:name="List Continue" w:qFormat="1"/>
    <w:lsdException w:name="List Continue 2" w:qFormat="1"/>
    <w:lsdException w:name="Subtitle" w:semiHidden="0" w:unhideWhenUsed="0"/>
    <w:lsdException w:name="Hyperlink" w:uiPriority="99"/>
    <w:lsdException w:name="Strong" w:unhideWhenUsed="0" w:qFormat="1"/>
    <w:lsdException w:name="Emphasis"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iPriority="32" w:unhideWhenUsed="0" w:qFormat="1"/>
    <w:lsdException w:name="Book Title" w:unhideWhenUsed="0" w:qFormat="1"/>
  </w:latentStyles>
  <w:style w:type="paragraph" w:default="1" w:styleId="Normal">
    <w:name w:val="Normal"/>
    <w:qFormat/>
    <w:rsid w:val="00316289"/>
  </w:style>
  <w:style w:type="paragraph" w:styleId="Heading1">
    <w:name w:val="heading 1"/>
    <w:basedOn w:val="Normal"/>
    <w:next w:val="BodyText"/>
    <w:link w:val="Heading1Char"/>
    <w:qFormat/>
    <w:rsid w:val="00316289"/>
    <w:pPr>
      <w:keepNext/>
      <w:keepLines/>
      <w:numPr>
        <w:numId w:val="11"/>
      </w:numPr>
      <w:tabs>
        <w:tab w:val="right" w:pos="1418"/>
        <w:tab w:val="right" w:pos="1701"/>
        <w:tab w:val="right" w:pos="1985"/>
      </w:tabs>
      <w:spacing w:before="480" w:after="340" w:line="240" w:lineRule="auto"/>
      <w:outlineLvl w:val="0"/>
    </w:pPr>
    <w:rPr>
      <w:rFonts w:asciiTheme="majorHAnsi" w:hAnsiTheme="majorHAnsi"/>
      <w:bCs/>
      <w:color w:val="2B3B5F" w:themeColor="text2"/>
      <w:spacing w:val="-6"/>
      <w:kern w:val="32"/>
      <w:sz w:val="40"/>
      <w:szCs w:val="32"/>
    </w:rPr>
  </w:style>
  <w:style w:type="paragraph" w:styleId="Heading2">
    <w:name w:val="heading 2"/>
    <w:basedOn w:val="Normal"/>
    <w:next w:val="BodyText"/>
    <w:link w:val="Heading2Char"/>
    <w:qFormat/>
    <w:rsid w:val="00316289"/>
    <w:pPr>
      <w:keepNext/>
      <w:keepLines/>
      <w:numPr>
        <w:ilvl w:val="1"/>
        <w:numId w:val="11"/>
      </w:numPr>
      <w:tabs>
        <w:tab w:val="left" w:pos="1418"/>
        <w:tab w:val="left" w:pos="1701"/>
        <w:tab w:val="left" w:pos="1985"/>
      </w:tabs>
      <w:spacing w:before="470" w:after="227"/>
      <w:outlineLvl w:val="1"/>
    </w:pPr>
    <w:rPr>
      <w:rFonts w:asciiTheme="majorHAnsi" w:hAnsiTheme="majorHAnsi"/>
      <w:bCs/>
      <w:iCs/>
      <w:color w:val="2B3B5F" w:themeColor="text2"/>
      <w:kern w:val="20"/>
      <w:sz w:val="32"/>
      <w:szCs w:val="28"/>
    </w:rPr>
  </w:style>
  <w:style w:type="paragraph" w:styleId="Heading3">
    <w:name w:val="heading 3"/>
    <w:basedOn w:val="Normal"/>
    <w:next w:val="BodyText"/>
    <w:link w:val="Heading3Char"/>
    <w:qFormat/>
    <w:rsid w:val="00316289"/>
    <w:pPr>
      <w:keepNext/>
      <w:keepLines/>
      <w:numPr>
        <w:ilvl w:val="2"/>
        <w:numId w:val="10"/>
      </w:numPr>
      <w:tabs>
        <w:tab w:val="left" w:pos="1418"/>
        <w:tab w:val="left" w:pos="1701"/>
        <w:tab w:val="left" w:pos="1985"/>
      </w:tabs>
      <w:spacing w:before="470" w:after="227"/>
      <w:outlineLvl w:val="2"/>
    </w:pPr>
    <w:rPr>
      <w:b/>
      <w:color w:val="2B3B5F" w:themeColor="text2"/>
      <w:sz w:val="28"/>
    </w:rPr>
  </w:style>
  <w:style w:type="paragraph" w:styleId="Heading4">
    <w:name w:val="heading 4"/>
    <w:basedOn w:val="Normal"/>
    <w:next w:val="BodyText"/>
    <w:link w:val="Heading4Char"/>
    <w:uiPriority w:val="9"/>
    <w:qFormat/>
    <w:rsid w:val="00316289"/>
    <w:pPr>
      <w:keepNext/>
      <w:keepLines/>
      <w:tabs>
        <w:tab w:val="left" w:pos="1418"/>
        <w:tab w:val="left" w:pos="1701"/>
        <w:tab w:val="left" w:pos="1985"/>
      </w:tabs>
      <w:spacing w:before="227" w:after="113"/>
      <w:outlineLvl w:val="3"/>
    </w:pPr>
    <w:rPr>
      <w:rFonts w:eastAsiaTheme="majorEastAsia" w:cstheme="majorBidi"/>
      <w:b/>
      <w:bCs/>
      <w:i/>
      <w:iCs/>
      <w:color w:val="2B3B5F" w:themeColor="text2"/>
      <w:sz w:val="24"/>
    </w:rPr>
  </w:style>
  <w:style w:type="paragraph" w:styleId="Heading5">
    <w:name w:val="heading 5"/>
    <w:basedOn w:val="Normal"/>
    <w:next w:val="BodyText"/>
    <w:link w:val="Heading5Char"/>
    <w:qFormat/>
    <w:rsid w:val="00316289"/>
    <w:pPr>
      <w:keepNext/>
      <w:keepLines/>
      <w:spacing w:before="180" w:after="60"/>
      <w:outlineLvl w:val="4"/>
    </w:pPr>
    <w:rPr>
      <w:rFonts w:asciiTheme="majorHAnsi" w:eastAsiaTheme="majorEastAsia" w:hAnsiTheme="majorHAnsi" w:cstheme="majorBidi"/>
      <w:i/>
      <w:color w:val="636366"/>
      <w:sz w:val="24"/>
    </w:rPr>
  </w:style>
  <w:style w:type="paragraph" w:styleId="Heading6">
    <w:name w:val="heading 6"/>
    <w:basedOn w:val="Normal"/>
    <w:next w:val="BodyText"/>
    <w:link w:val="Heading6Char"/>
    <w:qFormat/>
    <w:rsid w:val="007A4BF9"/>
    <w:pPr>
      <w:keepNext/>
      <w:keepLines/>
      <w:spacing w:before="240" w:after="340" w:line="240" w:lineRule="auto"/>
      <w:outlineLvl w:val="5"/>
    </w:pPr>
    <w:rPr>
      <w:rFonts w:asciiTheme="majorHAnsi" w:eastAsiaTheme="majorEastAsia" w:hAnsiTheme="majorHAnsi" w:cstheme="majorBidi"/>
      <w:iCs/>
      <w:color w:val="2B3B5F" w:themeColor="text2"/>
      <w:sz w:val="32"/>
    </w:rPr>
  </w:style>
  <w:style w:type="paragraph" w:styleId="Heading7">
    <w:name w:val="heading 7"/>
    <w:basedOn w:val="Normal"/>
    <w:next w:val="Normal"/>
    <w:link w:val="Heading7Char"/>
    <w:semiHidden/>
    <w:unhideWhenUsed/>
    <w:rsid w:val="00961DB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Appendix Title"/>
    <w:basedOn w:val="Normal"/>
    <w:next w:val="BodyText"/>
    <w:link w:val="Heading8Char"/>
    <w:unhideWhenUsed/>
    <w:rsid w:val="00AF49FE"/>
    <w:pPr>
      <w:keepNext/>
      <w:keepLines/>
      <w:numPr>
        <w:numId w:val="1"/>
      </w:numPr>
      <w:tabs>
        <w:tab w:val="left" w:pos="4536"/>
      </w:tabs>
      <w:spacing w:before="480" w:after="340"/>
      <w:outlineLvl w:val="7"/>
    </w:pPr>
    <w:rPr>
      <w:rFonts w:asciiTheme="majorHAnsi" w:eastAsiaTheme="majorEastAsia" w:hAnsiTheme="majorHAnsi" w:cstheme="majorBidi"/>
      <w:color w:val="2B3B5F" w:themeColor="text2"/>
      <w:sz w:val="40"/>
    </w:rPr>
  </w:style>
  <w:style w:type="paragraph" w:styleId="Heading9">
    <w:name w:val="heading 9"/>
    <w:aliases w:val="Appendix Heading 1"/>
    <w:basedOn w:val="Normal"/>
    <w:next w:val="BodyText"/>
    <w:link w:val="Heading9Char"/>
    <w:unhideWhenUsed/>
    <w:rsid w:val="00CA5598"/>
    <w:pPr>
      <w:keepNext/>
      <w:keepLines/>
      <w:numPr>
        <w:ilvl w:val="1"/>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834DC"/>
    <w:pPr>
      <w:tabs>
        <w:tab w:val="left" w:pos="425"/>
      </w:tabs>
      <w:spacing w:before="50" w:line="260" w:lineRule="exact"/>
      <w:ind w:left="425" w:hanging="425"/>
    </w:pPr>
    <w:rPr>
      <w:kern w:val="16"/>
      <w:sz w:val="18"/>
    </w:rPr>
  </w:style>
  <w:style w:type="character" w:customStyle="1" w:styleId="FootnoteTextChar">
    <w:name w:val="Footnote Text Char"/>
    <w:basedOn w:val="DefaultParagraphFont"/>
    <w:link w:val="FootnoteText"/>
    <w:uiPriority w:val="99"/>
    <w:rsid w:val="000E266E"/>
    <w:rPr>
      <w:kern w:val="16"/>
      <w:sz w:val="18"/>
    </w:rPr>
  </w:style>
  <w:style w:type="character" w:styleId="FootnoteReference">
    <w:name w:val="footnote reference"/>
    <w:basedOn w:val="DefaultParagraphFont"/>
    <w:uiPriority w:val="99"/>
    <w:rsid w:val="00961DBB"/>
    <w:rPr>
      <w:rFonts w:asciiTheme="minorHAnsi" w:hAnsiTheme="minorHAnsi"/>
      <w:color w:val="auto"/>
      <w:vertAlign w:val="superscript"/>
    </w:rPr>
  </w:style>
  <w:style w:type="paragraph" w:styleId="BodyText">
    <w:name w:val="Body Text"/>
    <w:basedOn w:val="Normal"/>
    <w:link w:val="BodyTextChar"/>
    <w:uiPriority w:val="99"/>
    <w:qFormat/>
    <w:rsid w:val="00316289"/>
    <w:pPr>
      <w:spacing w:before="113" w:after="113"/>
    </w:pPr>
    <w:rPr>
      <w:rFonts w:cs="Times New Roman"/>
      <w:spacing w:val="-1"/>
    </w:rPr>
  </w:style>
  <w:style w:type="character" w:customStyle="1" w:styleId="BodyTextChar">
    <w:name w:val="Body Text Char"/>
    <w:basedOn w:val="DefaultParagraphFont"/>
    <w:link w:val="BodyText"/>
    <w:uiPriority w:val="99"/>
    <w:rsid w:val="00316289"/>
    <w:rPr>
      <w:rFonts w:cs="Times New Roman"/>
      <w:spacing w:val="-1"/>
    </w:rPr>
  </w:style>
  <w:style w:type="paragraph" w:customStyle="1" w:styleId="BodyText17ptAbove">
    <w:name w:val="Body Text 17pt Above"/>
    <w:basedOn w:val="BodyText"/>
    <w:next w:val="BodyText"/>
    <w:qFormat/>
    <w:rsid w:val="00316289"/>
    <w:pPr>
      <w:spacing w:before="340"/>
    </w:pPr>
  </w:style>
  <w:style w:type="character" w:customStyle="1" w:styleId="Heading1Char">
    <w:name w:val="Heading 1 Char"/>
    <w:basedOn w:val="DefaultParagraphFont"/>
    <w:link w:val="Heading1"/>
    <w:rsid w:val="00316289"/>
    <w:rPr>
      <w:rFonts w:asciiTheme="majorHAnsi" w:hAnsiTheme="majorHAnsi"/>
      <w:bCs/>
      <w:color w:val="2B3B5F" w:themeColor="text2"/>
      <w:spacing w:val="-6"/>
      <w:kern w:val="32"/>
      <w:sz w:val="40"/>
      <w:szCs w:val="32"/>
    </w:rPr>
  </w:style>
  <w:style w:type="character" w:customStyle="1" w:styleId="Heading2Char">
    <w:name w:val="Heading 2 Char"/>
    <w:basedOn w:val="DefaultParagraphFont"/>
    <w:link w:val="Heading2"/>
    <w:rsid w:val="00316289"/>
    <w:rPr>
      <w:rFonts w:asciiTheme="majorHAnsi" w:hAnsiTheme="majorHAnsi"/>
      <w:bCs/>
      <w:iCs/>
      <w:color w:val="2B3B5F" w:themeColor="text2"/>
      <w:kern w:val="20"/>
      <w:sz w:val="32"/>
      <w:szCs w:val="28"/>
    </w:rPr>
  </w:style>
  <w:style w:type="character" w:customStyle="1" w:styleId="Heading3Char">
    <w:name w:val="Heading 3 Char"/>
    <w:basedOn w:val="DefaultParagraphFont"/>
    <w:link w:val="Heading3"/>
    <w:rsid w:val="00316289"/>
    <w:rPr>
      <w:b/>
      <w:color w:val="2B3B5F" w:themeColor="text2"/>
      <w:sz w:val="28"/>
    </w:rPr>
  </w:style>
  <w:style w:type="character" w:customStyle="1" w:styleId="Heading4Char">
    <w:name w:val="Heading 4 Char"/>
    <w:basedOn w:val="DefaultParagraphFont"/>
    <w:link w:val="Heading4"/>
    <w:uiPriority w:val="9"/>
    <w:rsid w:val="00316289"/>
    <w:rPr>
      <w:rFonts w:eastAsiaTheme="majorEastAsia" w:cstheme="majorBidi"/>
      <w:b/>
      <w:bCs/>
      <w:i/>
      <w:iCs/>
      <w:color w:val="2B3B5F" w:themeColor="text2"/>
      <w:sz w:val="24"/>
    </w:rPr>
  </w:style>
  <w:style w:type="character" w:customStyle="1" w:styleId="Heading5Char">
    <w:name w:val="Heading 5 Char"/>
    <w:basedOn w:val="DefaultParagraphFont"/>
    <w:link w:val="Heading5"/>
    <w:rsid w:val="00316289"/>
    <w:rPr>
      <w:rFonts w:asciiTheme="majorHAnsi" w:eastAsiaTheme="majorEastAsia" w:hAnsiTheme="majorHAnsi" w:cstheme="majorBidi"/>
      <w:i/>
      <w:color w:val="636366"/>
      <w:sz w:val="24"/>
    </w:rPr>
  </w:style>
  <w:style w:type="character" w:customStyle="1" w:styleId="Heading6Char">
    <w:name w:val="Heading 6 Char"/>
    <w:basedOn w:val="DefaultParagraphFont"/>
    <w:link w:val="Heading6"/>
    <w:rsid w:val="007A4BF9"/>
    <w:rPr>
      <w:rFonts w:asciiTheme="majorHAnsi" w:eastAsiaTheme="majorEastAsia" w:hAnsiTheme="majorHAnsi" w:cstheme="majorBidi"/>
      <w:iCs/>
      <w:color w:val="2B3B5F" w:themeColor="text2"/>
      <w:sz w:val="32"/>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i/>
      <w:iCs/>
      <w:color w:val="404040" w:themeColor="text1" w:themeTint="BF"/>
    </w:rPr>
  </w:style>
  <w:style w:type="character" w:customStyle="1" w:styleId="Heading8Char">
    <w:name w:val="Heading 8 Char"/>
    <w:aliases w:val="Appendix Title Char"/>
    <w:basedOn w:val="DefaultParagraphFont"/>
    <w:link w:val="Heading8"/>
    <w:rsid w:val="00AF49FE"/>
    <w:rPr>
      <w:rFonts w:asciiTheme="majorHAnsi" w:eastAsiaTheme="majorEastAsia" w:hAnsiTheme="majorHAnsi" w:cstheme="majorBidi"/>
      <w:color w:val="2B3B5F" w:themeColor="text2"/>
      <w:sz w:val="40"/>
    </w:rPr>
  </w:style>
  <w:style w:type="character" w:customStyle="1" w:styleId="Heading9Char">
    <w:name w:val="Heading 9 Char"/>
    <w:aliases w:val="Appendix Heading 1 Char"/>
    <w:basedOn w:val="DefaultParagraphFont"/>
    <w:link w:val="Heading9"/>
    <w:rsid w:val="000E266E"/>
    <w:rPr>
      <w:rFonts w:asciiTheme="majorHAnsi" w:eastAsiaTheme="majorEastAsia" w:hAnsiTheme="majorHAnsi" w:cstheme="majorBidi"/>
      <w:i/>
      <w:iCs/>
      <w:color w:val="404040" w:themeColor="text1" w:themeTint="BF"/>
      <w:sz w:val="20"/>
      <w:szCs w:val="20"/>
    </w:rPr>
  </w:style>
  <w:style w:type="paragraph" w:customStyle="1" w:styleId="AppendixHeading2">
    <w:name w:val="Appendix Heading 2"/>
    <w:basedOn w:val="Normal"/>
    <w:next w:val="BodyText"/>
    <w:rsid w:val="00CA5598"/>
    <w:pPr>
      <w:keepNext/>
      <w:keepLines/>
      <w:numPr>
        <w:ilvl w:val="2"/>
        <w:numId w:val="1"/>
      </w:numPr>
      <w:tabs>
        <w:tab w:val="left" w:pos="1559"/>
        <w:tab w:val="left" w:pos="1843"/>
        <w:tab w:val="left" w:pos="2126"/>
        <w:tab w:val="left" w:pos="2410"/>
      </w:tabs>
      <w:spacing w:before="470" w:after="227"/>
    </w:pPr>
    <w:rPr>
      <w:rFonts w:asciiTheme="majorHAnsi" w:hAnsiTheme="majorHAnsi"/>
      <w:color w:val="2B3B5F" w:themeColor="text2"/>
      <w:sz w:val="28"/>
    </w:rPr>
  </w:style>
  <w:style w:type="paragraph" w:customStyle="1" w:styleId="AppendixHeading3">
    <w:name w:val="Appendix Heading 3"/>
    <w:basedOn w:val="Normal"/>
    <w:next w:val="BodyText"/>
    <w:rsid w:val="00CA5598"/>
    <w:pPr>
      <w:keepNext/>
      <w:keepLines/>
      <w:numPr>
        <w:ilvl w:val="3"/>
        <w:numId w:val="1"/>
      </w:numPr>
      <w:tabs>
        <w:tab w:val="left" w:pos="1559"/>
        <w:tab w:val="left" w:pos="1843"/>
        <w:tab w:val="left" w:pos="2126"/>
        <w:tab w:val="left" w:pos="2410"/>
        <w:tab w:val="left" w:pos="6804"/>
      </w:tabs>
      <w:spacing w:before="227" w:after="113"/>
    </w:pPr>
    <w:rPr>
      <w:b/>
      <w:color w:val="2B3B5F" w:themeColor="text2"/>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BodyText"/>
    <w:link w:val="CaptionChar"/>
    <w:unhideWhenUsed/>
    <w:rsid w:val="00F10BED"/>
    <w:pPr>
      <w:keepNext/>
      <w:keepLines/>
      <w:spacing w:before="340" w:after="114"/>
    </w:pPr>
    <w:rPr>
      <w:b/>
      <w:bCs/>
      <w:color w:val="2B3B5F" w:themeColor="accent1"/>
      <w:szCs w:val="18"/>
    </w:rPr>
  </w:style>
  <w:style w:type="paragraph" w:styleId="Footer">
    <w:name w:val="footer"/>
    <w:basedOn w:val="Normal"/>
    <w:link w:val="FooterChar"/>
    <w:qFormat/>
    <w:rsid w:val="00961DBB"/>
    <w:pPr>
      <w:spacing w:line="240" w:lineRule="auto"/>
    </w:pPr>
    <w:rPr>
      <w:b/>
      <w:color w:val="788184" w:themeColor="background2"/>
    </w:rPr>
  </w:style>
  <w:style w:type="character" w:customStyle="1" w:styleId="FooterChar">
    <w:name w:val="Footer Char"/>
    <w:basedOn w:val="DefaultParagraphFont"/>
    <w:link w:val="Footer"/>
    <w:rsid w:val="000E266E"/>
    <w:rPr>
      <w:b/>
      <w:color w:val="788184" w:themeColor="background2"/>
    </w:rPr>
  </w:style>
  <w:style w:type="paragraph" w:customStyle="1" w:styleId="FooterLeft">
    <w:name w:val="Footer Left"/>
    <w:basedOn w:val="Footer"/>
    <w:rsid w:val="00961DBB"/>
    <w:pPr>
      <w:framePr w:wrap="around" w:vAnchor="page" w:hAnchor="margin" w:yAlign="bottom"/>
      <w:spacing w:before="180" w:after="120"/>
      <w:ind w:left="397"/>
    </w:pPr>
    <w:rPr>
      <w:spacing w:val="-2"/>
    </w:rPr>
  </w:style>
  <w:style w:type="paragraph" w:customStyle="1" w:styleId="FooterRight">
    <w:name w:val="Footer Right"/>
    <w:basedOn w:val="FooterLeft"/>
    <w:next w:val="Footer"/>
    <w:rsid w:val="00961DBB"/>
    <w:pPr>
      <w:framePr w:wrap="around" w:xAlign="right"/>
      <w:ind w:right="397"/>
      <w:jc w:val="right"/>
    </w:pPr>
  </w:style>
  <w:style w:type="paragraph" w:customStyle="1" w:styleId="FooterRightPageNumber">
    <w:name w:val="Footer Right Page Number"/>
    <w:basedOn w:val="Normal"/>
    <w:rsid w:val="00E915E6"/>
    <w:pPr>
      <w:spacing w:before="180" w:after="120" w:line="240" w:lineRule="auto"/>
      <w:jc w:val="right"/>
    </w:pPr>
    <w:rPr>
      <w:b/>
      <w:noProof/>
      <w:color w:val="788184" w:themeColor="background2"/>
    </w:rPr>
  </w:style>
  <w:style w:type="paragraph" w:customStyle="1" w:styleId="FooterLeftPageNumber">
    <w:name w:val="Footer Left Page Number"/>
    <w:basedOn w:val="Footer"/>
    <w:rsid w:val="00961DBB"/>
    <w:pPr>
      <w:framePr w:wrap="around" w:vAnchor="page" w:hAnchor="margin" w:yAlign="bottom"/>
      <w:spacing w:before="180" w:after="120"/>
      <w:ind w:right="57"/>
    </w:pPr>
  </w:style>
  <w:style w:type="paragraph" w:customStyle="1" w:styleId="FootnoteSeparator">
    <w:name w:val="Footnote Separator"/>
    <w:basedOn w:val="Normal"/>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0E266E"/>
  </w:style>
  <w:style w:type="paragraph" w:customStyle="1" w:styleId="HighlightText">
    <w:name w:val="Highlight Text"/>
    <w:basedOn w:val="Normal"/>
    <w:qFormat/>
    <w:rsid w:val="00316289"/>
    <w:pPr>
      <w:spacing w:before="120" w:after="420"/>
    </w:pPr>
    <w:rPr>
      <w:i/>
      <w:color w:val="2B3B5F" w:themeColor="text2"/>
      <w:spacing w:val="-1"/>
    </w:rPr>
  </w:style>
  <w:style w:type="paragraph" w:customStyle="1" w:styleId="Introduction">
    <w:name w:val="Introduction"/>
    <w:basedOn w:val="Normal"/>
    <w:next w:val="BodyText"/>
    <w:qFormat/>
    <w:rsid w:val="00316289"/>
    <w:pPr>
      <w:spacing w:after="180" w:line="360" w:lineRule="atLeast"/>
    </w:pPr>
    <w:rPr>
      <w:color w:val="2B3B5F" w:themeColor="text2"/>
      <w:spacing w:val="-2"/>
      <w:sz w:val="30"/>
    </w:rPr>
  </w:style>
  <w:style w:type="character" w:customStyle="1" w:styleId="Italics">
    <w:name w:val="Italics"/>
    <w:rsid w:val="00961DBB"/>
    <w:rPr>
      <w:i/>
    </w:rPr>
  </w:style>
  <w:style w:type="paragraph" w:styleId="ListBullet">
    <w:name w:val="List Bullet"/>
    <w:basedOn w:val="Normal"/>
    <w:unhideWhenUsed/>
    <w:qFormat/>
    <w:rsid w:val="00316289"/>
    <w:pPr>
      <w:keepLines/>
      <w:numPr>
        <w:numId w:val="12"/>
      </w:numPr>
      <w:spacing w:after="113"/>
    </w:pPr>
    <w:rPr>
      <w:spacing w:val="-1"/>
    </w:rPr>
  </w:style>
  <w:style w:type="paragraph" w:styleId="ListBullet2">
    <w:name w:val="List Bullet 2"/>
    <w:basedOn w:val="ListBullet"/>
    <w:unhideWhenUsed/>
    <w:qFormat/>
    <w:rsid w:val="00316289"/>
    <w:pPr>
      <w:numPr>
        <w:ilvl w:val="1"/>
      </w:numPr>
    </w:pPr>
  </w:style>
  <w:style w:type="paragraph" w:styleId="ListBullet3">
    <w:name w:val="List Bullet 3"/>
    <w:basedOn w:val="ListBullet2"/>
    <w:unhideWhenUsed/>
    <w:rsid w:val="00961DBB"/>
    <w:pPr>
      <w:numPr>
        <w:ilvl w:val="2"/>
      </w:numPr>
    </w:pPr>
  </w:style>
  <w:style w:type="paragraph" w:styleId="ListContinue">
    <w:name w:val="List Continue"/>
    <w:basedOn w:val="Normal"/>
    <w:semiHidden/>
    <w:qFormat/>
    <w:rsid w:val="00316289"/>
    <w:pPr>
      <w:spacing w:before="220" w:after="220"/>
      <w:ind w:left="340"/>
    </w:pPr>
  </w:style>
  <w:style w:type="paragraph" w:styleId="ListContinue2">
    <w:name w:val="List Continue 2"/>
    <w:basedOn w:val="Normal"/>
    <w:semiHidden/>
    <w:qFormat/>
    <w:rsid w:val="00316289"/>
    <w:pPr>
      <w:spacing w:before="220" w:after="220"/>
      <w:ind w:left="680"/>
    </w:pPr>
  </w:style>
  <w:style w:type="paragraph" w:styleId="ListNumber">
    <w:name w:val="List Number"/>
    <w:basedOn w:val="Normal"/>
    <w:qFormat/>
    <w:rsid w:val="00316289"/>
    <w:pPr>
      <w:numPr>
        <w:numId w:val="13"/>
      </w:numPr>
      <w:spacing w:before="113" w:after="113"/>
    </w:pPr>
    <w:rPr>
      <w:spacing w:val="-1"/>
    </w:rPr>
  </w:style>
  <w:style w:type="paragraph" w:styleId="ListNumber2">
    <w:name w:val="List Number 2"/>
    <w:basedOn w:val="Normal"/>
    <w:qFormat/>
    <w:rsid w:val="00316289"/>
    <w:pPr>
      <w:numPr>
        <w:ilvl w:val="1"/>
        <w:numId w:val="13"/>
      </w:numPr>
      <w:spacing w:before="113" w:after="113"/>
    </w:pPr>
    <w:rPr>
      <w:spacing w:val="-1"/>
    </w:rPr>
  </w:style>
  <w:style w:type="paragraph" w:styleId="ListNumber3">
    <w:name w:val="List Number 3"/>
    <w:basedOn w:val="Normal"/>
    <w:qFormat/>
    <w:rsid w:val="00316289"/>
    <w:pPr>
      <w:numPr>
        <w:ilvl w:val="2"/>
        <w:numId w:val="13"/>
      </w:numPr>
      <w:spacing w:before="113" w:after="113"/>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style>
  <w:style w:type="paragraph" w:customStyle="1" w:styleId="OverviewBodyText">
    <w:name w:val="Overview Body Text"/>
    <w:basedOn w:val="Normal"/>
    <w:rsid w:val="00512226"/>
    <w:pPr>
      <w:spacing w:after="113"/>
    </w:pPr>
  </w:style>
  <w:style w:type="paragraph" w:customStyle="1" w:styleId="OverviewHeading2">
    <w:name w:val="Overview Heading 2"/>
    <w:basedOn w:val="Normal"/>
    <w:next w:val="OverviewBodyText"/>
    <w:rsid w:val="00512226"/>
    <w:pPr>
      <w:keepNext/>
      <w:keepLines/>
      <w:spacing w:before="470" w:after="227"/>
    </w:pPr>
    <w:rPr>
      <w:rFonts w:asciiTheme="majorHAnsi" w:hAnsiTheme="majorHAnsi"/>
      <w:color w:val="2B3B5F" w:themeColor="text2"/>
      <w:sz w:val="32"/>
    </w:rPr>
  </w:style>
  <w:style w:type="paragraph" w:customStyle="1" w:styleId="OverviewHeading3">
    <w:name w:val="Overview Heading 3"/>
    <w:basedOn w:val="OverviewHeading2"/>
    <w:next w:val="OverviewBodyText"/>
    <w:rsid w:val="00512226"/>
    <w:rPr>
      <w:sz w:val="28"/>
    </w:rPr>
  </w:style>
  <w:style w:type="character" w:styleId="PageNumber">
    <w:name w:val="page number"/>
    <w:basedOn w:val="DefaultParagraphFont"/>
    <w:semiHidden/>
    <w:rsid w:val="00961DBB"/>
    <w:rPr>
      <w:rFonts w:ascii="Arial" w:hAnsi="Arial"/>
      <w:b/>
      <w:color w:val="auto"/>
      <w:sz w:val="16"/>
    </w:rPr>
  </w:style>
  <w:style w:type="paragraph" w:customStyle="1" w:styleId="PageNumberOdd">
    <w:name w:val="Page Number Odd"/>
    <w:semiHidden/>
    <w:rsid w:val="00961DBB"/>
    <w:pPr>
      <w:ind w:right="57"/>
      <w:jc w:val="right"/>
    </w:pPr>
    <w:rPr>
      <w:rFonts w:eastAsia="Times New Roman" w:cs="Arial"/>
      <w:b/>
      <w:color w:val="2B3B5F" w:themeColor="text2"/>
      <w:sz w:val="14"/>
      <w:szCs w:val="28"/>
      <w:lang w:eastAsia="en-AU"/>
    </w:rPr>
  </w:style>
  <w:style w:type="paragraph" w:customStyle="1" w:styleId="PageNumberEven">
    <w:name w:val="Page Number Even"/>
    <w:basedOn w:val="PageNumberOdd"/>
    <w:semiHidden/>
    <w:rsid w:val="00961DBB"/>
    <w:pPr>
      <w:framePr w:hSpace="181" w:wrap="around" w:vAnchor="page" w:hAnchor="page" w:yAlign="bottom"/>
      <w:jc w:val="left"/>
    </w:pPr>
  </w:style>
  <w:style w:type="character" w:styleId="PlaceholderText">
    <w:name w:val="Placeholder Text"/>
    <w:basedOn w:val="DefaultParagraphFont"/>
    <w:rsid w:val="00961DBB"/>
    <w:rPr>
      <w:color w:val="808080"/>
    </w:rPr>
  </w:style>
  <w:style w:type="paragraph" w:customStyle="1" w:styleId="PullOutBoxBodyText">
    <w:name w:val="Pull Out Box Body Text"/>
    <w:basedOn w:val="Normal"/>
    <w:qFormat/>
    <w:rsid w:val="00AF49FE"/>
    <w:pPr>
      <w:spacing w:before="113" w:after="113" w:line="260" w:lineRule="atLeast"/>
      <w:ind w:left="57" w:right="57"/>
    </w:pPr>
    <w:rPr>
      <w:spacing w:val="-1"/>
    </w:rPr>
  </w:style>
  <w:style w:type="paragraph" w:customStyle="1" w:styleId="PullOutBoxBullet">
    <w:name w:val="Pull Out Box Bullet"/>
    <w:basedOn w:val="PullOutBoxBodyText"/>
    <w:qFormat/>
    <w:rsid w:val="00AF49FE"/>
    <w:pPr>
      <w:numPr>
        <w:numId w:val="14"/>
      </w:numPr>
      <w:ind w:left="397"/>
    </w:pPr>
  </w:style>
  <w:style w:type="paragraph" w:customStyle="1" w:styleId="PullOutBoxBullet2">
    <w:name w:val="Pull Out Box Bullet 2"/>
    <w:basedOn w:val="PullOutBoxBodyText"/>
    <w:qFormat/>
    <w:rsid w:val="008D51A3"/>
    <w:pPr>
      <w:numPr>
        <w:ilvl w:val="1"/>
        <w:numId w:val="14"/>
      </w:numPr>
      <w:ind w:left="737"/>
    </w:pPr>
  </w:style>
  <w:style w:type="paragraph" w:customStyle="1" w:styleId="PullOutBoxBullet3">
    <w:name w:val="Pull Out Box Bullet 3"/>
    <w:basedOn w:val="PullOutBoxBodyText"/>
    <w:qFormat/>
    <w:rsid w:val="00316289"/>
    <w:pPr>
      <w:numPr>
        <w:ilvl w:val="2"/>
        <w:numId w:val="14"/>
      </w:numPr>
    </w:pPr>
  </w:style>
  <w:style w:type="paragraph" w:customStyle="1" w:styleId="PullOutBoxHeading">
    <w:name w:val="Pull Out Box Heading"/>
    <w:basedOn w:val="PullOutBoxBodyText"/>
    <w:qFormat/>
    <w:rsid w:val="00AF49FE"/>
    <w:pPr>
      <w:keepNext/>
      <w:keepLines/>
      <w:spacing w:before="114" w:after="114"/>
    </w:pPr>
    <w:rPr>
      <w:b/>
    </w:rPr>
  </w:style>
  <w:style w:type="paragraph" w:customStyle="1" w:styleId="PullOutBoxNumber">
    <w:name w:val="Pull Out Box Number"/>
    <w:basedOn w:val="PullOutBoxBodyText"/>
    <w:qFormat/>
    <w:rsid w:val="00316289"/>
    <w:pPr>
      <w:numPr>
        <w:numId w:val="15"/>
      </w:numPr>
    </w:pPr>
  </w:style>
  <w:style w:type="paragraph" w:customStyle="1" w:styleId="PullOutBoxNumber2">
    <w:name w:val="Pull Out Box Number 2"/>
    <w:basedOn w:val="PullOutBoxBodyText"/>
    <w:qFormat/>
    <w:rsid w:val="00316289"/>
    <w:pPr>
      <w:numPr>
        <w:ilvl w:val="1"/>
        <w:numId w:val="15"/>
      </w:numPr>
    </w:pPr>
  </w:style>
  <w:style w:type="paragraph" w:customStyle="1" w:styleId="PullOutBoxNumber3">
    <w:name w:val="Pull Out Box Number 3"/>
    <w:basedOn w:val="PullOutBoxBodyText"/>
    <w:qFormat/>
    <w:rsid w:val="00316289"/>
    <w:pPr>
      <w:numPr>
        <w:ilvl w:val="2"/>
        <w:numId w:val="15"/>
      </w:numPr>
    </w:pPr>
  </w:style>
  <w:style w:type="table" w:customStyle="1" w:styleId="PullOutBoxTable">
    <w:name w:val="Pull Out Box Table"/>
    <w:basedOn w:val="TableNormal"/>
    <w:uiPriority w:val="99"/>
    <w:rsid w:val="00961DBB"/>
    <w:pPr>
      <w:spacing w:line="240" w:lineRule="auto"/>
    </w:pPr>
    <w:rPr>
      <w:rFonts w:eastAsia="Times New Roman" w:cs="Arial"/>
      <w:lang w:eastAsia="en-AU"/>
    </w:rPr>
    <w:tblPr>
      <w:tblBorders>
        <w:top w:val="single" w:sz="4" w:space="0" w:color="D7DDE9" w:themeColor="accent3"/>
        <w:left w:val="single" w:sz="4" w:space="0" w:color="D7DDE9" w:themeColor="accent3"/>
        <w:bottom w:val="single" w:sz="4" w:space="0" w:color="D7DDE9" w:themeColor="accent3"/>
        <w:right w:val="single" w:sz="4" w:space="0" w:color="D7DDE9" w:themeColor="accent3"/>
        <w:insideH w:val="single" w:sz="4" w:space="0" w:color="D7DDE9" w:themeColor="accent3"/>
        <w:insideV w:val="single" w:sz="4" w:space="0" w:color="D7DDE9" w:themeColor="accent3"/>
      </w:tblBorders>
      <w:tblCellMar>
        <w:top w:w="28" w:type="dxa"/>
        <w:left w:w="0" w:type="dxa"/>
        <w:bottom w:w="28" w:type="dxa"/>
        <w:right w:w="0" w:type="dxa"/>
      </w:tblCellMar>
    </w:tblPr>
    <w:tcPr>
      <w:shd w:val="clear" w:color="auto" w:fill="D7DDE9" w:themeFill="accent3"/>
    </w:tcPr>
  </w:style>
  <w:style w:type="paragraph" w:styleId="Quote">
    <w:name w:val="Quote"/>
    <w:basedOn w:val="Normal"/>
    <w:link w:val="QuoteChar"/>
    <w:qFormat/>
    <w:rsid w:val="00316289"/>
    <w:pPr>
      <w:tabs>
        <w:tab w:val="left" w:pos="1134"/>
      </w:tabs>
      <w:spacing w:before="240" w:after="240"/>
      <w:ind w:left="284"/>
    </w:pPr>
    <w:rPr>
      <w:i/>
      <w:iCs/>
    </w:rPr>
  </w:style>
  <w:style w:type="character" w:customStyle="1" w:styleId="QuoteChar">
    <w:name w:val="Quote Char"/>
    <w:basedOn w:val="DefaultParagraphFont"/>
    <w:link w:val="Quote"/>
    <w:rsid w:val="00316289"/>
    <w:rPr>
      <w:i/>
      <w:iCs/>
    </w:rPr>
  </w:style>
  <w:style w:type="paragraph" w:customStyle="1" w:styleId="QuoteBullet">
    <w:name w:val="Quote Bullet"/>
    <w:basedOn w:val="Quote"/>
    <w:qFormat/>
    <w:rsid w:val="00316289"/>
    <w:pPr>
      <w:numPr>
        <w:numId w:val="16"/>
      </w:numPr>
    </w:pPr>
  </w:style>
  <w:style w:type="paragraph" w:customStyle="1" w:styleId="QuoteBullet2">
    <w:name w:val="Quote Bullet 2"/>
    <w:basedOn w:val="Quote"/>
    <w:qFormat/>
    <w:rsid w:val="00316289"/>
    <w:pPr>
      <w:numPr>
        <w:ilvl w:val="1"/>
        <w:numId w:val="16"/>
      </w:numPr>
      <w:tabs>
        <w:tab w:val="clear" w:pos="1134"/>
      </w:tabs>
    </w:pPr>
  </w:style>
  <w:style w:type="paragraph" w:customStyle="1" w:styleId="SectionHeading">
    <w:name w:val="Section Heading"/>
    <w:basedOn w:val="Normal"/>
    <w:next w:val="BodyText"/>
    <w:rsid w:val="00E45766"/>
    <w:pPr>
      <w:keepLines/>
      <w:spacing w:before="4320" w:line="360" w:lineRule="auto"/>
      <w:ind w:left="1701"/>
      <w:jc w:val="right"/>
      <w:outlineLvl w:val="0"/>
    </w:pPr>
    <w:rPr>
      <w:rFonts w:asciiTheme="majorHAnsi" w:hAnsiTheme="majorHAnsi"/>
      <w:noProof/>
      <w:color w:val="2B3B5F" w:themeColor="text2"/>
      <w:sz w:val="50"/>
      <w:szCs w:val="40"/>
    </w:rPr>
  </w:style>
  <w:style w:type="character" w:customStyle="1" w:styleId="SectionSubtitle">
    <w:name w:val="Section Subtitle"/>
    <w:rsid w:val="00E45766"/>
    <w:rPr>
      <w:color w:val="751D71" w:themeColor="accent4"/>
      <w:sz w:val="40"/>
    </w:rPr>
  </w:style>
  <w:style w:type="paragraph" w:styleId="Subtitle">
    <w:name w:val="Subtitle"/>
    <w:basedOn w:val="Normal"/>
    <w:next w:val="Normal"/>
    <w:link w:val="SubtitleChar"/>
    <w:rsid w:val="00961DBB"/>
    <w:pPr>
      <w:numPr>
        <w:ilvl w:val="1"/>
      </w:numPr>
    </w:pPr>
    <w:rPr>
      <w:rFonts w:asciiTheme="majorHAnsi" w:eastAsiaTheme="majorEastAsia" w:hAnsiTheme="majorHAnsi" w:cstheme="majorBidi"/>
      <w:i/>
      <w:iCs/>
      <w:color w:val="2B3B5F" w:themeColor="accent1"/>
      <w:spacing w:val="15"/>
      <w:sz w:val="24"/>
      <w:szCs w:val="24"/>
    </w:rPr>
  </w:style>
  <w:style w:type="character" w:customStyle="1" w:styleId="SubtitleChar">
    <w:name w:val="Subtitle Char"/>
    <w:basedOn w:val="DefaultParagraphFont"/>
    <w:link w:val="Subtitle"/>
    <w:rsid w:val="000E266E"/>
    <w:rPr>
      <w:rFonts w:asciiTheme="majorHAnsi" w:eastAsiaTheme="majorEastAsia" w:hAnsiTheme="majorHAnsi" w:cstheme="majorBidi"/>
      <w:i/>
      <w:iCs/>
      <w:color w:val="2B3B5F" w:themeColor="accent1"/>
      <w:spacing w:val="15"/>
      <w:sz w:val="24"/>
      <w:szCs w:val="24"/>
    </w:rPr>
  </w:style>
  <w:style w:type="character" w:customStyle="1" w:styleId="Superscript">
    <w:name w:val="Superscript"/>
    <w:rsid w:val="00961DBB"/>
    <w:rPr>
      <w:vertAlign w:val="superscript"/>
    </w:rPr>
  </w:style>
  <w:style w:type="table" w:customStyle="1" w:styleId="TableAsPlaceholder">
    <w:name w:val="Table As Placeholder"/>
    <w:basedOn w:val="TableNormal"/>
    <w:uiPriority w:val="99"/>
    <w:qFormat/>
    <w:rsid w:val="00961DBB"/>
    <w:rPr>
      <w:rFonts w:eastAsia="Times New Roman" w:cs="Arial"/>
      <w:lang w:eastAsia="en-AU"/>
    </w:rPr>
    <w:tblPr>
      <w:tblCellMar>
        <w:left w:w="0" w:type="dxa"/>
        <w:right w:w="0" w:type="dxa"/>
      </w:tblCellMar>
    </w:tblPr>
  </w:style>
  <w:style w:type="paragraph" w:customStyle="1" w:styleId="TableFootnotes">
    <w:name w:val="Table Footnotes"/>
    <w:basedOn w:val="Normal"/>
    <w:rsid w:val="00035ADE"/>
    <w:pPr>
      <w:keepLines/>
      <w:numPr>
        <w:numId w:val="3"/>
      </w:numPr>
      <w:spacing w:after="50"/>
    </w:pPr>
    <w:rPr>
      <w:color w:val="788184" w:themeColor="background2"/>
      <w:sz w:val="20"/>
    </w:rPr>
  </w:style>
  <w:style w:type="table" w:styleId="TableGrid">
    <w:name w:val="Table Grid"/>
    <w:basedOn w:val="TableNormal"/>
    <w:rsid w:val="00F85D29"/>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 w:type="paragraph" w:customStyle="1" w:styleId="TableHeading">
    <w:name w:val="Table Heading"/>
    <w:basedOn w:val="Normal"/>
    <w:qFormat/>
    <w:rsid w:val="00316289"/>
    <w:pPr>
      <w:keepNext/>
      <w:keepLines/>
      <w:spacing w:before="70" w:after="70" w:line="260" w:lineRule="atLeast"/>
      <w:ind w:left="113" w:right="113"/>
    </w:pPr>
    <w:rPr>
      <w:rFonts w:cs="Times New Roman"/>
      <w:b/>
      <w:color w:val="FFFFFF"/>
      <w:sz w:val="20"/>
    </w:rPr>
  </w:style>
  <w:style w:type="paragraph" w:customStyle="1" w:styleId="TableHeadingCentred">
    <w:name w:val="Table Heading Centred"/>
    <w:basedOn w:val="TableHeading"/>
    <w:qFormat/>
    <w:rsid w:val="00316289"/>
    <w:pPr>
      <w:jc w:val="center"/>
    </w:pPr>
    <w:rPr>
      <w:color w:val="auto"/>
    </w:rPr>
  </w:style>
  <w:style w:type="paragraph" w:customStyle="1" w:styleId="TableHeadingRight">
    <w:name w:val="Table Heading Right"/>
    <w:basedOn w:val="TableHeading"/>
    <w:qFormat/>
    <w:rsid w:val="00316289"/>
    <w:pPr>
      <w:jc w:val="right"/>
    </w:pPr>
  </w:style>
  <w:style w:type="paragraph" w:customStyle="1" w:styleId="Source">
    <w:name w:val="Source"/>
    <w:basedOn w:val="Normal"/>
    <w:next w:val="BodyText17ptAbove"/>
    <w:rsid w:val="00035ADE"/>
    <w:pPr>
      <w:spacing w:before="180" w:after="114"/>
      <w:contextualSpacing/>
    </w:pPr>
    <w:rPr>
      <w:rFonts w:cs="Times New Roman"/>
      <w:color w:val="788184" w:themeColor="background2"/>
      <w:sz w:val="20"/>
      <w:szCs w:val="14"/>
    </w:rPr>
  </w:style>
  <w:style w:type="paragraph" w:customStyle="1" w:styleId="TableText">
    <w:name w:val="Table Text"/>
    <w:basedOn w:val="Normal"/>
    <w:link w:val="TableTextChar"/>
    <w:qFormat/>
    <w:rsid w:val="00316289"/>
    <w:pPr>
      <w:spacing w:before="70" w:after="70" w:line="260" w:lineRule="atLeast"/>
      <w:ind w:left="113" w:right="113"/>
    </w:pPr>
    <w:rPr>
      <w:rFonts w:cs="Times New Roman"/>
      <w:sz w:val="20"/>
    </w:rPr>
  </w:style>
  <w:style w:type="paragraph" w:customStyle="1" w:styleId="TableTextBold">
    <w:name w:val="Table Text Bold"/>
    <w:basedOn w:val="TableText"/>
    <w:semiHidden/>
    <w:qFormat/>
    <w:rsid w:val="00316289"/>
    <w:rPr>
      <w:b/>
    </w:rPr>
  </w:style>
  <w:style w:type="paragraph" w:customStyle="1" w:styleId="TableTextBullet">
    <w:name w:val="Table Text Bullet"/>
    <w:basedOn w:val="TableText"/>
    <w:link w:val="TableTextBulletChar"/>
    <w:rsid w:val="00961DBB"/>
    <w:pPr>
      <w:numPr>
        <w:numId w:val="17"/>
      </w:numPr>
    </w:pPr>
  </w:style>
  <w:style w:type="paragraph" w:customStyle="1" w:styleId="TableTextBullet2">
    <w:name w:val="Table Text Bullet 2"/>
    <w:basedOn w:val="TableTextBullet"/>
    <w:link w:val="TableTextBullet2Char"/>
    <w:qFormat/>
    <w:rsid w:val="00316289"/>
    <w:pPr>
      <w:numPr>
        <w:ilvl w:val="1"/>
      </w:numPr>
    </w:pPr>
    <w:rPr>
      <w:bCs/>
    </w:rPr>
  </w:style>
  <w:style w:type="paragraph" w:customStyle="1" w:styleId="TableTextBullet3">
    <w:name w:val="Table Text Bullet 3"/>
    <w:basedOn w:val="TableTextBullet2"/>
    <w:link w:val="TableTextBullet3Char"/>
    <w:qFormat/>
    <w:rsid w:val="00316289"/>
    <w:pPr>
      <w:numPr>
        <w:ilvl w:val="2"/>
      </w:numPr>
    </w:pPr>
    <w:rPr>
      <w:bCs w:val="0"/>
    </w:rPr>
  </w:style>
  <w:style w:type="paragraph" w:customStyle="1" w:styleId="TableTextNumber">
    <w:name w:val="Table Text Number"/>
    <w:basedOn w:val="TableText"/>
    <w:qFormat/>
    <w:rsid w:val="00316289"/>
    <w:pPr>
      <w:numPr>
        <w:numId w:val="18"/>
      </w:numPr>
    </w:pPr>
  </w:style>
  <w:style w:type="paragraph" w:customStyle="1" w:styleId="TableTextNumber2">
    <w:name w:val="Table Text Number 2"/>
    <w:basedOn w:val="TableTextNumber"/>
    <w:qFormat/>
    <w:rsid w:val="00316289"/>
    <w:pPr>
      <w:numPr>
        <w:ilvl w:val="1"/>
      </w:numPr>
    </w:pPr>
  </w:style>
  <w:style w:type="paragraph" w:customStyle="1" w:styleId="TableTextNumber3">
    <w:name w:val="Table Text Number 3"/>
    <w:basedOn w:val="TableTextNumber2"/>
    <w:qFormat/>
    <w:rsid w:val="00316289"/>
    <w:pPr>
      <w:numPr>
        <w:ilvl w:val="2"/>
      </w:numPr>
    </w:pPr>
  </w:style>
  <w:style w:type="paragraph" w:customStyle="1" w:styleId="TableTextRight">
    <w:name w:val="Table Text Right"/>
    <w:basedOn w:val="TableText"/>
    <w:qFormat/>
    <w:rsid w:val="00316289"/>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rsid w:val="00195228"/>
    <w:pPr>
      <w:pBdr>
        <w:bottom w:val="single" w:sz="8" w:space="4" w:color="2B3B5F" w:themeColor="accent1"/>
      </w:pBdr>
      <w:spacing w:after="300" w:line="240" w:lineRule="auto"/>
      <w:contextualSpacing/>
    </w:pPr>
    <w:rPr>
      <w:rFonts w:asciiTheme="majorHAnsi" w:eastAsiaTheme="majorEastAsia" w:hAnsiTheme="majorHAnsi" w:cstheme="majorBidi"/>
      <w:color w:val="202C47" w:themeColor="text2" w:themeShade="BF"/>
      <w:spacing w:val="5"/>
      <w:kern w:val="28"/>
      <w:sz w:val="52"/>
      <w:szCs w:val="52"/>
    </w:rPr>
  </w:style>
  <w:style w:type="character" w:customStyle="1" w:styleId="TitleChar">
    <w:name w:val="Title Char"/>
    <w:basedOn w:val="DefaultParagraphFont"/>
    <w:link w:val="Title"/>
    <w:rsid w:val="000E266E"/>
    <w:rPr>
      <w:rFonts w:asciiTheme="majorHAnsi" w:eastAsiaTheme="majorEastAsia" w:hAnsiTheme="majorHAnsi" w:cstheme="majorBidi"/>
      <w:color w:val="202C47" w:themeColor="text2" w:themeShade="BF"/>
      <w:spacing w:val="5"/>
      <w:kern w:val="28"/>
      <w:sz w:val="52"/>
      <w:szCs w:val="52"/>
    </w:rPr>
  </w:style>
  <w:style w:type="paragraph" w:customStyle="1" w:styleId="Title2">
    <w:name w:val="Title 2"/>
    <w:basedOn w:val="Normal"/>
    <w:link w:val="Title2Char"/>
    <w:rsid w:val="00C8728F"/>
    <w:pPr>
      <w:spacing w:after="250"/>
      <w:ind w:left="397"/>
      <w:jc w:val="right"/>
    </w:pPr>
    <w:rPr>
      <w:rFonts w:asciiTheme="majorHAnsi" w:hAnsiTheme="majorHAnsi"/>
      <w:color w:val="FFFFFF"/>
      <w:spacing w:val="-2"/>
      <w:sz w:val="32"/>
    </w:rPr>
  </w:style>
  <w:style w:type="character" w:customStyle="1" w:styleId="Title2Char">
    <w:name w:val="Title 2 Char"/>
    <w:basedOn w:val="DefaultParagraphFont"/>
    <w:link w:val="Title2"/>
    <w:rsid w:val="000E266E"/>
    <w:rPr>
      <w:rFonts w:asciiTheme="majorHAnsi" w:hAnsiTheme="majorHAnsi"/>
      <w:color w:val="FFFFFF"/>
      <w:spacing w:val="-2"/>
      <w:sz w:val="32"/>
    </w:rPr>
  </w:style>
  <w:style w:type="paragraph" w:customStyle="1" w:styleId="Title3">
    <w:name w:val="Title 3"/>
    <w:basedOn w:val="Title2"/>
    <w:rsid w:val="00195228"/>
    <w:pPr>
      <w:framePr w:wrap="auto" w:vAnchor="page" w:hAnchor="margin" w:y="5779"/>
    </w:pPr>
    <w:rPr>
      <w:rFonts w:eastAsia="Times New Roman" w:cs="Arial"/>
      <w:i/>
      <w:spacing w:val="8"/>
      <w:lang w:eastAsia="en-AU"/>
    </w:rPr>
  </w:style>
  <w:style w:type="paragraph" w:styleId="TOC1">
    <w:name w:val="toc 1"/>
    <w:basedOn w:val="Normal"/>
    <w:next w:val="Normal"/>
    <w:uiPriority w:val="39"/>
    <w:rsid w:val="001B2C65"/>
    <w:pPr>
      <w:tabs>
        <w:tab w:val="right" w:leader="underscore" w:pos="8164"/>
      </w:tabs>
      <w:spacing w:after="227"/>
      <w:ind w:right="851"/>
    </w:pPr>
    <w:rPr>
      <w:b/>
      <w:noProof/>
      <w:color w:val="2B3B5F" w:themeColor="text2"/>
    </w:rPr>
  </w:style>
  <w:style w:type="paragraph" w:styleId="TOC2">
    <w:name w:val="toc 2"/>
    <w:basedOn w:val="Normal"/>
    <w:next w:val="Normal"/>
    <w:uiPriority w:val="39"/>
    <w:rsid w:val="001B2C65"/>
    <w:pPr>
      <w:tabs>
        <w:tab w:val="right" w:leader="underscore" w:pos="8164"/>
      </w:tabs>
      <w:spacing w:after="227"/>
      <w:ind w:left="454" w:right="851"/>
    </w:pPr>
    <w:rPr>
      <w:noProof/>
      <w:szCs w:val="28"/>
    </w:rPr>
  </w:style>
  <w:style w:type="paragraph" w:styleId="TOC3">
    <w:name w:val="toc 3"/>
    <w:basedOn w:val="Normal"/>
    <w:next w:val="Normal"/>
    <w:uiPriority w:val="39"/>
    <w:rsid w:val="001B2C65"/>
    <w:pPr>
      <w:tabs>
        <w:tab w:val="right" w:leader="underscore" w:pos="8164"/>
      </w:tabs>
      <w:spacing w:after="227"/>
      <w:ind w:left="907" w:right="851"/>
    </w:pPr>
    <w:rPr>
      <w:rFonts w:eastAsiaTheme="minorEastAsia"/>
      <w:noProof/>
    </w:rPr>
  </w:style>
  <w:style w:type="paragraph" w:styleId="TOC4">
    <w:name w:val="toc 4"/>
    <w:basedOn w:val="Normal"/>
    <w:uiPriority w:val="39"/>
    <w:rsid w:val="006C5E72"/>
    <w:pPr>
      <w:tabs>
        <w:tab w:val="right" w:leader="underscore" w:pos="8165"/>
      </w:tabs>
      <w:spacing w:after="80"/>
      <w:ind w:right="851"/>
    </w:pPr>
    <w:rPr>
      <w:noProof/>
    </w:rPr>
  </w:style>
  <w:style w:type="paragraph" w:styleId="TOC5">
    <w:name w:val="toc 5"/>
    <w:basedOn w:val="Normal"/>
    <w:next w:val="Normal"/>
    <w:autoRedefine/>
    <w:rsid w:val="0096618E"/>
    <w:pPr>
      <w:tabs>
        <w:tab w:val="right" w:leader="underscore" w:pos="8165"/>
      </w:tabs>
      <w:spacing w:after="227"/>
      <w:ind w:right="851"/>
    </w:pPr>
    <w:rPr>
      <w:b/>
      <w:color w:val="2B3B5F" w:themeColor="text2"/>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rsid w:val="00961DBB"/>
    <w:pPr>
      <w:tabs>
        <w:tab w:val="right" w:leader="dot" w:pos="9582"/>
      </w:tabs>
      <w:spacing w:after="227"/>
      <w:ind w:right="907"/>
    </w:pPr>
    <w:rPr>
      <w:color w:val="2B3B5F" w:themeColor="text2"/>
    </w:rPr>
  </w:style>
  <w:style w:type="paragraph" w:styleId="TOCHeading">
    <w:name w:val="TOC Heading"/>
    <w:basedOn w:val="Normal"/>
    <w:unhideWhenUsed/>
    <w:rsid w:val="00733970"/>
    <w:pPr>
      <w:keepNext/>
      <w:keepLines/>
      <w:spacing w:before="480"/>
    </w:pPr>
    <w:rPr>
      <w:rFonts w:asciiTheme="majorHAnsi" w:eastAsiaTheme="majorEastAsia" w:hAnsiTheme="majorHAnsi" w:cstheme="majorBidi"/>
      <w:b/>
      <w:bCs/>
      <w:color w:val="202C47" w:themeColor="accent1" w:themeShade="BF"/>
      <w:sz w:val="28"/>
      <w:szCs w:val="28"/>
    </w:rPr>
  </w:style>
  <w:style w:type="paragraph" w:customStyle="1" w:styleId="TOFHeading">
    <w:name w:val="TOF Heading"/>
    <w:basedOn w:val="Normal"/>
    <w:rsid w:val="00961DBB"/>
    <w:pPr>
      <w:keepNext/>
      <w:tabs>
        <w:tab w:val="left" w:pos="2268"/>
      </w:tabs>
      <w:spacing w:before="300" w:after="120"/>
    </w:pPr>
    <w:rPr>
      <w:color w:val="2B3B5F" w:themeColor="text2"/>
      <w:sz w:val="28"/>
      <w:szCs w:val="32"/>
    </w:rPr>
  </w:style>
  <w:style w:type="paragraph" w:customStyle="1" w:styleId="xDisclaimerHeading">
    <w:name w:val="xDisclaimer Heading"/>
    <w:basedOn w:val="Normal"/>
    <w:link w:val="xDisclaimerHeadingChar"/>
    <w:rsid w:val="00961DBB"/>
    <w:pPr>
      <w:framePr w:hSpace="181" w:wrap="around" w:hAnchor="margin" w:y="4310"/>
      <w:spacing w:before="170" w:after="57" w:line="280" w:lineRule="atLeast"/>
      <w:suppressOverlap/>
    </w:pPr>
    <w:rPr>
      <w:b/>
    </w:rPr>
  </w:style>
  <w:style w:type="character" w:customStyle="1" w:styleId="xDisclaimerHeadingChar">
    <w:name w:val="xDisclaimer Heading Char"/>
    <w:basedOn w:val="DefaultParagraphFont"/>
    <w:link w:val="xDisclaimerHeading"/>
    <w:rsid w:val="000E266E"/>
    <w:rPr>
      <w:b/>
    </w:rPr>
  </w:style>
  <w:style w:type="paragraph" w:customStyle="1" w:styleId="xDisclaimerText">
    <w:name w:val="xDisclaimer Text"/>
    <w:basedOn w:val="Normal"/>
    <w:rsid w:val="00961DBB"/>
    <w:pPr>
      <w:spacing w:after="57" w:line="302" w:lineRule="atLeast"/>
    </w:pPr>
    <w:rPr>
      <w:rFonts w:cs="Times New Roman"/>
    </w:rPr>
  </w:style>
  <w:style w:type="paragraph" w:customStyle="1" w:styleId="xDisclaimerText2">
    <w:name w:val="xDisclaimer Text 2"/>
    <w:basedOn w:val="xDisclaimerHeading"/>
    <w:rsid w:val="00961DBB"/>
    <w:pPr>
      <w:framePr w:wrap="around"/>
      <w:spacing w:before="0" w:after="170" w:line="302" w:lineRule="atLeast"/>
    </w:pPr>
    <w:rPr>
      <w:b w:val="0"/>
    </w:rPr>
  </w:style>
  <w:style w:type="paragraph" w:customStyle="1" w:styleId="xDisclaimertext3">
    <w:name w:val="xDisclaimer text 3"/>
    <w:basedOn w:val="xDisclaimerText"/>
    <w:rsid w:val="00961DBB"/>
    <w:pPr>
      <w:spacing w:before="170" w:after="170"/>
    </w:pPr>
  </w:style>
  <w:style w:type="paragraph" w:customStyle="1" w:styleId="xInlineShape">
    <w:name w:val="xInlineShape"/>
    <w:basedOn w:val="Normal"/>
    <w:next w:val="BodyText"/>
    <w:rsid w:val="009A3E58"/>
    <w:pPr>
      <w:keepNext/>
      <w:spacing w:before="300" w:after="120" w:line="240" w:lineRule="auto"/>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paragraph" w:customStyle="1" w:styleId="xDisclaimerHeadingwithxDisclaimerText">
    <w:name w:val="xDisclaimer Heading (with xDisclaimer Text)"/>
    <w:basedOn w:val="xDisclaimerHeading"/>
    <w:link w:val="xDisclaimerHeadingwithxDisclaimerTextChar"/>
    <w:rsid w:val="00961DBB"/>
    <w:pPr>
      <w:framePr w:wrap="around"/>
    </w:pPr>
  </w:style>
  <w:style w:type="character" w:customStyle="1" w:styleId="xDisclaimerHeadingwithxDisclaimerTextChar">
    <w:name w:val="xDisclaimer Heading (with xDisclaimer Text) Char"/>
    <w:basedOn w:val="xDisclaimerHeadingChar"/>
    <w:link w:val="xDisclaimerHeadingwithxDisclaimerText"/>
    <w:rsid w:val="000E266E"/>
    <w:rPr>
      <w:b/>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uiPriority w:val="99"/>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6E"/>
    <w:rPr>
      <w:rFonts w:ascii="Tahoma" w:hAnsi="Tahoma" w:cs="Tahoma"/>
      <w:sz w:val="16"/>
      <w:szCs w:val="16"/>
    </w:rPr>
  </w:style>
  <w:style w:type="paragraph" w:customStyle="1" w:styleId="CaptionBefore12pt">
    <w:name w:val="Caption + Before: 12pt"/>
    <w:basedOn w:val="Caption"/>
    <w:rsid w:val="00FD6119"/>
    <w:pPr>
      <w:spacing w:before="240"/>
    </w:pPr>
  </w:style>
  <w:style w:type="paragraph" w:customStyle="1" w:styleId="xBackPageWebAddress">
    <w:name w:val="xBack Page Web Address"/>
    <w:basedOn w:val="Normal"/>
    <w:rsid w:val="00F31392"/>
    <w:pPr>
      <w:spacing w:before="140" w:line="240" w:lineRule="atLeast"/>
    </w:pPr>
    <w:rPr>
      <w:rFonts w:asciiTheme="majorHAnsi" w:hAnsiTheme="majorHAnsi"/>
      <w:color w:val="FFFFFF"/>
      <w:spacing w:val="-6"/>
      <w:sz w:val="40"/>
      <w:szCs w:val="36"/>
    </w:rPr>
  </w:style>
  <w:style w:type="paragraph" w:customStyle="1" w:styleId="Heading1NoNumbering">
    <w:name w:val="Heading 1 No Numbering"/>
    <w:basedOn w:val="Heading1"/>
    <w:qFormat/>
    <w:rsid w:val="00316289"/>
    <w:pPr>
      <w:numPr>
        <w:numId w:val="0"/>
      </w:numPr>
    </w:pPr>
  </w:style>
  <w:style w:type="paragraph" w:styleId="TableofFigures">
    <w:name w:val="table of figures"/>
    <w:basedOn w:val="Normal"/>
    <w:next w:val="Normal"/>
    <w:rsid w:val="00D64CE2"/>
    <w:pPr>
      <w:tabs>
        <w:tab w:val="right" w:leader="underscore" w:pos="8165"/>
      </w:tabs>
      <w:spacing w:after="80"/>
      <w:ind w:right="851"/>
    </w:pPr>
  </w:style>
  <w:style w:type="paragraph" w:customStyle="1" w:styleId="SectionHeadingNoTOC">
    <w:name w:val="Section Heading No TOC"/>
    <w:basedOn w:val="SectionHeading"/>
    <w:rsid w:val="00E45766"/>
  </w:style>
  <w:style w:type="paragraph" w:customStyle="1" w:styleId="TableTextCentred">
    <w:name w:val="Table Text Centred"/>
    <w:basedOn w:val="TableText"/>
    <w:qFormat/>
    <w:rsid w:val="00316289"/>
    <w:pPr>
      <w:jc w:val="center"/>
    </w:pPr>
    <w:rPr>
      <w:rFonts w:eastAsia="Times New Roman"/>
      <w:lang w:eastAsia="en-AU"/>
    </w:rPr>
  </w:style>
  <w:style w:type="paragraph" w:customStyle="1" w:styleId="FooterRightPageNumberLS">
    <w:name w:val="Footer Right Page Number LS"/>
    <w:basedOn w:val="Normal"/>
    <w:rsid w:val="004E0E49"/>
    <w:pPr>
      <w:framePr w:wrap="auto" w:hAnchor="text" w:x="1"/>
      <w:spacing w:before="180" w:after="120" w:line="240" w:lineRule="auto"/>
      <w:ind w:right="283"/>
      <w:jc w:val="right"/>
    </w:pPr>
    <w:rPr>
      <w:rFonts w:eastAsia="Times New Roman" w:cs="Arial"/>
      <w:b/>
      <w:noProof/>
      <w:color w:val="788184" w:themeColor="background2"/>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table" w:styleId="LightGrid-Accent6">
    <w:name w:val="Light Grid Accent 6"/>
    <w:basedOn w:val="TableNormal"/>
    <w:uiPriority w:val="62"/>
    <w:rsid w:val="00367C10"/>
    <w:pPr>
      <w:spacing w:line="240" w:lineRule="auto"/>
    </w:pPr>
    <w:tblPr>
      <w:tblStyleRowBandSize w:val="1"/>
      <w:tblStyleColBandSize w:val="1"/>
      <w:tblBorders>
        <w:top w:val="single" w:sz="8" w:space="0" w:color="788184" w:themeColor="accent6"/>
        <w:left w:val="single" w:sz="8" w:space="0" w:color="788184" w:themeColor="accent6"/>
        <w:bottom w:val="single" w:sz="8" w:space="0" w:color="788184" w:themeColor="accent6"/>
        <w:right w:val="single" w:sz="8" w:space="0" w:color="788184" w:themeColor="accent6"/>
        <w:insideH w:val="single" w:sz="8" w:space="0" w:color="788184" w:themeColor="accent6"/>
        <w:insideV w:val="single" w:sz="8" w:space="0" w:color="78818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4" w:themeColor="accent6"/>
          <w:left w:val="single" w:sz="8" w:space="0" w:color="788184" w:themeColor="accent6"/>
          <w:bottom w:val="single" w:sz="18" w:space="0" w:color="788184" w:themeColor="accent6"/>
          <w:right w:val="single" w:sz="8" w:space="0" w:color="788184" w:themeColor="accent6"/>
          <w:insideH w:val="nil"/>
          <w:insideV w:val="single" w:sz="8" w:space="0" w:color="78818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4" w:themeColor="accent6"/>
          <w:left w:val="single" w:sz="8" w:space="0" w:color="788184" w:themeColor="accent6"/>
          <w:bottom w:val="single" w:sz="8" w:space="0" w:color="788184" w:themeColor="accent6"/>
          <w:right w:val="single" w:sz="8" w:space="0" w:color="788184" w:themeColor="accent6"/>
          <w:insideH w:val="nil"/>
          <w:insideV w:val="single" w:sz="8" w:space="0" w:color="78818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4" w:themeColor="accent6"/>
          <w:left w:val="single" w:sz="8" w:space="0" w:color="788184" w:themeColor="accent6"/>
          <w:bottom w:val="single" w:sz="8" w:space="0" w:color="788184" w:themeColor="accent6"/>
          <w:right w:val="single" w:sz="8" w:space="0" w:color="788184" w:themeColor="accent6"/>
        </w:tcBorders>
      </w:tcPr>
    </w:tblStylePr>
    <w:tblStylePr w:type="band1Vert">
      <w:tblPr/>
      <w:tcPr>
        <w:tcBorders>
          <w:top w:val="single" w:sz="8" w:space="0" w:color="788184" w:themeColor="accent6"/>
          <w:left w:val="single" w:sz="8" w:space="0" w:color="788184" w:themeColor="accent6"/>
          <w:bottom w:val="single" w:sz="8" w:space="0" w:color="788184" w:themeColor="accent6"/>
          <w:right w:val="single" w:sz="8" w:space="0" w:color="788184" w:themeColor="accent6"/>
        </w:tcBorders>
        <w:shd w:val="clear" w:color="auto" w:fill="DDDFE0" w:themeFill="accent6" w:themeFillTint="3F"/>
      </w:tcPr>
    </w:tblStylePr>
    <w:tblStylePr w:type="band1Horz">
      <w:tblPr/>
      <w:tcPr>
        <w:tcBorders>
          <w:top w:val="single" w:sz="8" w:space="0" w:color="788184" w:themeColor="accent6"/>
          <w:left w:val="single" w:sz="8" w:space="0" w:color="788184" w:themeColor="accent6"/>
          <w:bottom w:val="single" w:sz="8" w:space="0" w:color="788184" w:themeColor="accent6"/>
          <w:right w:val="single" w:sz="8" w:space="0" w:color="788184" w:themeColor="accent6"/>
          <w:insideV w:val="single" w:sz="8" w:space="0" w:color="788184" w:themeColor="accent6"/>
        </w:tcBorders>
        <w:shd w:val="clear" w:color="auto" w:fill="DDDFE0" w:themeFill="accent6" w:themeFillTint="3F"/>
      </w:tcPr>
    </w:tblStylePr>
    <w:tblStylePr w:type="band2Horz">
      <w:tblPr/>
      <w:tcPr>
        <w:tcBorders>
          <w:top w:val="single" w:sz="8" w:space="0" w:color="788184" w:themeColor="accent6"/>
          <w:left w:val="single" w:sz="8" w:space="0" w:color="788184" w:themeColor="accent6"/>
          <w:bottom w:val="single" w:sz="8" w:space="0" w:color="788184" w:themeColor="accent6"/>
          <w:right w:val="single" w:sz="8" w:space="0" w:color="788184" w:themeColor="accent6"/>
          <w:insideV w:val="single" w:sz="8" w:space="0" w:color="788184" w:themeColor="accent6"/>
        </w:tcBorders>
      </w:tcPr>
    </w:tblStylePr>
  </w:style>
  <w:style w:type="table" w:customStyle="1" w:styleId="Style1">
    <w:name w:val="Style1"/>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paragraph" w:customStyle="1" w:styleId="Footnotes">
    <w:name w:val="Footnotes"/>
    <w:basedOn w:val="ListParagraph"/>
    <w:link w:val="FootnotesChar"/>
    <w:qFormat/>
    <w:rsid w:val="004B0108"/>
    <w:pPr>
      <w:numPr>
        <w:numId w:val="6"/>
      </w:numPr>
      <w:spacing w:before="113" w:line="260" w:lineRule="atLeast"/>
      <w:ind w:left="284" w:hanging="284"/>
    </w:pPr>
    <w:rPr>
      <w:sz w:val="20"/>
      <w:szCs w:val="20"/>
    </w:rPr>
  </w:style>
  <w:style w:type="paragraph" w:styleId="ListParagraph">
    <w:name w:val="List Paragraph"/>
    <w:basedOn w:val="Normal"/>
    <w:link w:val="ListParagraphChar"/>
    <w:uiPriority w:val="34"/>
    <w:qFormat/>
    <w:rsid w:val="00F8300C"/>
    <w:pPr>
      <w:ind w:left="720"/>
      <w:contextualSpacing/>
    </w:pPr>
  </w:style>
  <w:style w:type="paragraph" w:customStyle="1" w:styleId="Bullet2">
    <w:name w:val="Bullet 2"/>
    <w:basedOn w:val="ListBullet2"/>
    <w:link w:val="Bullet2Char"/>
    <w:qFormat/>
    <w:rsid w:val="00F8300C"/>
    <w:rPr>
      <w:rFonts w:eastAsia="Times New Roman" w:cs="Times New Roman"/>
      <w:lang w:eastAsia="en-AU"/>
    </w:rPr>
  </w:style>
  <w:style w:type="character" w:customStyle="1" w:styleId="Bullet2Char">
    <w:name w:val="Bullet 2 Char"/>
    <w:basedOn w:val="DefaultParagraphFont"/>
    <w:link w:val="Bullet2"/>
    <w:rsid w:val="00F8300C"/>
    <w:rPr>
      <w:rFonts w:eastAsia="Times New Roman" w:cs="Times New Roman"/>
      <w:spacing w:val="-1"/>
      <w:lang w:eastAsia="en-AU"/>
    </w:rPr>
  </w:style>
  <w:style w:type="paragraph" w:customStyle="1" w:styleId="Bullet3">
    <w:name w:val="Bullet 3"/>
    <w:basedOn w:val="TableTextBullet3"/>
    <w:link w:val="Bullet3Char"/>
    <w:qFormat/>
    <w:rsid w:val="00F8300C"/>
    <w:pPr>
      <w:numPr>
        <w:ilvl w:val="0"/>
        <w:numId w:val="0"/>
      </w:numPr>
      <w:tabs>
        <w:tab w:val="num" w:pos="1304"/>
      </w:tabs>
      <w:spacing w:before="0" w:after="113" w:line="300" w:lineRule="atLeast"/>
      <w:ind w:left="1361" w:hanging="454"/>
    </w:pPr>
    <w:rPr>
      <w:sz w:val="22"/>
    </w:rPr>
  </w:style>
  <w:style w:type="character" w:customStyle="1" w:styleId="Bullet3Char">
    <w:name w:val="Bullet 3 Char"/>
    <w:basedOn w:val="DefaultParagraphFont"/>
    <w:link w:val="Bullet3"/>
    <w:rsid w:val="00F8300C"/>
    <w:rPr>
      <w:rFonts w:cs="Times New Roman"/>
    </w:rPr>
  </w:style>
  <w:style w:type="table" w:customStyle="1" w:styleId="TableGrid1">
    <w:name w:val="Table Grid1"/>
    <w:basedOn w:val="TableNormal"/>
    <w:next w:val="TableGrid"/>
    <w:rsid w:val="00F8300C"/>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Style11">
    <w:name w:val="Style11"/>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
    <w:name w:val="Table Grid2"/>
    <w:basedOn w:val="TableNormal"/>
    <w:next w:val="TableGrid"/>
    <w:rsid w:val="00F8300C"/>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Style12">
    <w:name w:val="Style12"/>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3">
    <w:name w:val="Table Grid3"/>
    <w:basedOn w:val="TableNormal"/>
    <w:next w:val="TableGrid"/>
    <w:rsid w:val="00F8300C"/>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Style13">
    <w:name w:val="Style13"/>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4">
    <w:name w:val="Table Grid4"/>
    <w:basedOn w:val="TableNormal"/>
    <w:next w:val="TableGrid"/>
    <w:rsid w:val="00F8300C"/>
    <w:pPr>
      <w:spacing w:before="70" w:after="70" w:line="240" w:lineRule="auto"/>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Style14">
    <w:name w:val="Style14"/>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tblPr/>
      <w:tcPr>
        <w:shd w:val="clear" w:color="auto" w:fill="D7DDE9"/>
      </w:tcPr>
    </w:tblStylePr>
  </w:style>
  <w:style w:type="table" w:customStyle="1" w:styleId="TableGrid5">
    <w:name w:val="Table Grid5"/>
    <w:basedOn w:val="TableNormal"/>
    <w:next w:val="TableGrid"/>
    <w:rsid w:val="00F8300C"/>
    <w:pPr>
      <w:spacing w:before="70" w:after="70" w:line="240" w:lineRule="auto"/>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Style15">
    <w:name w:val="Style15"/>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tblPr/>
      <w:tcPr>
        <w:shd w:val="clear" w:color="auto" w:fill="D7DDE9"/>
      </w:tcPr>
    </w:tblStylePr>
  </w:style>
  <w:style w:type="table" w:customStyle="1" w:styleId="TableGrid6">
    <w:name w:val="Table Grid6"/>
    <w:basedOn w:val="TableNormal"/>
    <w:next w:val="TableGrid"/>
    <w:rsid w:val="00F8300C"/>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character" w:customStyle="1" w:styleId="TableTextChar">
    <w:name w:val="Table Text Char"/>
    <w:basedOn w:val="DefaultParagraphFont"/>
    <w:link w:val="TableText"/>
    <w:locked/>
    <w:rsid w:val="00F8300C"/>
    <w:rPr>
      <w:rFonts w:cs="Times New Roman"/>
      <w:sz w:val="20"/>
    </w:rPr>
  </w:style>
  <w:style w:type="table" w:customStyle="1" w:styleId="TableGrid7">
    <w:name w:val="Table Grid7"/>
    <w:basedOn w:val="TableNormal"/>
    <w:next w:val="TableGrid"/>
    <w:rsid w:val="00F8300C"/>
    <w:pPr>
      <w:spacing w:before="70" w:after="70" w:line="260" w:lineRule="atLeast"/>
      <w:ind w:left="113" w:right="113"/>
    </w:pPr>
    <w:rPr>
      <w:rFonts w:eastAsia="Times New Roman"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Theme="minorHAnsi" w:hAnsiTheme="minorHAns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TableGrid8">
    <w:name w:val="Table Grid8"/>
    <w:basedOn w:val="TableNormal"/>
    <w:next w:val="TableGrid"/>
    <w:rsid w:val="00F8300C"/>
    <w:pPr>
      <w:spacing w:before="70" w:after="70" w:line="260" w:lineRule="atLeast"/>
      <w:ind w:left="113" w:right="113"/>
    </w:pPr>
    <w:rPr>
      <w:rFonts w:eastAsia="Times New Roman"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Theme="minorHAnsi" w:hAnsiTheme="minorHAns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TableGrid9">
    <w:name w:val="Table Grid9"/>
    <w:basedOn w:val="TableNormal"/>
    <w:next w:val="TableGrid"/>
    <w:rsid w:val="00F8300C"/>
    <w:pPr>
      <w:spacing w:before="70" w:after="70" w:line="260" w:lineRule="atLeast"/>
      <w:ind w:left="113" w:right="113"/>
    </w:pPr>
    <w:rPr>
      <w:rFonts w:eastAsia="Times New Roman"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Theme="minorHAnsi" w:hAnsiTheme="minorHAns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TableGrid10">
    <w:name w:val="Table Grid10"/>
    <w:basedOn w:val="TableNormal"/>
    <w:next w:val="TableGrid"/>
    <w:rsid w:val="00F8300C"/>
    <w:pPr>
      <w:spacing w:before="70" w:after="70" w:line="260" w:lineRule="atLeast"/>
      <w:ind w:left="113" w:right="113"/>
    </w:pPr>
    <w:rPr>
      <w:rFonts w:eastAsia="Times New Roman"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Theme="minorHAnsi" w:hAnsiTheme="minorHAns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TableGrid11">
    <w:name w:val="Table Grid11"/>
    <w:basedOn w:val="TableNormal"/>
    <w:next w:val="TableGrid"/>
    <w:rsid w:val="00316289"/>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character" w:customStyle="1" w:styleId="FootnotesChar">
    <w:name w:val="Footnotes Char"/>
    <w:basedOn w:val="DefaultParagraphFont"/>
    <w:link w:val="Footnotes"/>
    <w:rsid w:val="004B0108"/>
    <w:rPr>
      <w:sz w:val="20"/>
      <w:szCs w:val="20"/>
    </w:rPr>
  </w:style>
  <w:style w:type="table" w:customStyle="1" w:styleId="TableGrid12">
    <w:name w:val="Table Grid12"/>
    <w:basedOn w:val="TableNormal"/>
    <w:next w:val="TableGrid"/>
    <w:rsid w:val="00DD2779"/>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3">
    <w:name w:val="Table Grid13"/>
    <w:basedOn w:val="TableNormal"/>
    <w:next w:val="TableGrid"/>
    <w:rsid w:val="00720648"/>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4">
    <w:name w:val="Table Grid14"/>
    <w:basedOn w:val="TableNormal"/>
    <w:next w:val="TableGrid"/>
    <w:rsid w:val="002D4F41"/>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5">
    <w:name w:val="Table Grid15"/>
    <w:basedOn w:val="TableNormal"/>
    <w:next w:val="TableGrid"/>
    <w:rsid w:val="00987F5F"/>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6">
    <w:name w:val="Table Grid16"/>
    <w:basedOn w:val="TableNormal"/>
    <w:next w:val="TableGrid"/>
    <w:rsid w:val="00567E62"/>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numbering" w:customStyle="1" w:styleId="NoList1">
    <w:name w:val="No List1"/>
    <w:next w:val="NoList"/>
    <w:uiPriority w:val="99"/>
    <w:semiHidden/>
    <w:unhideWhenUsed/>
    <w:rsid w:val="00A353BA"/>
  </w:style>
  <w:style w:type="table" w:customStyle="1" w:styleId="TableGrid17">
    <w:name w:val="Table Grid17"/>
    <w:basedOn w:val="TableNormal"/>
    <w:next w:val="TableGrid"/>
    <w:rsid w:val="00A353BA"/>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paragraph" w:customStyle="1" w:styleId="TableTextBullet1">
    <w:name w:val="Table Text Bullet 1"/>
    <w:link w:val="TableTextBullet1Char"/>
    <w:qFormat/>
    <w:rsid w:val="00A353BA"/>
    <w:pPr>
      <w:numPr>
        <w:ilvl w:val="2"/>
        <w:numId w:val="19"/>
      </w:numPr>
      <w:spacing w:before="240" w:line="240" w:lineRule="auto"/>
      <w:ind w:left="397" w:hanging="284"/>
    </w:pPr>
    <w:rPr>
      <w:rFonts w:eastAsia="Times New Roman" w:cs="Times New Roman"/>
      <w:sz w:val="20"/>
      <w:lang w:eastAsia="en-AU"/>
    </w:rPr>
  </w:style>
  <w:style w:type="table" w:customStyle="1" w:styleId="Style16">
    <w:name w:val="Style16"/>
    <w:basedOn w:val="TableNormal"/>
    <w:uiPriority w:val="99"/>
    <w:rsid w:val="00A353BA"/>
    <w:pPr>
      <w:spacing w:line="240" w:lineRule="auto"/>
    </w:pPr>
    <w:tblPr/>
  </w:style>
  <w:style w:type="paragraph" w:customStyle="1" w:styleId="Letterfooter">
    <w:name w:val="Letter footer"/>
    <w:basedOn w:val="Footer"/>
    <w:qFormat/>
    <w:rsid w:val="00A353BA"/>
    <w:pPr>
      <w:tabs>
        <w:tab w:val="center" w:pos="4513"/>
        <w:tab w:val="right" w:pos="9026"/>
      </w:tabs>
      <w:spacing w:after="113"/>
      <w:ind w:right="-618" w:hanging="709"/>
      <w:jc w:val="center"/>
    </w:pPr>
    <w:rPr>
      <w:rFonts w:ascii="Arial" w:hAnsi="Arial" w:cs="Arial"/>
      <w:b w:val="0"/>
      <w:color w:val="auto"/>
      <w:sz w:val="17"/>
      <w:szCs w:val="17"/>
    </w:rPr>
  </w:style>
  <w:style w:type="paragraph" w:customStyle="1" w:styleId="PBOheader">
    <w:name w:val="PBO header"/>
    <w:basedOn w:val="Header"/>
    <w:qFormat/>
    <w:rsid w:val="00A353BA"/>
    <w:pPr>
      <w:spacing w:before="1320" w:after="114"/>
      <w:ind w:left="6521"/>
    </w:pPr>
    <w:rPr>
      <w:rFonts w:ascii="Arial" w:hAnsi="Arial" w:cs="Arial"/>
      <w:b/>
      <w:sz w:val="18"/>
      <w:szCs w:val="18"/>
    </w:rPr>
  </w:style>
  <w:style w:type="paragraph" w:customStyle="1" w:styleId="Captionheading">
    <w:name w:val="Caption heading"/>
    <w:basedOn w:val="Caption"/>
    <w:link w:val="CaptionheadingChar"/>
    <w:qFormat/>
    <w:rsid w:val="00A353BA"/>
  </w:style>
  <w:style w:type="character" w:customStyle="1" w:styleId="CaptionChar">
    <w:name w:val="Caption Char"/>
    <w:basedOn w:val="DefaultParagraphFont"/>
    <w:link w:val="Caption"/>
    <w:rsid w:val="00F10BED"/>
    <w:rPr>
      <w:b/>
      <w:bCs/>
      <w:color w:val="2B3B5F" w:themeColor="accent1"/>
      <w:szCs w:val="18"/>
    </w:rPr>
  </w:style>
  <w:style w:type="character" w:customStyle="1" w:styleId="CaptionheadingChar">
    <w:name w:val="Caption heading Char"/>
    <w:basedOn w:val="CaptionChar"/>
    <w:link w:val="Captionheading"/>
    <w:rsid w:val="00A353BA"/>
    <w:rPr>
      <w:b/>
      <w:bCs/>
      <w:color w:val="2B3B5F" w:themeColor="accent1"/>
      <w:sz w:val="18"/>
      <w:szCs w:val="18"/>
    </w:rPr>
  </w:style>
  <w:style w:type="paragraph" w:customStyle="1" w:styleId="Bullet1">
    <w:name w:val="Bullet 1"/>
    <w:basedOn w:val="ListBullet"/>
    <w:link w:val="Bullet1Char"/>
    <w:qFormat/>
    <w:rsid w:val="00A353BA"/>
    <w:pPr>
      <w:numPr>
        <w:numId w:val="0"/>
      </w:numPr>
      <w:tabs>
        <w:tab w:val="num" w:pos="0"/>
      </w:tabs>
    </w:pPr>
    <w:rPr>
      <w:rFonts w:eastAsia="Times New Roman" w:cs="Times New Roman"/>
      <w:sz w:val="20"/>
      <w:lang w:eastAsia="en-AU"/>
    </w:rPr>
  </w:style>
  <w:style w:type="character" w:customStyle="1" w:styleId="TableTextBullet1Char">
    <w:name w:val="Table Text Bullet 1 Char"/>
    <w:basedOn w:val="DefaultParagraphFont"/>
    <w:link w:val="TableTextBullet1"/>
    <w:rsid w:val="00A353BA"/>
    <w:rPr>
      <w:rFonts w:eastAsia="Times New Roman" w:cs="Times New Roman"/>
      <w:sz w:val="20"/>
      <w:lang w:eastAsia="en-AU"/>
    </w:rPr>
  </w:style>
  <w:style w:type="character" w:customStyle="1" w:styleId="Bullet1Char">
    <w:name w:val="Bullet 1 Char"/>
    <w:basedOn w:val="TableTextBullet1Char"/>
    <w:link w:val="Bullet1"/>
    <w:rsid w:val="00A353BA"/>
    <w:rPr>
      <w:rFonts w:eastAsia="Times New Roman" w:cs="Times New Roman"/>
      <w:spacing w:val="-1"/>
      <w:sz w:val="20"/>
      <w:lang w:eastAsia="en-AU"/>
    </w:rPr>
  </w:style>
  <w:style w:type="character" w:customStyle="1" w:styleId="TableTextBulletChar">
    <w:name w:val="Table Text Bullet Char"/>
    <w:basedOn w:val="TableTextChar"/>
    <w:link w:val="TableTextBullet"/>
    <w:rsid w:val="00A353BA"/>
    <w:rPr>
      <w:rFonts w:cs="Times New Roman"/>
      <w:sz w:val="20"/>
    </w:rPr>
  </w:style>
  <w:style w:type="character" w:customStyle="1" w:styleId="TableTextBullet2Char">
    <w:name w:val="Table Text Bullet 2 Char"/>
    <w:basedOn w:val="TableTextBulletChar"/>
    <w:link w:val="TableTextBullet2"/>
    <w:rsid w:val="00A353BA"/>
    <w:rPr>
      <w:rFonts w:cs="Times New Roman"/>
      <w:bCs/>
      <w:sz w:val="20"/>
    </w:rPr>
  </w:style>
  <w:style w:type="character" w:customStyle="1" w:styleId="TableTextBullet3Char">
    <w:name w:val="Table Text Bullet 3 Char"/>
    <w:basedOn w:val="TableTextBullet2Char"/>
    <w:link w:val="TableTextBullet3"/>
    <w:rsid w:val="00A353BA"/>
    <w:rPr>
      <w:rFonts w:cs="Times New Roman"/>
      <w:bCs w:val="0"/>
      <w:sz w:val="20"/>
    </w:rPr>
  </w:style>
  <w:style w:type="paragraph" w:customStyle="1" w:styleId="Footnoteheading">
    <w:name w:val="Footnote heading"/>
    <w:basedOn w:val="Normal"/>
    <w:link w:val="FootnoteheadingChar"/>
    <w:rsid w:val="00A353BA"/>
    <w:pPr>
      <w:spacing w:before="113" w:after="113"/>
    </w:pPr>
    <w:rPr>
      <w:b/>
      <w:sz w:val="20"/>
      <w:szCs w:val="20"/>
    </w:rPr>
  </w:style>
  <w:style w:type="character" w:customStyle="1" w:styleId="ListParagraphChar">
    <w:name w:val="List Paragraph Char"/>
    <w:basedOn w:val="DefaultParagraphFont"/>
    <w:link w:val="ListParagraph"/>
    <w:uiPriority w:val="34"/>
    <w:rsid w:val="00A353BA"/>
  </w:style>
  <w:style w:type="character" w:customStyle="1" w:styleId="FootnoteheadingChar">
    <w:name w:val="Footnote heading Char"/>
    <w:basedOn w:val="DefaultParagraphFont"/>
    <w:link w:val="Footnoteheading"/>
    <w:rsid w:val="00A353BA"/>
    <w:rPr>
      <w:b/>
      <w:sz w:val="20"/>
      <w:szCs w:val="20"/>
    </w:rPr>
  </w:style>
  <w:style w:type="paragraph" w:customStyle="1" w:styleId="Lettertext">
    <w:name w:val="Letter text"/>
    <w:basedOn w:val="Normal"/>
    <w:qFormat/>
    <w:rsid w:val="00A353BA"/>
    <w:pPr>
      <w:spacing w:before="240" w:line="240" w:lineRule="auto"/>
    </w:pPr>
    <w:rPr>
      <w:rFonts w:ascii="Times New Roman" w:hAnsi="Times New Roman" w:cs="Times New Roman"/>
      <w:sz w:val="24"/>
      <w:szCs w:val="24"/>
    </w:rPr>
  </w:style>
  <w:style w:type="paragraph" w:customStyle="1" w:styleId="Proformatext">
    <w:name w:val="Pro forma text"/>
    <w:basedOn w:val="Normal"/>
    <w:rsid w:val="00A353BA"/>
    <w:pPr>
      <w:spacing w:before="80" w:after="80" w:line="260" w:lineRule="exact"/>
    </w:pPr>
    <w:rPr>
      <w:rFonts w:ascii="Book Antiqua" w:eastAsia="Times New Roman" w:hAnsi="Book Antiqua" w:cs="Times New Roman"/>
      <w:sz w:val="20"/>
      <w:szCs w:val="20"/>
      <w:lang w:eastAsia="en-AU"/>
    </w:rPr>
  </w:style>
  <w:style w:type="paragraph" w:customStyle="1" w:styleId="ChartandTableFootnoteAlpha">
    <w:name w:val="Chart and Table Footnote Alpha"/>
    <w:basedOn w:val="Normal"/>
    <w:next w:val="Normal"/>
    <w:rsid w:val="00A353BA"/>
    <w:pPr>
      <w:keepLines/>
      <w:numPr>
        <w:numId w:val="20"/>
      </w:numPr>
      <w:spacing w:before="240" w:line="240" w:lineRule="auto"/>
      <w:jc w:val="both"/>
    </w:pPr>
    <w:rPr>
      <w:rFonts w:ascii="Arial" w:eastAsia="Times New Roman" w:hAnsi="Arial" w:cs="Times New Roman"/>
      <w:sz w:val="16"/>
      <w:szCs w:val="20"/>
      <w:lang w:eastAsia="en-AU"/>
    </w:rPr>
  </w:style>
  <w:style w:type="paragraph" w:customStyle="1" w:styleId="Tablefootnote">
    <w:name w:val="Table footnote"/>
    <w:basedOn w:val="ChartandTableFootnoteAlpha"/>
    <w:link w:val="TablefootnoteChar"/>
    <w:qFormat/>
    <w:rsid w:val="00A353BA"/>
  </w:style>
  <w:style w:type="character" w:customStyle="1" w:styleId="TablefootnoteChar">
    <w:name w:val="Table footnote Char"/>
    <w:basedOn w:val="DefaultParagraphFont"/>
    <w:link w:val="Tablefootnote"/>
    <w:rsid w:val="00A353BA"/>
    <w:rPr>
      <w:rFonts w:ascii="Arial" w:eastAsia="Times New Roman" w:hAnsi="Arial" w:cs="Times New Roman"/>
      <w:sz w:val="16"/>
      <w:szCs w:val="20"/>
      <w:lang w:eastAsia="en-AU"/>
    </w:rPr>
  </w:style>
  <w:style w:type="paragraph" w:styleId="Revision">
    <w:name w:val="Revision"/>
    <w:hidden/>
    <w:uiPriority w:val="99"/>
    <w:semiHidden/>
    <w:rsid w:val="00A353BA"/>
    <w:pPr>
      <w:spacing w:line="240" w:lineRule="auto"/>
    </w:pPr>
  </w:style>
  <w:style w:type="table" w:customStyle="1" w:styleId="TableGrid18">
    <w:name w:val="Table Grid18"/>
    <w:basedOn w:val="TableNormal"/>
    <w:next w:val="TableGrid"/>
    <w:rsid w:val="005141BF"/>
    <w:pPr>
      <w:spacing w:before="70" w:after="70" w:line="240" w:lineRule="auto"/>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9">
    <w:name w:val="Table Grid19"/>
    <w:basedOn w:val="TableNormal"/>
    <w:next w:val="TableGrid"/>
    <w:rsid w:val="00FE0CB0"/>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20">
    <w:name w:val="Table Grid20"/>
    <w:basedOn w:val="TableNormal"/>
    <w:next w:val="TableGrid"/>
    <w:rsid w:val="00792F45"/>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7">
    <w:name w:val="Style17"/>
    <w:basedOn w:val="TableNormal"/>
    <w:uiPriority w:val="99"/>
    <w:rsid w:val="00792F45"/>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1">
    <w:name w:val="Table Grid21"/>
    <w:basedOn w:val="TableNormal"/>
    <w:next w:val="TableGrid"/>
    <w:rsid w:val="00E06EB4"/>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22">
    <w:name w:val="Table Grid22"/>
    <w:basedOn w:val="TableNormal"/>
    <w:next w:val="TableGrid"/>
    <w:rsid w:val="007A24E1"/>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23">
    <w:name w:val="Table Grid23"/>
    <w:basedOn w:val="TableNormal"/>
    <w:next w:val="TableGrid"/>
    <w:rsid w:val="00EC06F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8">
    <w:name w:val="Style18"/>
    <w:basedOn w:val="TableNormal"/>
    <w:uiPriority w:val="99"/>
    <w:rsid w:val="00EC06F6"/>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4">
    <w:name w:val="Table Grid24"/>
    <w:basedOn w:val="TableNormal"/>
    <w:next w:val="TableGrid"/>
    <w:rsid w:val="000C300F"/>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numbering" w:customStyle="1" w:styleId="NoList2">
    <w:name w:val="No List2"/>
    <w:next w:val="NoList"/>
    <w:uiPriority w:val="99"/>
    <w:semiHidden/>
    <w:unhideWhenUsed/>
    <w:rsid w:val="0067067E"/>
  </w:style>
  <w:style w:type="table" w:customStyle="1" w:styleId="TableGrid25">
    <w:name w:val="Table Grid25"/>
    <w:basedOn w:val="TableNormal"/>
    <w:next w:val="TableGrid"/>
    <w:rsid w:val="0067067E"/>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9">
    <w:name w:val="Style19"/>
    <w:basedOn w:val="TableNormal"/>
    <w:uiPriority w:val="99"/>
    <w:rsid w:val="0067067E"/>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6">
    <w:name w:val="Table Grid26"/>
    <w:basedOn w:val="TableNormal"/>
    <w:next w:val="TableGrid"/>
    <w:rsid w:val="002678E3"/>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10">
    <w:name w:val="Style110"/>
    <w:basedOn w:val="TableNormal"/>
    <w:uiPriority w:val="99"/>
    <w:rsid w:val="002678E3"/>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character" w:styleId="IntenseReference">
    <w:name w:val="Intense Reference"/>
    <w:aliases w:val="DLM format"/>
    <w:basedOn w:val="DefaultParagraphFont"/>
    <w:uiPriority w:val="32"/>
    <w:qFormat/>
    <w:rsid w:val="002678E3"/>
    <w:rPr>
      <w:rFonts w:ascii="Arial" w:hAnsi="Arial"/>
      <w:b/>
      <w:bCs/>
      <w:color w:val="FF0000"/>
      <w:spacing w:val="5"/>
      <w:sz w:val="28"/>
      <w:szCs w:val="28"/>
    </w:rPr>
  </w:style>
  <w:style w:type="table" w:customStyle="1" w:styleId="TableGrid27">
    <w:name w:val="Table Grid27"/>
    <w:basedOn w:val="TableNormal"/>
    <w:next w:val="TableGrid"/>
    <w:rsid w:val="007208C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11">
    <w:name w:val="Style111"/>
    <w:basedOn w:val="TableNormal"/>
    <w:uiPriority w:val="99"/>
    <w:rsid w:val="007208C6"/>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8">
    <w:name w:val="Table Grid28"/>
    <w:basedOn w:val="TableNormal"/>
    <w:next w:val="TableGrid"/>
    <w:rsid w:val="00544835"/>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12">
    <w:name w:val="Style112"/>
    <w:basedOn w:val="TableNormal"/>
    <w:uiPriority w:val="99"/>
    <w:rsid w:val="00544835"/>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9">
    <w:name w:val="Table Grid29"/>
    <w:basedOn w:val="TableNormal"/>
    <w:next w:val="TableGrid"/>
    <w:rsid w:val="007D6381"/>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13">
    <w:name w:val="Style113"/>
    <w:basedOn w:val="TableNormal"/>
    <w:uiPriority w:val="99"/>
    <w:rsid w:val="007D6381"/>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paragraph" w:customStyle="1" w:styleId="CostingsH7">
    <w:name w:val="Costings H7"/>
    <w:basedOn w:val="Heading7"/>
    <w:next w:val="BodyText"/>
    <w:qFormat/>
    <w:rsid w:val="007A4BF9"/>
    <w:pPr>
      <w:spacing w:before="470" w:after="228"/>
    </w:pPr>
    <w:rPr>
      <w:i w:val="0"/>
      <w:color w:val="2B3B5F" w:themeColor="text2"/>
      <w:sz w:val="28"/>
    </w:rPr>
  </w:style>
  <w:style w:type="paragraph" w:customStyle="1" w:styleId="CostingsH8">
    <w:name w:val="Costings H8"/>
    <w:basedOn w:val="Heading8"/>
    <w:next w:val="BodyText"/>
    <w:qFormat/>
    <w:rsid w:val="00C11265"/>
    <w:pPr>
      <w:numPr>
        <w:numId w:val="0"/>
      </w:numPr>
      <w:tabs>
        <w:tab w:val="clear" w:pos="4536"/>
      </w:tabs>
      <w:spacing w:before="240" w:after="120"/>
    </w:pPr>
    <w:rPr>
      <w:rFonts w:ascii="Calibri" w:hAnsi="Calibri"/>
      <w:b/>
      <w:sz w:val="24"/>
      <w:szCs w:val="24"/>
    </w:rPr>
  </w:style>
  <w:style w:type="character" w:styleId="CommentReference">
    <w:name w:val="annotation reference"/>
    <w:basedOn w:val="DefaultParagraphFont"/>
    <w:uiPriority w:val="99"/>
    <w:semiHidden/>
    <w:unhideWhenUsed/>
    <w:rsid w:val="009C1ABB"/>
    <w:rPr>
      <w:sz w:val="16"/>
      <w:szCs w:val="16"/>
    </w:rPr>
  </w:style>
  <w:style w:type="paragraph" w:styleId="CommentText">
    <w:name w:val="annotation text"/>
    <w:basedOn w:val="Normal"/>
    <w:link w:val="CommentTextChar"/>
    <w:uiPriority w:val="99"/>
    <w:semiHidden/>
    <w:unhideWhenUsed/>
    <w:rsid w:val="009C1ABB"/>
    <w:pPr>
      <w:spacing w:line="240" w:lineRule="auto"/>
    </w:pPr>
    <w:rPr>
      <w:sz w:val="20"/>
      <w:szCs w:val="20"/>
    </w:rPr>
  </w:style>
  <w:style w:type="character" w:customStyle="1" w:styleId="CommentTextChar">
    <w:name w:val="Comment Text Char"/>
    <w:basedOn w:val="DefaultParagraphFont"/>
    <w:link w:val="CommentText"/>
    <w:uiPriority w:val="99"/>
    <w:semiHidden/>
    <w:rsid w:val="009C1ABB"/>
    <w:rPr>
      <w:sz w:val="20"/>
      <w:szCs w:val="20"/>
    </w:rPr>
  </w:style>
  <w:style w:type="paragraph" w:styleId="CommentSubject">
    <w:name w:val="annotation subject"/>
    <w:basedOn w:val="CommentText"/>
    <w:next w:val="CommentText"/>
    <w:link w:val="CommentSubjectChar"/>
    <w:uiPriority w:val="99"/>
    <w:semiHidden/>
    <w:unhideWhenUsed/>
    <w:rsid w:val="009C1ABB"/>
    <w:rPr>
      <w:b/>
      <w:bCs/>
    </w:rPr>
  </w:style>
  <w:style w:type="character" w:customStyle="1" w:styleId="CommentSubjectChar">
    <w:name w:val="Comment Subject Char"/>
    <w:basedOn w:val="CommentTextChar"/>
    <w:link w:val="CommentSubject"/>
    <w:uiPriority w:val="99"/>
    <w:semiHidden/>
    <w:rsid w:val="009C1ABB"/>
    <w:rPr>
      <w:b/>
      <w:bCs/>
      <w:sz w:val="20"/>
      <w:szCs w:val="20"/>
    </w:rPr>
  </w:style>
  <w:style w:type="paragraph" w:customStyle="1" w:styleId="CostingsH9">
    <w:name w:val="Costings H9"/>
    <w:basedOn w:val="Heading9"/>
    <w:next w:val="BodyText"/>
    <w:qFormat/>
    <w:rsid w:val="000501F1"/>
    <w:pPr>
      <w:tabs>
        <w:tab w:val="left" w:pos="1559"/>
        <w:tab w:val="left" w:pos="1843"/>
        <w:tab w:val="left" w:pos="2126"/>
        <w:tab w:val="left" w:pos="2410"/>
      </w:tabs>
      <w:spacing w:before="240" w:after="120"/>
    </w:pPr>
    <w:rPr>
      <w:rFonts w:ascii="Calibri" w:eastAsiaTheme="minorHAnsi" w:hAnsi="Calibri" w:cstheme="minorBidi"/>
      <w:iCs w:val="0"/>
      <w:color w:val="2B3B5F" w:themeColor="text2"/>
      <w:sz w:val="24"/>
      <w:szCs w:val="22"/>
    </w:rPr>
  </w:style>
  <w:style w:type="character" w:styleId="FollowedHyperlink">
    <w:name w:val="FollowedHyperlink"/>
    <w:basedOn w:val="DefaultParagraphFont"/>
    <w:semiHidden/>
    <w:unhideWhenUsed/>
    <w:rsid w:val="00E42EDF"/>
    <w:rPr>
      <w:color w:val="000000" w:themeColor="followedHyperlink"/>
      <w:u w:val="single"/>
    </w:rPr>
  </w:style>
  <w:style w:type="character" w:customStyle="1" w:styleId="FollowedHyperlink1">
    <w:name w:val="FollowedHyperlink1"/>
    <w:basedOn w:val="DefaultParagraphFont"/>
    <w:uiPriority w:val="99"/>
    <w:semiHidden/>
    <w:unhideWhenUsed/>
    <w:rsid w:val="000B5C96"/>
    <w:rPr>
      <w:color w:val="800080"/>
      <w:u w:val="single"/>
    </w:rPr>
  </w:style>
  <w:style w:type="table" w:customStyle="1" w:styleId="TableGrid110">
    <w:name w:val="Table Grid110"/>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1">
    <w:name w:val="Table Grid31"/>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11">
    <w:name w:val="Table Grid111"/>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1">
    <w:name w:val="Table Grid41"/>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paragraph" w:customStyle="1" w:styleId="Tablecaption">
    <w:name w:val="Table caption"/>
    <w:basedOn w:val="Normal"/>
    <w:link w:val="TablecaptionChar"/>
    <w:qFormat/>
    <w:rsid w:val="000B5C96"/>
    <w:pPr>
      <w:keepNext/>
      <w:spacing w:before="340" w:after="114"/>
    </w:pPr>
    <w:rPr>
      <w:rFonts w:ascii="Calibri" w:eastAsia="Calibri" w:hAnsi="Calibri" w:cs="Times New Roman"/>
      <w:b/>
      <w:bCs/>
      <w:color w:val="1F497D"/>
      <w:spacing w:val="-4"/>
    </w:rPr>
  </w:style>
  <w:style w:type="character" w:customStyle="1" w:styleId="TablecaptionChar">
    <w:name w:val="Table caption Char"/>
    <w:basedOn w:val="DefaultParagraphFont"/>
    <w:link w:val="Tablecaption"/>
    <w:rsid w:val="000B5C96"/>
    <w:rPr>
      <w:rFonts w:ascii="Calibri" w:eastAsia="Calibri" w:hAnsi="Calibri" w:cs="Times New Roman"/>
      <w:b/>
      <w:bCs/>
      <w:color w:val="1F497D"/>
      <w:spacing w:val="-4"/>
    </w:rPr>
  </w:style>
  <w:style w:type="table" w:customStyle="1" w:styleId="TableGrid30">
    <w:name w:val="Table Grid30"/>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32">
    <w:name w:val="Table Grid32"/>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33">
    <w:name w:val="Table Grid33"/>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4">
    <w:name w:val="Table Grid34"/>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5">
    <w:name w:val="Table Grid35"/>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6">
    <w:name w:val="Table Grid36"/>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7">
    <w:name w:val="Table Grid37"/>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8">
    <w:name w:val="Table Grid38"/>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9">
    <w:name w:val="Table Grid39"/>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0">
    <w:name w:val="Table Grid40"/>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2">
    <w:name w:val="Table Grid42"/>
    <w:basedOn w:val="TableNormal"/>
    <w:next w:val="TableGrid"/>
    <w:rsid w:val="000B5C96"/>
    <w:pPr>
      <w:spacing w:before="70" w:after="70" w:line="260" w:lineRule="atLeast"/>
      <w:ind w:left="113" w:right="113"/>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3">
    <w:name w:val="Table Grid43"/>
    <w:basedOn w:val="TableNormal"/>
    <w:next w:val="TableGrid"/>
    <w:rsid w:val="000B5C96"/>
    <w:pPr>
      <w:spacing w:before="70" w:after="70" w:line="260" w:lineRule="atLeast"/>
      <w:ind w:left="113" w:right="113"/>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4">
    <w:name w:val="Table Grid44"/>
    <w:basedOn w:val="TableNormal"/>
    <w:next w:val="TableGrid"/>
    <w:rsid w:val="000B5C96"/>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5">
    <w:name w:val="Table Grid45"/>
    <w:basedOn w:val="TableNormal"/>
    <w:next w:val="TableGrid"/>
    <w:rsid w:val="000B5C96"/>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6">
    <w:name w:val="Table Grid46"/>
    <w:basedOn w:val="TableNormal"/>
    <w:next w:val="TableGrid"/>
    <w:rsid w:val="000B5C96"/>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7">
    <w:name w:val="Table Grid47"/>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8">
    <w:name w:val="Table Grid48"/>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9">
    <w:name w:val="Table Grid49"/>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0">
    <w:name w:val="Table Grid50"/>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1">
    <w:name w:val="Table Grid51"/>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2">
    <w:name w:val="Table Grid52"/>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3">
    <w:name w:val="Table Grid53"/>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4">
    <w:name w:val="Table Grid54"/>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10">
    <w:name w:val="Table Grid410"/>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5">
    <w:name w:val="Table Grid55"/>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6">
    <w:name w:val="Table Grid56"/>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7">
    <w:name w:val="Table Grid57"/>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58">
    <w:name w:val="Table Grid58"/>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59">
    <w:name w:val="Table Grid59"/>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60">
    <w:name w:val="Table Grid60"/>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1">
    <w:name w:val="Table Grid61"/>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2">
    <w:name w:val="Table Grid62"/>
    <w:basedOn w:val="TableNormal"/>
    <w:next w:val="TableGrid"/>
    <w:rsid w:val="000B5C96"/>
    <w:pPr>
      <w:spacing w:before="70" w:after="70" w:line="260" w:lineRule="atLeast"/>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3">
    <w:name w:val="Table Grid63"/>
    <w:basedOn w:val="TableNormal"/>
    <w:next w:val="TableGrid"/>
    <w:rsid w:val="000B5C96"/>
    <w:pPr>
      <w:spacing w:before="70" w:after="70" w:line="260" w:lineRule="atLeast"/>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4">
    <w:name w:val="Table Grid64"/>
    <w:basedOn w:val="TableNormal"/>
    <w:next w:val="TableGrid"/>
    <w:rsid w:val="000B5C96"/>
    <w:pPr>
      <w:spacing w:before="70" w:after="70" w:line="260" w:lineRule="atLeast"/>
      <w:ind w:left="113" w:right="113"/>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5">
    <w:name w:val="Table Grid65"/>
    <w:basedOn w:val="TableNormal"/>
    <w:next w:val="TableGrid"/>
    <w:rsid w:val="000B5C96"/>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6">
    <w:name w:val="Table Grid66"/>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67">
    <w:name w:val="Table Grid67"/>
    <w:basedOn w:val="TableNormal"/>
    <w:next w:val="TableGrid"/>
    <w:rsid w:val="000B5C96"/>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8">
    <w:name w:val="Table Grid68"/>
    <w:basedOn w:val="TableNormal"/>
    <w:next w:val="TableGrid"/>
    <w:rsid w:val="000B5C96"/>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9">
    <w:name w:val="Table Grid69"/>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0">
    <w:name w:val="Table Grid70"/>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1">
    <w:name w:val="Table Grid71"/>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72">
    <w:name w:val="Table Grid72"/>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73">
    <w:name w:val="Table Grid73"/>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74">
    <w:name w:val="Table Grid74"/>
    <w:basedOn w:val="TableNormal"/>
    <w:next w:val="TableGrid"/>
    <w:rsid w:val="000B5C96"/>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5">
    <w:name w:val="Table Grid75"/>
    <w:basedOn w:val="TableNormal"/>
    <w:next w:val="TableGrid"/>
    <w:rsid w:val="000B5C96"/>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6">
    <w:name w:val="Table Grid76"/>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7">
    <w:name w:val="Table Grid77"/>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8">
    <w:name w:val="Table Grid78"/>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79">
    <w:name w:val="Table Grid79"/>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80">
    <w:name w:val="Table Grid80"/>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81">
    <w:name w:val="Table Grid81"/>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82">
    <w:name w:val="Table Grid82"/>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83">
    <w:name w:val="Table Grid83"/>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84">
    <w:name w:val="Table Grid84"/>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85">
    <w:name w:val="Table Grid85"/>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86">
    <w:name w:val="Table Grid86"/>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87">
    <w:name w:val="Table Grid87"/>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88">
    <w:name w:val="Table Grid88"/>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89">
    <w:name w:val="Table Grid89"/>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0">
    <w:name w:val="Table Grid90"/>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1">
    <w:name w:val="Table Grid91"/>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14">
    <w:name w:val="Style114"/>
    <w:basedOn w:val="TableNormal"/>
    <w:uiPriority w:val="99"/>
    <w:rsid w:val="000B5C96"/>
    <w:pPr>
      <w:spacing w:line="240" w:lineRule="auto"/>
      <w:ind w:left="57" w:right="57"/>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92">
    <w:name w:val="Table Grid92"/>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3">
    <w:name w:val="Table Grid93"/>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4">
    <w:name w:val="Table Grid94"/>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5">
    <w:name w:val="Table Grid95"/>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6">
    <w:name w:val="Table Grid96"/>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7">
    <w:name w:val="Table Grid97"/>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15">
    <w:name w:val="Style115"/>
    <w:basedOn w:val="TableNormal"/>
    <w:uiPriority w:val="99"/>
    <w:rsid w:val="000B5C96"/>
    <w:pPr>
      <w:spacing w:line="240" w:lineRule="auto"/>
      <w:ind w:left="57" w:right="57"/>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98">
    <w:name w:val="Table Grid98"/>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9">
    <w:name w:val="Table Grid99"/>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0">
    <w:name w:val="Table Grid100"/>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1">
    <w:name w:val="Table Grid101"/>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2">
    <w:name w:val="Table Grid102"/>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3">
    <w:name w:val="Table Grid103"/>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paragraph" w:customStyle="1" w:styleId="Default">
    <w:name w:val="Default"/>
    <w:rsid w:val="000B5C96"/>
    <w:pPr>
      <w:autoSpaceDE w:val="0"/>
      <w:autoSpaceDN w:val="0"/>
      <w:adjustRightInd w:val="0"/>
      <w:spacing w:line="240" w:lineRule="auto"/>
    </w:pPr>
    <w:rPr>
      <w:rFonts w:ascii="Georgia" w:hAnsi="Georgia" w:cs="Georgia"/>
      <w:color w:val="000000"/>
      <w:sz w:val="24"/>
      <w:szCs w:val="24"/>
    </w:rPr>
  </w:style>
  <w:style w:type="table" w:customStyle="1" w:styleId="TableGrid104">
    <w:name w:val="Table Grid104"/>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5">
    <w:name w:val="Table Grid105"/>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6">
    <w:name w:val="Table Grid106"/>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7">
    <w:name w:val="Table Grid107"/>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8">
    <w:name w:val="Table Grid108"/>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9">
    <w:name w:val="Table Grid109"/>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16">
    <w:name w:val="Style116"/>
    <w:basedOn w:val="TableNormal"/>
    <w:uiPriority w:val="99"/>
    <w:rsid w:val="000B5C96"/>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112">
    <w:name w:val="Table Grid112"/>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13">
    <w:name w:val="Table Grid113"/>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17">
    <w:name w:val="Style117"/>
    <w:basedOn w:val="TableNormal"/>
    <w:uiPriority w:val="99"/>
    <w:rsid w:val="000B5C96"/>
    <w:pPr>
      <w:spacing w:line="240" w:lineRule="auto"/>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114">
    <w:name w:val="Table Grid114"/>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15">
    <w:name w:val="Table Grid115"/>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18">
    <w:name w:val="Style118"/>
    <w:basedOn w:val="TableNormal"/>
    <w:uiPriority w:val="99"/>
    <w:rsid w:val="000B5C96"/>
    <w:pPr>
      <w:spacing w:line="240" w:lineRule="auto"/>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paragraph" w:customStyle="1" w:styleId="xl125">
    <w:name w:val="xl125"/>
    <w:basedOn w:val="Normal"/>
    <w:rsid w:val="000B5C9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26">
    <w:name w:val="xl126"/>
    <w:basedOn w:val="Normal"/>
    <w:rsid w:val="000B5C9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27">
    <w:name w:val="xl127"/>
    <w:basedOn w:val="Normal"/>
    <w:rsid w:val="000B5C96"/>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28">
    <w:name w:val="xl128"/>
    <w:basedOn w:val="Normal"/>
    <w:rsid w:val="000B5C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29">
    <w:name w:val="xl129"/>
    <w:basedOn w:val="Normal"/>
    <w:rsid w:val="000B5C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30">
    <w:name w:val="xl130"/>
    <w:basedOn w:val="Normal"/>
    <w:rsid w:val="000B5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en-AU"/>
    </w:rPr>
  </w:style>
  <w:style w:type="paragraph" w:customStyle="1" w:styleId="xl131">
    <w:name w:val="xl131"/>
    <w:basedOn w:val="Normal"/>
    <w:rsid w:val="000B5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32">
    <w:name w:val="xl132"/>
    <w:basedOn w:val="Normal"/>
    <w:rsid w:val="000B5C96"/>
    <w:pPr>
      <w:spacing w:before="100" w:beforeAutospacing="1" w:after="100" w:afterAutospacing="1" w:line="240" w:lineRule="auto"/>
    </w:pPr>
    <w:rPr>
      <w:rFonts w:ascii="Times New Roman" w:eastAsia="Times New Roman" w:hAnsi="Times New Roman" w:cs="Times New Roman"/>
      <w:i/>
      <w:iCs/>
      <w:sz w:val="24"/>
      <w:szCs w:val="24"/>
      <w:lang w:eastAsia="en-AU"/>
    </w:rPr>
  </w:style>
  <w:style w:type="paragraph" w:customStyle="1" w:styleId="xl133">
    <w:name w:val="xl133"/>
    <w:basedOn w:val="Normal"/>
    <w:rsid w:val="000B5C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Times New Roman" w:eastAsia="Times New Roman" w:hAnsi="Times New Roman" w:cs="Times New Roman"/>
      <w:b/>
      <w:bCs/>
      <w:sz w:val="24"/>
      <w:szCs w:val="24"/>
      <w:lang w:eastAsia="en-AU"/>
    </w:rPr>
  </w:style>
  <w:style w:type="paragraph" w:customStyle="1" w:styleId="xl134">
    <w:name w:val="xl134"/>
    <w:basedOn w:val="Normal"/>
    <w:rsid w:val="000B5C9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5">
    <w:name w:val="xl135"/>
    <w:basedOn w:val="Normal"/>
    <w:rsid w:val="000B5C96"/>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136">
    <w:name w:val="xl136"/>
    <w:basedOn w:val="Normal"/>
    <w:rsid w:val="000B5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n-AU"/>
    </w:rPr>
  </w:style>
  <w:style w:type="paragraph" w:customStyle="1" w:styleId="xl137">
    <w:name w:val="xl137"/>
    <w:basedOn w:val="Normal"/>
    <w:rsid w:val="000B5C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xl138">
    <w:name w:val="xl138"/>
    <w:basedOn w:val="Normal"/>
    <w:rsid w:val="000B5C9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9">
    <w:name w:val="xl139"/>
    <w:basedOn w:val="Normal"/>
    <w:rsid w:val="000B5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n-AU"/>
    </w:rPr>
  </w:style>
  <w:style w:type="table" w:customStyle="1" w:styleId="TableGrid116">
    <w:name w:val="Table Grid116"/>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19">
    <w:name w:val="Style119"/>
    <w:basedOn w:val="TableNormal"/>
    <w:uiPriority w:val="99"/>
    <w:rsid w:val="000B5C96"/>
    <w:pPr>
      <w:spacing w:line="240" w:lineRule="auto"/>
      <w:ind w:left="57" w:right="57"/>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117">
    <w:name w:val="Table Grid117"/>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18">
    <w:name w:val="Table Grid118"/>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19">
    <w:name w:val="Table Grid119"/>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20">
    <w:name w:val="Table Grid120"/>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qFormat="1"/>
    <w:lsdException w:name="table of figures" w:semiHidden="0" w:unhideWhenUsed="0"/>
    <w:lsdException w:name="footnote reference" w:uiPriority="99"/>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nhideWhenUsed="0"/>
    <w:lsdException w:name="Default Paragraph Font" w:uiPriority="1"/>
    <w:lsdException w:name="Body Text" w:uiPriority="99" w:qFormat="1"/>
    <w:lsdException w:name="List Continue" w:qFormat="1"/>
    <w:lsdException w:name="List Continue 2" w:qFormat="1"/>
    <w:lsdException w:name="Subtitle" w:semiHidden="0" w:unhideWhenUsed="0"/>
    <w:lsdException w:name="Hyperlink" w:uiPriority="99"/>
    <w:lsdException w:name="Strong" w:unhideWhenUsed="0" w:qFormat="1"/>
    <w:lsdException w:name="Emphasis"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iPriority="32" w:unhideWhenUsed="0" w:qFormat="1"/>
    <w:lsdException w:name="Book Title" w:unhideWhenUsed="0" w:qFormat="1"/>
  </w:latentStyles>
  <w:style w:type="paragraph" w:default="1" w:styleId="Normal">
    <w:name w:val="Normal"/>
    <w:qFormat/>
    <w:rsid w:val="00316289"/>
  </w:style>
  <w:style w:type="paragraph" w:styleId="Heading1">
    <w:name w:val="heading 1"/>
    <w:basedOn w:val="Normal"/>
    <w:next w:val="BodyText"/>
    <w:link w:val="Heading1Char"/>
    <w:qFormat/>
    <w:rsid w:val="00316289"/>
    <w:pPr>
      <w:keepNext/>
      <w:keepLines/>
      <w:numPr>
        <w:numId w:val="11"/>
      </w:numPr>
      <w:tabs>
        <w:tab w:val="right" w:pos="1418"/>
        <w:tab w:val="right" w:pos="1701"/>
        <w:tab w:val="right" w:pos="1985"/>
      </w:tabs>
      <w:spacing w:before="480" w:after="340" w:line="240" w:lineRule="auto"/>
      <w:outlineLvl w:val="0"/>
    </w:pPr>
    <w:rPr>
      <w:rFonts w:asciiTheme="majorHAnsi" w:hAnsiTheme="majorHAnsi"/>
      <w:bCs/>
      <w:color w:val="2B3B5F" w:themeColor="text2"/>
      <w:spacing w:val="-6"/>
      <w:kern w:val="32"/>
      <w:sz w:val="40"/>
      <w:szCs w:val="32"/>
    </w:rPr>
  </w:style>
  <w:style w:type="paragraph" w:styleId="Heading2">
    <w:name w:val="heading 2"/>
    <w:basedOn w:val="Normal"/>
    <w:next w:val="BodyText"/>
    <w:link w:val="Heading2Char"/>
    <w:qFormat/>
    <w:rsid w:val="00316289"/>
    <w:pPr>
      <w:keepNext/>
      <w:keepLines/>
      <w:numPr>
        <w:ilvl w:val="1"/>
        <w:numId w:val="11"/>
      </w:numPr>
      <w:tabs>
        <w:tab w:val="left" w:pos="1418"/>
        <w:tab w:val="left" w:pos="1701"/>
        <w:tab w:val="left" w:pos="1985"/>
      </w:tabs>
      <w:spacing w:before="470" w:after="227"/>
      <w:outlineLvl w:val="1"/>
    </w:pPr>
    <w:rPr>
      <w:rFonts w:asciiTheme="majorHAnsi" w:hAnsiTheme="majorHAnsi"/>
      <w:bCs/>
      <w:iCs/>
      <w:color w:val="2B3B5F" w:themeColor="text2"/>
      <w:kern w:val="20"/>
      <w:sz w:val="32"/>
      <w:szCs w:val="28"/>
    </w:rPr>
  </w:style>
  <w:style w:type="paragraph" w:styleId="Heading3">
    <w:name w:val="heading 3"/>
    <w:basedOn w:val="Normal"/>
    <w:next w:val="BodyText"/>
    <w:link w:val="Heading3Char"/>
    <w:qFormat/>
    <w:rsid w:val="00316289"/>
    <w:pPr>
      <w:keepNext/>
      <w:keepLines/>
      <w:numPr>
        <w:ilvl w:val="2"/>
        <w:numId w:val="10"/>
      </w:numPr>
      <w:tabs>
        <w:tab w:val="left" w:pos="1418"/>
        <w:tab w:val="left" w:pos="1701"/>
        <w:tab w:val="left" w:pos="1985"/>
      </w:tabs>
      <w:spacing w:before="470" w:after="227"/>
      <w:outlineLvl w:val="2"/>
    </w:pPr>
    <w:rPr>
      <w:b/>
      <w:color w:val="2B3B5F" w:themeColor="text2"/>
      <w:sz w:val="28"/>
    </w:rPr>
  </w:style>
  <w:style w:type="paragraph" w:styleId="Heading4">
    <w:name w:val="heading 4"/>
    <w:basedOn w:val="Normal"/>
    <w:next w:val="BodyText"/>
    <w:link w:val="Heading4Char"/>
    <w:uiPriority w:val="9"/>
    <w:qFormat/>
    <w:rsid w:val="00316289"/>
    <w:pPr>
      <w:keepNext/>
      <w:keepLines/>
      <w:tabs>
        <w:tab w:val="left" w:pos="1418"/>
        <w:tab w:val="left" w:pos="1701"/>
        <w:tab w:val="left" w:pos="1985"/>
      </w:tabs>
      <w:spacing w:before="227" w:after="113"/>
      <w:outlineLvl w:val="3"/>
    </w:pPr>
    <w:rPr>
      <w:rFonts w:eastAsiaTheme="majorEastAsia" w:cstheme="majorBidi"/>
      <w:b/>
      <w:bCs/>
      <w:i/>
      <w:iCs/>
      <w:color w:val="2B3B5F" w:themeColor="text2"/>
      <w:sz w:val="24"/>
    </w:rPr>
  </w:style>
  <w:style w:type="paragraph" w:styleId="Heading5">
    <w:name w:val="heading 5"/>
    <w:basedOn w:val="Normal"/>
    <w:next w:val="BodyText"/>
    <w:link w:val="Heading5Char"/>
    <w:qFormat/>
    <w:rsid w:val="00316289"/>
    <w:pPr>
      <w:keepNext/>
      <w:keepLines/>
      <w:spacing w:before="180" w:after="60"/>
      <w:outlineLvl w:val="4"/>
    </w:pPr>
    <w:rPr>
      <w:rFonts w:asciiTheme="majorHAnsi" w:eastAsiaTheme="majorEastAsia" w:hAnsiTheme="majorHAnsi" w:cstheme="majorBidi"/>
      <w:i/>
      <w:color w:val="636366"/>
      <w:sz w:val="24"/>
    </w:rPr>
  </w:style>
  <w:style w:type="paragraph" w:styleId="Heading6">
    <w:name w:val="heading 6"/>
    <w:basedOn w:val="Normal"/>
    <w:next w:val="BodyText"/>
    <w:link w:val="Heading6Char"/>
    <w:qFormat/>
    <w:rsid w:val="007A4BF9"/>
    <w:pPr>
      <w:keepNext/>
      <w:keepLines/>
      <w:spacing w:before="240" w:after="340" w:line="240" w:lineRule="auto"/>
      <w:outlineLvl w:val="5"/>
    </w:pPr>
    <w:rPr>
      <w:rFonts w:asciiTheme="majorHAnsi" w:eastAsiaTheme="majorEastAsia" w:hAnsiTheme="majorHAnsi" w:cstheme="majorBidi"/>
      <w:iCs/>
      <w:color w:val="2B3B5F" w:themeColor="text2"/>
      <w:sz w:val="32"/>
    </w:rPr>
  </w:style>
  <w:style w:type="paragraph" w:styleId="Heading7">
    <w:name w:val="heading 7"/>
    <w:basedOn w:val="Normal"/>
    <w:next w:val="Normal"/>
    <w:link w:val="Heading7Char"/>
    <w:semiHidden/>
    <w:unhideWhenUsed/>
    <w:rsid w:val="00961DB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Appendix Title"/>
    <w:basedOn w:val="Normal"/>
    <w:next w:val="BodyText"/>
    <w:link w:val="Heading8Char"/>
    <w:unhideWhenUsed/>
    <w:rsid w:val="00AF49FE"/>
    <w:pPr>
      <w:keepNext/>
      <w:keepLines/>
      <w:numPr>
        <w:numId w:val="1"/>
      </w:numPr>
      <w:tabs>
        <w:tab w:val="left" w:pos="4536"/>
      </w:tabs>
      <w:spacing w:before="480" w:after="340"/>
      <w:outlineLvl w:val="7"/>
    </w:pPr>
    <w:rPr>
      <w:rFonts w:asciiTheme="majorHAnsi" w:eastAsiaTheme="majorEastAsia" w:hAnsiTheme="majorHAnsi" w:cstheme="majorBidi"/>
      <w:color w:val="2B3B5F" w:themeColor="text2"/>
      <w:sz w:val="40"/>
    </w:rPr>
  </w:style>
  <w:style w:type="paragraph" w:styleId="Heading9">
    <w:name w:val="heading 9"/>
    <w:aliases w:val="Appendix Heading 1"/>
    <w:basedOn w:val="Normal"/>
    <w:next w:val="BodyText"/>
    <w:link w:val="Heading9Char"/>
    <w:unhideWhenUsed/>
    <w:rsid w:val="00CA5598"/>
    <w:pPr>
      <w:keepNext/>
      <w:keepLines/>
      <w:numPr>
        <w:ilvl w:val="1"/>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834DC"/>
    <w:pPr>
      <w:tabs>
        <w:tab w:val="left" w:pos="425"/>
      </w:tabs>
      <w:spacing w:before="50" w:line="260" w:lineRule="exact"/>
      <w:ind w:left="425" w:hanging="425"/>
    </w:pPr>
    <w:rPr>
      <w:kern w:val="16"/>
      <w:sz w:val="18"/>
    </w:rPr>
  </w:style>
  <w:style w:type="character" w:customStyle="1" w:styleId="FootnoteTextChar">
    <w:name w:val="Footnote Text Char"/>
    <w:basedOn w:val="DefaultParagraphFont"/>
    <w:link w:val="FootnoteText"/>
    <w:uiPriority w:val="99"/>
    <w:rsid w:val="000E266E"/>
    <w:rPr>
      <w:kern w:val="16"/>
      <w:sz w:val="18"/>
    </w:rPr>
  </w:style>
  <w:style w:type="character" w:styleId="FootnoteReference">
    <w:name w:val="footnote reference"/>
    <w:basedOn w:val="DefaultParagraphFont"/>
    <w:uiPriority w:val="99"/>
    <w:rsid w:val="00961DBB"/>
    <w:rPr>
      <w:rFonts w:asciiTheme="minorHAnsi" w:hAnsiTheme="minorHAnsi"/>
      <w:color w:val="auto"/>
      <w:vertAlign w:val="superscript"/>
    </w:rPr>
  </w:style>
  <w:style w:type="paragraph" w:styleId="BodyText">
    <w:name w:val="Body Text"/>
    <w:basedOn w:val="Normal"/>
    <w:link w:val="BodyTextChar"/>
    <w:uiPriority w:val="99"/>
    <w:qFormat/>
    <w:rsid w:val="00316289"/>
    <w:pPr>
      <w:spacing w:before="113" w:after="113"/>
    </w:pPr>
    <w:rPr>
      <w:rFonts w:cs="Times New Roman"/>
      <w:spacing w:val="-1"/>
    </w:rPr>
  </w:style>
  <w:style w:type="character" w:customStyle="1" w:styleId="BodyTextChar">
    <w:name w:val="Body Text Char"/>
    <w:basedOn w:val="DefaultParagraphFont"/>
    <w:link w:val="BodyText"/>
    <w:uiPriority w:val="99"/>
    <w:rsid w:val="00316289"/>
    <w:rPr>
      <w:rFonts w:cs="Times New Roman"/>
      <w:spacing w:val="-1"/>
    </w:rPr>
  </w:style>
  <w:style w:type="paragraph" w:customStyle="1" w:styleId="BodyText17ptAbove">
    <w:name w:val="Body Text 17pt Above"/>
    <w:basedOn w:val="BodyText"/>
    <w:next w:val="BodyText"/>
    <w:qFormat/>
    <w:rsid w:val="00316289"/>
    <w:pPr>
      <w:spacing w:before="340"/>
    </w:pPr>
  </w:style>
  <w:style w:type="character" w:customStyle="1" w:styleId="Heading1Char">
    <w:name w:val="Heading 1 Char"/>
    <w:basedOn w:val="DefaultParagraphFont"/>
    <w:link w:val="Heading1"/>
    <w:rsid w:val="00316289"/>
    <w:rPr>
      <w:rFonts w:asciiTheme="majorHAnsi" w:hAnsiTheme="majorHAnsi"/>
      <w:bCs/>
      <w:color w:val="2B3B5F" w:themeColor="text2"/>
      <w:spacing w:val="-6"/>
      <w:kern w:val="32"/>
      <w:sz w:val="40"/>
      <w:szCs w:val="32"/>
    </w:rPr>
  </w:style>
  <w:style w:type="character" w:customStyle="1" w:styleId="Heading2Char">
    <w:name w:val="Heading 2 Char"/>
    <w:basedOn w:val="DefaultParagraphFont"/>
    <w:link w:val="Heading2"/>
    <w:rsid w:val="00316289"/>
    <w:rPr>
      <w:rFonts w:asciiTheme="majorHAnsi" w:hAnsiTheme="majorHAnsi"/>
      <w:bCs/>
      <w:iCs/>
      <w:color w:val="2B3B5F" w:themeColor="text2"/>
      <w:kern w:val="20"/>
      <w:sz w:val="32"/>
      <w:szCs w:val="28"/>
    </w:rPr>
  </w:style>
  <w:style w:type="character" w:customStyle="1" w:styleId="Heading3Char">
    <w:name w:val="Heading 3 Char"/>
    <w:basedOn w:val="DefaultParagraphFont"/>
    <w:link w:val="Heading3"/>
    <w:rsid w:val="00316289"/>
    <w:rPr>
      <w:b/>
      <w:color w:val="2B3B5F" w:themeColor="text2"/>
      <w:sz w:val="28"/>
    </w:rPr>
  </w:style>
  <w:style w:type="character" w:customStyle="1" w:styleId="Heading4Char">
    <w:name w:val="Heading 4 Char"/>
    <w:basedOn w:val="DefaultParagraphFont"/>
    <w:link w:val="Heading4"/>
    <w:uiPriority w:val="9"/>
    <w:rsid w:val="00316289"/>
    <w:rPr>
      <w:rFonts w:eastAsiaTheme="majorEastAsia" w:cstheme="majorBidi"/>
      <w:b/>
      <w:bCs/>
      <w:i/>
      <w:iCs/>
      <w:color w:val="2B3B5F" w:themeColor="text2"/>
      <w:sz w:val="24"/>
    </w:rPr>
  </w:style>
  <w:style w:type="character" w:customStyle="1" w:styleId="Heading5Char">
    <w:name w:val="Heading 5 Char"/>
    <w:basedOn w:val="DefaultParagraphFont"/>
    <w:link w:val="Heading5"/>
    <w:rsid w:val="00316289"/>
    <w:rPr>
      <w:rFonts w:asciiTheme="majorHAnsi" w:eastAsiaTheme="majorEastAsia" w:hAnsiTheme="majorHAnsi" w:cstheme="majorBidi"/>
      <w:i/>
      <w:color w:val="636366"/>
      <w:sz w:val="24"/>
    </w:rPr>
  </w:style>
  <w:style w:type="character" w:customStyle="1" w:styleId="Heading6Char">
    <w:name w:val="Heading 6 Char"/>
    <w:basedOn w:val="DefaultParagraphFont"/>
    <w:link w:val="Heading6"/>
    <w:rsid w:val="007A4BF9"/>
    <w:rPr>
      <w:rFonts w:asciiTheme="majorHAnsi" w:eastAsiaTheme="majorEastAsia" w:hAnsiTheme="majorHAnsi" w:cstheme="majorBidi"/>
      <w:iCs/>
      <w:color w:val="2B3B5F" w:themeColor="text2"/>
      <w:sz w:val="32"/>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i/>
      <w:iCs/>
      <w:color w:val="404040" w:themeColor="text1" w:themeTint="BF"/>
    </w:rPr>
  </w:style>
  <w:style w:type="character" w:customStyle="1" w:styleId="Heading8Char">
    <w:name w:val="Heading 8 Char"/>
    <w:aliases w:val="Appendix Title Char"/>
    <w:basedOn w:val="DefaultParagraphFont"/>
    <w:link w:val="Heading8"/>
    <w:rsid w:val="00AF49FE"/>
    <w:rPr>
      <w:rFonts w:asciiTheme="majorHAnsi" w:eastAsiaTheme="majorEastAsia" w:hAnsiTheme="majorHAnsi" w:cstheme="majorBidi"/>
      <w:color w:val="2B3B5F" w:themeColor="text2"/>
      <w:sz w:val="40"/>
    </w:rPr>
  </w:style>
  <w:style w:type="character" w:customStyle="1" w:styleId="Heading9Char">
    <w:name w:val="Heading 9 Char"/>
    <w:aliases w:val="Appendix Heading 1 Char"/>
    <w:basedOn w:val="DefaultParagraphFont"/>
    <w:link w:val="Heading9"/>
    <w:rsid w:val="000E266E"/>
    <w:rPr>
      <w:rFonts w:asciiTheme="majorHAnsi" w:eastAsiaTheme="majorEastAsia" w:hAnsiTheme="majorHAnsi" w:cstheme="majorBidi"/>
      <w:i/>
      <w:iCs/>
      <w:color w:val="404040" w:themeColor="text1" w:themeTint="BF"/>
      <w:sz w:val="20"/>
      <w:szCs w:val="20"/>
    </w:rPr>
  </w:style>
  <w:style w:type="paragraph" w:customStyle="1" w:styleId="AppendixHeading2">
    <w:name w:val="Appendix Heading 2"/>
    <w:basedOn w:val="Normal"/>
    <w:next w:val="BodyText"/>
    <w:rsid w:val="00CA5598"/>
    <w:pPr>
      <w:keepNext/>
      <w:keepLines/>
      <w:numPr>
        <w:ilvl w:val="2"/>
        <w:numId w:val="1"/>
      </w:numPr>
      <w:tabs>
        <w:tab w:val="left" w:pos="1559"/>
        <w:tab w:val="left" w:pos="1843"/>
        <w:tab w:val="left" w:pos="2126"/>
        <w:tab w:val="left" w:pos="2410"/>
      </w:tabs>
      <w:spacing w:before="470" w:after="227"/>
    </w:pPr>
    <w:rPr>
      <w:rFonts w:asciiTheme="majorHAnsi" w:hAnsiTheme="majorHAnsi"/>
      <w:color w:val="2B3B5F" w:themeColor="text2"/>
      <w:sz w:val="28"/>
    </w:rPr>
  </w:style>
  <w:style w:type="paragraph" w:customStyle="1" w:styleId="AppendixHeading3">
    <w:name w:val="Appendix Heading 3"/>
    <w:basedOn w:val="Normal"/>
    <w:next w:val="BodyText"/>
    <w:rsid w:val="00CA5598"/>
    <w:pPr>
      <w:keepNext/>
      <w:keepLines/>
      <w:numPr>
        <w:ilvl w:val="3"/>
        <w:numId w:val="1"/>
      </w:numPr>
      <w:tabs>
        <w:tab w:val="left" w:pos="1559"/>
        <w:tab w:val="left" w:pos="1843"/>
        <w:tab w:val="left" w:pos="2126"/>
        <w:tab w:val="left" w:pos="2410"/>
        <w:tab w:val="left" w:pos="6804"/>
      </w:tabs>
      <w:spacing w:before="227" w:after="113"/>
    </w:pPr>
    <w:rPr>
      <w:b/>
      <w:color w:val="2B3B5F" w:themeColor="text2"/>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BodyText"/>
    <w:link w:val="CaptionChar"/>
    <w:unhideWhenUsed/>
    <w:rsid w:val="00F10BED"/>
    <w:pPr>
      <w:keepNext/>
      <w:keepLines/>
      <w:spacing w:before="340" w:after="114"/>
    </w:pPr>
    <w:rPr>
      <w:b/>
      <w:bCs/>
      <w:color w:val="2B3B5F" w:themeColor="accent1"/>
      <w:szCs w:val="18"/>
    </w:rPr>
  </w:style>
  <w:style w:type="paragraph" w:styleId="Footer">
    <w:name w:val="footer"/>
    <w:basedOn w:val="Normal"/>
    <w:link w:val="FooterChar"/>
    <w:qFormat/>
    <w:rsid w:val="00961DBB"/>
    <w:pPr>
      <w:spacing w:line="240" w:lineRule="auto"/>
    </w:pPr>
    <w:rPr>
      <w:b/>
      <w:color w:val="788184" w:themeColor="background2"/>
    </w:rPr>
  </w:style>
  <w:style w:type="character" w:customStyle="1" w:styleId="FooterChar">
    <w:name w:val="Footer Char"/>
    <w:basedOn w:val="DefaultParagraphFont"/>
    <w:link w:val="Footer"/>
    <w:rsid w:val="000E266E"/>
    <w:rPr>
      <w:b/>
      <w:color w:val="788184" w:themeColor="background2"/>
    </w:rPr>
  </w:style>
  <w:style w:type="paragraph" w:customStyle="1" w:styleId="FooterLeft">
    <w:name w:val="Footer Left"/>
    <w:basedOn w:val="Footer"/>
    <w:rsid w:val="00961DBB"/>
    <w:pPr>
      <w:framePr w:wrap="around" w:vAnchor="page" w:hAnchor="margin" w:yAlign="bottom"/>
      <w:spacing w:before="180" w:after="120"/>
      <w:ind w:left="397"/>
    </w:pPr>
    <w:rPr>
      <w:spacing w:val="-2"/>
    </w:rPr>
  </w:style>
  <w:style w:type="paragraph" w:customStyle="1" w:styleId="FooterRight">
    <w:name w:val="Footer Right"/>
    <w:basedOn w:val="FooterLeft"/>
    <w:next w:val="Footer"/>
    <w:rsid w:val="00961DBB"/>
    <w:pPr>
      <w:framePr w:wrap="around" w:xAlign="right"/>
      <w:ind w:right="397"/>
      <w:jc w:val="right"/>
    </w:pPr>
  </w:style>
  <w:style w:type="paragraph" w:customStyle="1" w:styleId="FooterRightPageNumber">
    <w:name w:val="Footer Right Page Number"/>
    <w:basedOn w:val="Normal"/>
    <w:rsid w:val="00E915E6"/>
    <w:pPr>
      <w:spacing w:before="180" w:after="120" w:line="240" w:lineRule="auto"/>
      <w:jc w:val="right"/>
    </w:pPr>
    <w:rPr>
      <w:b/>
      <w:noProof/>
      <w:color w:val="788184" w:themeColor="background2"/>
    </w:rPr>
  </w:style>
  <w:style w:type="paragraph" w:customStyle="1" w:styleId="FooterLeftPageNumber">
    <w:name w:val="Footer Left Page Number"/>
    <w:basedOn w:val="Footer"/>
    <w:rsid w:val="00961DBB"/>
    <w:pPr>
      <w:framePr w:wrap="around" w:vAnchor="page" w:hAnchor="margin" w:yAlign="bottom"/>
      <w:spacing w:before="180" w:after="120"/>
      <w:ind w:right="57"/>
    </w:pPr>
  </w:style>
  <w:style w:type="paragraph" w:customStyle="1" w:styleId="FootnoteSeparator">
    <w:name w:val="Footnote Separator"/>
    <w:basedOn w:val="Normal"/>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0E266E"/>
  </w:style>
  <w:style w:type="paragraph" w:customStyle="1" w:styleId="HighlightText">
    <w:name w:val="Highlight Text"/>
    <w:basedOn w:val="Normal"/>
    <w:qFormat/>
    <w:rsid w:val="00316289"/>
    <w:pPr>
      <w:spacing w:before="120" w:after="420"/>
    </w:pPr>
    <w:rPr>
      <w:i/>
      <w:color w:val="2B3B5F" w:themeColor="text2"/>
      <w:spacing w:val="-1"/>
    </w:rPr>
  </w:style>
  <w:style w:type="paragraph" w:customStyle="1" w:styleId="Introduction">
    <w:name w:val="Introduction"/>
    <w:basedOn w:val="Normal"/>
    <w:next w:val="BodyText"/>
    <w:qFormat/>
    <w:rsid w:val="00316289"/>
    <w:pPr>
      <w:spacing w:after="180" w:line="360" w:lineRule="atLeast"/>
    </w:pPr>
    <w:rPr>
      <w:color w:val="2B3B5F" w:themeColor="text2"/>
      <w:spacing w:val="-2"/>
      <w:sz w:val="30"/>
    </w:rPr>
  </w:style>
  <w:style w:type="character" w:customStyle="1" w:styleId="Italics">
    <w:name w:val="Italics"/>
    <w:rsid w:val="00961DBB"/>
    <w:rPr>
      <w:i/>
    </w:rPr>
  </w:style>
  <w:style w:type="paragraph" w:styleId="ListBullet">
    <w:name w:val="List Bullet"/>
    <w:basedOn w:val="Normal"/>
    <w:unhideWhenUsed/>
    <w:qFormat/>
    <w:rsid w:val="00316289"/>
    <w:pPr>
      <w:keepLines/>
      <w:numPr>
        <w:numId w:val="12"/>
      </w:numPr>
      <w:spacing w:after="113"/>
    </w:pPr>
    <w:rPr>
      <w:spacing w:val="-1"/>
    </w:rPr>
  </w:style>
  <w:style w:type="paragraph" w:styleId="ListBullet2">
    <w:name w:val="List Bullet 2"/>
    <w:basedOn w:val="ListBullet"/>
    <w:unhideWhenUsed/>
    <w:qFormat/>
    <w:rsid w:val="00316289"/>
    <w:pPr>
      <w:numPr>
        <w:ilvl w:val="1"/>
      </w:numPr>
    </w:pPr>
  </w:style>
  <w:style w:type="paragraph" w:styleId="ListBullet3">
    <w:name w:val="List Bullet 3"/>
    <w:basedOn w:val="ListBullet2"/>
    <w:unhideWhenUsed/>
    <w:rsid w:val="00961DBB"/>
    <w:pPr>
      <w:numPr>
        <w:ilvl w:val="2"/>
      </w:numPr>
    </w:pPr>
  </w:style>
  <w:style w:type="paragraph" w:styleId="ListContinue">
    <w:name w:val="List Continue"/>
    <w:basedOn w:val="Normal"/>
    <w:semiHidden/>
    <w:qFormat/>
    <w:rsid w:val="00316289"/>
    <w:pPr>
      <w:spacing w:before="220" w:after="220"/>
      <w:ind w:left="340"/>
    </w:pPr>
  </w:style>
  <w:style w:type="paragraph" w:styleId="ListContinue2">
    <w:name w:val="List Continue 2"/>
    <w:basedOn w:val="Normal"/>
    <w:semiHidden/>
    <w:qFormat/>
    <w:rsid w:val="00316289"/>
    <w:pPr>
      <w:spacing w:before="220" w:after="220"/>
      <w:ind w:left="680"/>
    </w:pPr>
  </w:style>
  <w:style w:type="paragraph" w:styleId="ListNumber">
    <w:name w:val="List Number"/>
    <w:basedOn w:val="Normal"/>
    <w:qFormat/>
    <w:rsid w:val="00316289"/>
    <w:pPr>
      <w:numPr>
        <w:numId w:val="13"/>
      </w:numPr>
      <w:spacing w:before="113" w:after="113"/>
    </w:pPr>
    <w:rPr>
      <w:spacing w:val="-1"/>
    </w:rPr>
  </w:style>
  <w:style w:type="paragraph" w:styleId="ListNumber2">
    <w:name w:val="List Number 2"/>
    <w:basedOn w:val="Normal"/>
    <w:qFormat/>
    <w:rsid w:val="00316289"/>
    <w:pPr>
      <w:numPr>
        <w:ilvl w:val="1"/>
        <w:numId w:val="13"/>
      </w:numPr>
      <w:spacing w:before="113" w:after="113"/>
    </w:pPr>
    <w:rPr>
      <w:spacing w:val="-1"/>
    </w:rPr>
  </w:style>
  <w:style w:type="paragraph" w:styleId="ListNumber3">
    <w:name w:val="List Number 3"/>
    <w:basedOn w:val="Normal"/>
    <w:qFormat/>
    <w:rsid w:val="00316289"/>
    <w:pPr>
      <w:numPr>
        <w:ilvl w:val="2"/>
        <w:numId w:val="13"/>
      </w:numPr>
      <w:spacing w:before="113" w:after="113"/>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style>
  <w:style w:type="paragraph" w:customStyle="1" w:styleId="OverviewBodyText">
    <w:name w:val="Overview Body Text"/>
    <w:basedOn w:val="Normal"/>
    <w:rsid w:val="00512226"/>
    <w:pPr>
      <w:spacing w:after="113"/>
    </w:pPr>
  </w:style>
  <w:style w:type="paragraph" w:customStyle="1" w:styleId="OverviewHeading2">
    <w:name w:val="Overview Heading 2"/>
    <w:basedOn w:val="Normal"/>
    <w:next w:val="OverviewBodyText"/>
    <w:rsid w:val="00512226"/>
    <w:pPr>
      <w:keepNext/>
      <w:keepLines/>
      <w:spacing w:before="470" w:after="227"/>
    </w:pPr>
    <w:rPr>
      <w:rFonts w:asciiTheme="majorHAnsi" w:hAnsiTheme="majorHAnsi"/>
      <w:color w:val="2B3B5F" w:themeColor="text2"/>
      <w:sz w:val="32"/>
    </w:rPr>
  </w:style>
  <w:style w:type="paragraph" w:customStyle="1" w:styleId="OverviewHeading3">
    <w:name w:val="Overview Heading 3"/>
    <w:basedOn w:val="OverviewHeading2"/>
    <w:next w:val="OverviewBodyText"/>
    <w:rsid w:val="00512226"/>
    <w:rPr>
      <w:sz w:val="28"/>
    </w:rPr>
  </w:style>
  <w:style w:type="character" w:styleId="PageNumber">
    <w:name w:val="page number"/>
    <w:basedOn w:val="DefaultParagraphFont"/>
    <w:semiHidden/>
    <w:rsid w:val="00961DBB"/>
    <w:rPr>
      <w:rFonts w:ascii="Arial" w:hAnsi="Arial"/>
      <w:b/>
      <w:color w:val="auto"/>
      <w:sz w:val="16"/>
    </w:rPr>
  </w:style>
  <w:style w:type="paragraph" w:customStyle="1" w:styleId="PageNumberOdd">
    <w:name w:val="Page Number Odd"/>
    <w:semiHidden/>
    <w:rsid w:val="00961DBB"/>
    <w:pPr>
      <w:ind w:right="57"/>
      <w:jc w:val="right"/>
    </w:pPr>
    <w:rPr>
      <w:rFonts w:eastAsia="Times New Roman" w:cs="Arial"/>
      <w:b/>
      <w:color w:val="2B3B5F" w:themeColor="text2"/>
      <w:sz w:val="14"/>
      <w:szCs w:val="28"/>
      <w:lang w:eastAsia="en-AU"/>
    </w:rPr>
  </w:style>
  <w:style w:type="paragraph" w:customStyle="1" w:styleId="PageNumberEven">
    <w:name w:val="Page Number Even"/>
    <w:basedOn w:val="PageNumberOdd"/>
    <w:semiHidden/>
    <w:rsid w:val="00961DBB"/>
    <w:pPr>
      <w:framePr w:hSpace="181" w:wrap="around" w:vAnchor="page" w:hAnchor="page" w:yAlign="bottom"/>
      <w:jc w:val="left"/>
    </w:pPr>
  </w:style>
  <w:style w:type="character" w:styleId="PlaceholderText">
    <w:name w:val="Placeholder Text"/>
    <w:basedOn w:val="DefaultParagraphFont"/>
    <w:rsid w:val="00961DBB"/>
    <w:rPr>
      <w:color w:val="808080"/>
    </w:rPr>
  </w:style>
  <w:style w:type="paragraph" w:customStyle="1" w:styleId="PullOutBoxBodyText">
    <w:name w:val="Pull Out Box Body Text"/>
    <w:basedOn w:val="Normal"/>
    <w:qFormat/>
    <w:rsid w:val="00AF49FE"/>
    <w:pPr>
      <w:spacing w:before="113" w:after="113" w:line="260" w:lineRule="atLeast"/>
      <w:ind w:left="57" w:right="57"/>
    </w:pPr>
    <w:rPr>
      <w:spacing w:val="-1"/>
    </w:rPr>
  </w:style>
  <w:style w:type="paragraph" w:customStyle="1" w:styleId="PullOutBoxBullet">
    <w:name w:val="Pull Out Box Bullet"/>
    <w:basedOn w:val="PullOutBoxBodyText"/>
    <w:qFormat/>
    <w:rsid w:val="00AF49FE"/>
    <w:pPr>
      <w:numPr>
        <w:numId w:val="14"/>
      </w:numPr>
      <w:ind w:left="397"/>
    </w:pPr>
  </w:style>
  <w:style w:type="paragraph" w:customStyle="1" w:styleId="PullOutBoxBullet2">
    <w:name w:val="Pull Out Box Bullet 2"/>
    <w:basedOn w:val="PullOutBoxBodyText"/>
    <w:qFormat/>
    <w:rsid w:val="008D51A3"/>
    <w:pPr>
      <w:numPr>
        <w:ilvl w:val="1"/>
        <w:numId w:val="14"/>
      </w:numPr>
      <w:ind w:left="737"/>
    </w:pPr>
  </w:style>
  <w:style w:type="paragraph" w:customStyle="1" w:styleId="PullOutBoxBullet3">
    <w:name w:val="Pull Out Box Bullet 3"/>
    <w:basedOn w:val="PullOutBoxBodyText"/>
    <w:qFormat/>
    <w:rsid w:val="00316289"/>
    <w:pPr>
      <w:numPr>
        <w:ilvl w:val="2"/>
        <w:numId w:val="14"/>
      </w:numPr>
    </w:pPr>
  </w:style>
  <w:style w:type="paragraph" w:customStyle="1" w:styleId="PullOutBoxHeading">
    <w:name w:val="Pull Out Box Heading"/>
    <w:basedOn w:val="PullOutBoxBodyText"/>
    <w:qFormat/>
    <w:rsid w:val="00AF49FE"/>
    <w:pPr>
      <w:keepNext/>
      <w:keepLines/>
      <w:spacing w:before="114" w:after="114"/>
    </w:pPr>
    <w:rPr>
      <w:b/>
    </w:rPr>
  </w:style>
  <w:style w:type="paragraph" w:customStyle="1" w:styleId="PullOutBoxNumber">
    <w:name w:val="Pull Out Box Number"/>
    <w:basedOn w:val="PullOutBoxBodyText"/>
    <w:qFormat/>
    <w:rsid w:val="00316289"/>
    <w:pPr>
      <w:numPr>
        <w:numId w:val="15"/>
      </w:numPr>
    </w:pPr>
  </w:style>
  <w:style w:type="paragraph" w:customStyle="1" w:styleId="PullOutBoxNumber2">
    <w:name w:val="Pull Out Box Number 2"/>
    <w:basedOn w:val="PullOutBoxBodyText"/>
    <w:qFormat/>
    <w:rsid w:val="00316289"/>
    <w:pPr>
      <w:numPr>
        <w:ilvl w:val="1"/>
        <w:numId w:val="15"/>
      </w:numPr>
    </w:pPr>
  </w:style>
  <w:style w:type="paragraph" w:customStyle="1" w:styleId="PullOutBoxNumber3">
    <w:name w:val="Pull Out Box Number 3"/>
    <w:basedOn w:val="PullOutBoxBodyText"/>
    <w:qFormat/>
    <w:rsid w:val="00316289"/>
    <w:pPr>
      <w:numPr>
        <w:ilvl w:val="2"/>
        <w:numId w:val="15"/>
      </w:numPr>
    </w:pPr>
  </w:style>
  <w:style w:type="table" w:customStyle="1" w:styleId="PullOutBoxTable">
    <w:name w:val="Pull Out Box Table"/>
    <w:basedOn w:val="TableNormal"/>
    <w:uiPriority w:val="99"/>
    <w:rsid w:val="00961DBB"/>
    <w:pPr>
      <w:spacing w:line="240" w:lineRule="auto"/>
    </w:pPr>
    <w:rPr>
      <w:rFonts w:eastAsia="Times New Roman" w:cs="Arial"/>
      <w:lang w:eastAsia="en-AU"/>
    </w:rPr>
    <w:tblPr>
      <w:tblBorders>
        <w:top w:val="single" w:sz="4" w:space="0" w:color="D7DDE9" w:themeColor="accent3"/>
        <w:left w:val="single" w:sz="4" w:space="0" w:color="D7DDE9" w:themeColor="accent3"/>
        <w:bottom w:val="single" w:sz="4" w:space="0" w:color="D7DDE9" w:themeColor="accent3"/>
        <w:right w:val="single" w:sz="4" w:space="0" w:color="D7DDE9" w:themeColor="accent3"/>
        <w:insideH w:val="single" w:sz="4" w:space="0" w:color="D7DDE9" w:themeColor="accent3"/>
        <w:insideV w:val="single" w:sz="4" w:space="0" w:color="D7DDE9" w:themeColor="accent3"/>
      </w:tblBorders>
      <w:tblCellMar>
        <w:top w:w="28" w:type="dxa"/>
        <w:left w:w="0" w:type="dxa"/>
        <w:bottom w:w="28" w:type="dxa"/>
        <w:right w:w="0" w:type="dxa"/>
      </w:tblCellMar>
    </w:tblPr>
    <w:tcPr>
      <w:shd w:val="clear" w:color="auto" w:fill="D7DDE9" w:themeFill="accent3"/>
    </w:tcPr>
  </w:style>
  <w:style w:type="paragraph" w:styleId="Quote">
    <w:name w:val="Quote"/>
    <w:basedOn w:val="Normal"/>
    <w:link w:val="QuoteChar"/>
    <w:qFormat/>
    <w:rsid w:val="00316289"/>
    <w:pPr>
      <w:tabs>
        <w:tab w:val="left" w:pos="1134"/>
      </w:tabs>
      <w:spacing w:before="240" w:after="240"/>
      <w:ind w:left="284"/>
    </w:pPr>
    <w:rPr>
      <w:i/>
      <w:iCs/>
    </w:rPr>
  </w:style>
  <w:style w:type="character" w:customStyle="1" w:styleId="QuoteChar">
    <w:name w:val="Quote Char"/>
    <w:basedOn w:val="DefaultParagraphFont"/>
    <w:link w:val="Quote"/>
    <w:rsid w:val="00316289"/>
    <w:rPr>
      <w:i/>
      <w:iCs/>
    </w:rPr>
  </w:style>
  <w:style w:type="paragraph" w:customStyle="1" w:styleId="QuoteBullet">
    <w:name w:val="Quote Bullet"/>
    <w:basedOn w:val="Quote"/>
    <w:qFormat/>
    <w:rsid w:val="00316289"/>
    <w:pPr>
      <w:numPr>
        <w:numId w:val="16"/>
      </w:numPr>
    </w:pPr>
  </w:style>
  <w:style w:type="paragraph" w:customStyle="1" w:styleId="QuoteBullet2">
    <w:name w:val="Quote Bullet 2"/>
    <w:basedOn w:val="Quote"/>
    <w:qFormat/>
    <w:rsid w:val="00316289"/>
    <w:pPr>
      <w:numPr>
        <w:ilvl w:val="1"/>
        <w:numId w:val="16"/>
      </w:numPr>
      <w:tabs>
        <w:tab w:val="clear" w:pos="1134"/>
      </w:tabs>
    </w:pPr>
  </w:style>
  <w:style w:type="paragraph" w:customStyle="1" w:styleId="SectionHeading">
    <w:name w:val="Section Heading"/>
    <w:basedOn w:val="Normal"/>
    <w:next w:val="BodyText"/>
    <w:rsid w:val="00E45766"/>
    <w:pPr>
      <w:keepLines/>
      <w:spacing w:before="4320" w:line="360" w:lineRule="auto"/>
      <w:ind w:left="1701"/>
      <w:jc w:val="right"/>
      <w:outlineLvl w:val="0"/>
    </w:pPr>
    <w:rPr>
      <w:rFonts w:asciiTheme="majorHAnsi" w:hAnsiTheme="majorHAnsi"/>
      <w:noProof/>
      <w:color w:val="2B3B5F" w:themeColor="text2"/>
      <w:sz w:val="50"/>
      <w:szCs w:val="40"/>
    </w:rPr>
  </w:style>
  <w:style w:type="character" w:customStyle="1" w:styleId="SectionSubtitle">
    <w:name w:val="Section Subtitle"/>
    <w:rsid w:val="00E45766"/>
    <w:rPr>
      <w:color w:val="751D71" w:themeColor="accent4"/>
      <w:sz w:val="40"/>
    </w:rPr>
  </w:style>
  <w:style w:type="paragraph" w:styleId="Subtitle">
    <w:name w:val="Subtitle"/>
    <w:basedOn w:val="Normal"/>
    <w:next w:val="Normal"/>
    <w:link w:val="SubtitleChar"/>
    <w:rsid w:val="00961DBB"/>
    <w:pPr>
      <w:numPr>
        <w:ilvl w:val="1"/>
      </w:numPr>
    </w:pPr>
    <w:rPr>
      <w:rFonts w:asciiTheme="majorHAnsi" w:eastAsiaTheme="majorEastAsia" w:hAnsiTheme="majorHAnsi" w:cstheme="majorBidi"/>
      <w:i/>
      <w:iCs/>
      <w:color w:val="2B3B5F" w:themeColor="accent1"/>
      <w:spacing w:val="15"/>
      <w:sz w:val="24"/>
      <w:szCs w:val="24"/>
    </w:rPr>
  </w:style>
  <w:style w:type="character" w:customStyle="1" w:styleId="SubtitleChar">
    <w:name w:val="Subtitle Char"/>
    <w:basedOn w:val="DefaultParagraphFont"/>
    <w:link w:val="Subtitle"/>
    <w:rsid w:val="000E266E"/>
    <w:rPr>
      <w:rFonts w:asciiTheme="majorHAnsi" w:eastAsiaTheme="majorEastAsia" w:hAnsiTheme="majorHAnsi" w:cstheme="majorBidi"/>
      <w:i/>
      <w:iCs/>
      <w:color w:val="2B3B5F" w:themeColor="accent1"/>
      <w:spacing w:val="15"/>
      <w:sz w:val="24"/>
      <w:szCs w:val="24"/>
    </w:rPr>
  </w:style>
  <w:style w:type="character" w:customStyle="1" w:styleId="Superscript">
    <w:name w:val="Superscript"/>
    <w:rsid w:val="00961DBB"/>
    <w:rPr>
      <w:vertAlign w:val="superscript"/>
    </w:rPr>
  </w:style>
  <w:style w:type="table" w:customStyle="1" w:styleId="TableAsPlaceholder">
    <w:name w:val="Table As Placeholder"/>
    <w:basedOn w:val="TableNormal"/>
    <w:uiPriority w:val="99"/>
    <w:qFormat/>
    <w:rsid w:val="00961DBB"/>
    <w:rPr>
      <w:rFonts w:eastAsia="Times New Roman" w:cs="Arial"/>
      <w:lang w:eastAsia="en-AU"/>
    </w:rPr>
    <w:tblPr>
      <w:tblCellMar>
        <w:left w:w="0" w:type="dxa"/>
        <w:right w:w="0" w:type="dxa"/>
      </w:tblCellMar>
    </w:tblPr>
  </w:style>
  <w:style w:type="paragraph" w:customStyle="1" w:styleId="TableFootnotes">
    <w:name w:val="Table Footnotes"/>
    <w:basedOn w:val="Normal"/>
    <w:rsid w:val="00035ADE"/>
    <w:pPr>
      <w:keepLines/>
      <w:numPr>
        <w:numId w:val="3"/>
      </w:numPr>
      <w:spacing w:after="50"/>
    </w:pPr>
    <w:rPr>
      <w:color w:val="788184" w:themeColor="background2"/>
      <w:sz w:val="20"/>
    </w:rPr>
  </w:style>
  <w:style w:type="table" w:styleId="TableGrid">
    <w:name w:val="Table Grid"/>
    <w:basedOn w:val="TableNormal"/>
    <w:rsid w:val="00F85D29"/>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 w:type="paragraph" w:customStyle="1" w:styleId="TableHeading">
    <w:name w:val="Table Heading"/>
    <w:basedOn w:val="Normal"/>
    <w:qFormat/>
    <w:rsid w:val="00316289"/>
    <w:pPr>
      <w:keepNext/>
      <w:keepLines/>
      <w:spacing w:before="70" w:after="70" w:line="260" w:lineRule="atLeast"/>
      <w:ind w:left="113" w:right="113"/>
    </w:pPr>
    <w:rPr>
      <w:rFonts w:cs="Times New Roman"/>
      <w:b/>
      <w:color w:val="FFFFFF"/>
      <w:sz w:val="20"/>
    </w:rPr>
  </w:style>
  <w:style w:type="paragraph" w:customStyle="1" w:styleId="TableHeadingCentred">
    <w:name w:val="Table Heading Centred"/>
    <w:basedOn w:val="TableHeading"/>
    <w:qFormat/>
    <w:rsid w:val="00316289"/>
    <w:pPr>
      <w:jc w:val="center"/>
    </w:pPr>
    <w:rPr>
      <w:color w:val="auto"/>
    </w:rPr>
  </w:style>
  <w:style w:type="paragraph" w:customStyle="1" w:styleId="TableHeadingRight">
    <w:name w:val="Table Heading Right"/>
    <w:basedOn w:val="TableHeading"/>
    <w:qFormat/>
    <w:rsid w:val="00316289"/>
    <w:pPr>
      <w:jc w:val="right"/>
    </w:pPr>
  </w:style>
  <w:style w:type="paragraph" w:customStyle="1" w:styleId="Source">
    <w:name w:val="Source"/>
    <w:basedOn w:val="Normal"/>
    <w:next w:val="BodyText17ptAbove"/>
    <w:rsid w:val="00035ADE"/>
    <w:pPr>
      <w:spacing w:before="180" w:after="114"/>
      <w:contextualSpacing/>
    </w:pPr>
    <w:rPr>
      <w:rFonts w:cs="Times New Roman"/>
      <w:color w:val="788184" w:themeColor="background2"/>
      <w:sz w:val="20"/>
      <w:szCs w:val="14"/>
    </w:rPr>
  </w:style>
  <w:style w:type="paragraph" w:customStyle="1" w:styleId="TableText">
    <w:name w:val="Table Text"/>
    <w:basedOn w:val="Normal"/>
    <w:link w:val="TableTextChar"/>
    <w:qFormat/>
    <w:rsid w:val="00316289"/>
    <w:pPr>
      <w:spacing w:before="70" w:after="70" w:line="260" w:lineRule="atLeast"/>
      <w:ind w:left="113" w:right="113"/>
    </w:pPr>
    <w:rPr>
      <w:rFonts w:cs="Times New Roman"/>
      <w:sz w:val="20"/>
    </w:rPr>
  </w:style>
  <w:style w:type="paragraph" w:customStyle="1" w:styleId="TableTextBold">
    <w:name w:val="Table Text Bold"/>
    <w:basedOn w:val="TableText"/>
    <w:semiHidden/>
    <w:qFormat/>
    <w:rsid w:val="00316289"/>
    <w:rPr>
      <w:b/>
    </w:rPr>
  </w:style>
  <w:style w:type="paragraph" w:customStyle="1" w:styleId="TableTextBullet">
    <w:name w:val="Table Text Bullet"/>
    <w:basedOn w:val="TableText"/>
    <w:link w:val="TableTextBulletChar"/>
    <w:rsid w:val="00961DBB"/>
    <w:pPr>
      <w:numPr>
        <w:numId w:val="17"/>
      </w:numPr>
    </w:pPr>
  </w:style>
  <w:style w:type="paragraph" w:customStyle="1" w:styleId="TableTextBullet2">
    <w:name w:val="Table Text Bullet 2"/>
    <w:basedOn w:val="TableTextBullet"/>
    <w:link w:val="TableTextBullet2Char"/>
    <w:qFormat/>
    <w:rsid w:val="00316289"/>
    <w:pPr>
      <w:numPr>
        <w:ilvl w:val="1"/>
      </w:numPr>
    </w:pPr>
    <w:rPr>
      <w:bCs/>
    </w:rPr>
  </w:style>
  <w:style w:type="paragraph" w:customStyle="1" w:styleId="TableTextBullet3">
    <w:name w:val="Table Text Bullet 3"/>
    <w:basedOn w:val="TableTextBullet2"/>
    <w:link w:val="TableTextBullet3Char"/>
    <w:qFormat/>
    <w:rsid w:val="00316289"/>
    <w:pPr>
      <w:numPr>
        <w:ilvl w:val="2"/>
      </w:numPr>
    </w:pPr>
    <w:rPr>
      <w:bCs w:val="0"/>
    </w:rPr>
  </w:style>
  <w:style w:type="paragraph" w:customStyle="1" w:styleId="TableTextNumber">
    <w:name w:val="Table Text Number"/>
    <w:basedOn w:val="TableText"/>
    <w:qFormat/>
    <w:rsid w:val="00316289"/>
    <w:pPr>
      <w:numPr>
        <w:numId w:val="18"/>
      </w:numPr>
    </w:pPr>
  </w:style>
  <w:style w:type="paragraph" w:customStyle="1" w:styleId="TableTextNumber2">
    <w:name w:val="Table Text Number 2"/>
    <w:basedOn w:val="TableTextNumber"/>
    <w:qFormat/>
    <w:rsid w:val="00316289"/>
    <w:pPr>
      <w:numPr>
        <w:ilvl w:val="1"/>
      </w:numPr>
    </w:pPr>
  </w:style>
  <w:style w:type="paragraph" w:customStyle="1" w:styleId="TableTextNumber3">
    <w:name w:val="Table Text Number 3"/>
    <w:basedOn w:val="TableTextNumber2"/>
    <w:qFormat/>
    <w:rsid w:val="00316289"/>
    <w:pPr>
      <w:numPr>
        <w:ilvl w:val="2"/>
      </w:numPr>
    </w:pPr>
  </w:style>
  <w:style w:type="paragraph" w:customStyle="1" w:styleId="TableTextRight">
    <w:name w:val="Table Text Right"/>
    <w:basedOn w:val="TableText"/>
    <w:qFormat/>
    <w:rsid w:val="00316289"/>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rsid w:val="00195228"/>
    <w:pPr>
      <w:pBdr>
        <w:bottom w:val="single" w:sz="8" w:space="4" w:color="2B3B5F" w:themeColor="accent1"/>
      </w:pBdr>
      <w:spacing w:after="300" w:line="240" w:lineRule="auto"/>
      <w:contextualSpacing/>
    </w:pPr>
    <w:rPr>
      <w:rFonts w:asciiTheme="majorHAnsi" w:eastAsiaTheme="majorEastAsia" w:hAnsiTheme="majorHAnsi" w:cstheme="majorBidi"/>
      <w:color w:val="202C47" w:themeColor="text2" w:themeShade="BF"/>
      <w:spacing w:val="5"/>
      <w:kern w:val="28"/>
      <w:sz w:val="52"/>
      <w:szCs w:val="52"/>
    </w:rPr>
  </w:style>
  <w:style w:type="character" w:customStyle="1" w:styleId="TitleChar">
    <w:name w:val="Title Char"/>
    <w:basedOn w:val="DefaultParagraphFont"/>
    <w:link w:val="Title"/>
    <w:rsid w:val="000E266E"/>
    <w:rPr>
      <w:rFonts w:asciiTheme="majorHAnsi" w:eastAsiaTheme="majorEastAsia" w:hAnsiTheme="majorHAnsi" w:cstheme="majorBidi"/>
      <w:color w:val="202C47" w:themeColor="text2" w:themeShade="BF"/>
      <w:spacing w:val="5"/>
      <w:kern w:val="28"/>
      <w:sz w:val="52"/>
      <w:szCs w:val="52"/>
    </w:rPr>
  </w:style>
  <w:style w:type="paragraph" w:customStyle="1" w:styleId="Title2">
    <w:name w:val="Title 2"/>
    <w:basedOn w:val="Normal"/>
    <w:link w:val="Title2Char"/>
    <w:rsid w:val="00C8728F"/>
    <w:pPr>
      <w:spacing w:after="250"/>
      <w:ind w:left="397"/>
      <w:jc w:val="right"/>
    </w:pPr>
    <w:rPr>
      <w:rFonts w:asciiTheme="majorHAnsi" w:hAnsiTheme="majorHAnsi"/>
      <w:color w:val="FFFFFF"/>
      <w:spacing w:val="-2"/>
      <w:sz w:val="32"/>
    </w:rPr>
  </w:style>
  <w:style w:type="character" w:customStyle="1" w:styleId="Title2Char">
    <w:name w:val="Title 2 Char"/>
    <w:basedOn w:val="DefaultParagraphFont"/>
    <w:link w:val="Title2"/>
    <w:rsid w:val="000E266E"/>
    <w:rPr>
      <w:rFonts w:asciiTheme="majorHAnsi" w:hAnsiTheme="majorHAnsi"/>
      <w:color w:val="FFFFFF"/>
      <w:spacing w:val="-2"/>
      <w:sz w:val="32"/>
    </w:rPr>
  </w:style>
  <w:style w:type="paragraph" w:customStyle="1" w:styleId="Title3">
    <w:name w:val="Title 3"/>
    <w:basedOn w:val="Title2"/>
    <w:rsid w:val="00195228"/>
    <w:pPr>
      <w:framePr w:wrap="auto" w:vAnchor="page" w:hAnchor="margin" w:y="5779"/>
    </w:pPr>
    <w:rPr>
      <w:rFonts w:eastAsia="Times New Roman" w:cs="Arial"/>
      <w:i/>
      <w:spacing w:val="8"/>
      <w:lang w:eastAsia="en-AU"/>
    </w:rPr>
  </w:style>
  <w:style w:type="paragraph" w:styleId="TOC1">
    <w:name w:val="toc 1"/>
    <w:basedOn w:val="Normal"/>
    <w:next w:val="Normal"/>
    <w:uiPriority w:val="39"/>
    <w:rsid w:val="001B2C65"/>
    <w:pPr>
      <w:tabs>
        <w:tab w:val="right" w:leader="underscore" w:pos="8164"/>
      </w:tabs>
      <w:spacing w:after="227"/>
      <w:ind w:right="851"/>
    </w:pPr>
    <w:rPr>
      <w:b/>
      <w:noProof/>
      <w:color w:val="2B3B5F" w:themeColor="text2"/>
    </w:rPr>
  </w:style>
  <w:style w:type="paragraph" w:styleId="TOC2">
    <w:name w:val="toc 2"/>
    <w:basedOn w:val="Normal"/>
    <w:next w:val="Normal"/>
    <w:uiPriority w:val="39"/>
    <w:rsid w:val="001B2C65"/>
    <w:pPr>
      <w:tabs>
        <w:tab w:val="right" w:leader="underscore" w:pos="8164"/>
      </w:tabs>
      <w:spacing w:after="227"/>
      <w:ind w:left="454" w:right="851"/>
    </w:pPr>
    <w:rPr>
      <w:noProof/>
      <w:szCs w:val="28"/>
    </w:rPr>
  </w:style>
  <w:style w:type="paragraph" w:styleId="TOC3">
    <w:name w:val="toc 3"/>
    <w:basedOn w:val="Normal"/>
    <w:next w:val="Normal"/>
    <w:uiPriority w:val="39"/>
    <w:rsid w:val="001B2C65"/>
    <w:pPr>
      <w:tabs>
        <w:tab w:val="right" w:leader="underscore" w:pos="8164"/>
      </w:tabs>
      <w:spacing w:after="227"/>
      <w:ind w:left="907" w:right="851"/>
    </w:pPr>
    <w:rPr>
      <w:rFonts w:eastAsiaTheme="minorEastAsia"/>
      <w:noProof/>
    </w:rPr>
  </w:style>
  <w:style w:type="paragraph" w:styleId="TOC4">
    <w:name w:val="toc 4"/>
    <w:basedOn w:val="Normal"/>
    <w:uiPriority w:val="39"/>
    <w:rsid w:val="006C5E72"/>
    <w:pPr>
      <w:tabs>
        <w:tab w:val="right" w:leader="underscore" w:pos="8165"/>
      </w:tabs>
      <w:spacing w:after="80"/>
      <w:ind w:right="851"/>
    </w:pPr>
    <w:rPr>
      <w:noProof/>
    </w:rPr>
  </w:style>
  <w:style w:type="paragraph" w:styleId="TOC5">
    <w:name w:val="toc 5"/>
    <w:basedOn w:val="Normal"/>
    <w:next w:val="Normal"/>
    <w:autoRedefine/>
    <w:rsid w:val="0096618E"/>
    <w:pPr>
      <w:tabs>
        <w:tab w:val="right" w:leader="underscore" w:pos="8165"/>
      </w:tabs>
      <w:spacing w:after="227"/>
      <w:ind w:right="851"/>
    </w:pPr>
    <w:rPr>
      <w:b/>
      <w:color w:val="2B3B5F" w:themeColor="text2"/>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rsid w:val="00961DBB"/>
    <w:pPr>
      <w:tabs>
        <w:tab w:val="right" w:leader="dot" w:pos="9582"/>
      </w:tabs>
      <w:spacing w:after="227"/>
      <w:ind w:right="907"/>
    </w:pPr>
    <w:rPr>
      <w:color w:val="2B3B5F" w:themeColor="text2"/>
    </w:rPr>
  </w:style>
  <w:style w:type="paragraph" w:styleId="TOCHeading">
    <w:name w:val="TOC Heading"/>
    <w:basedOn w:val="Normal"/>
    <w:unhideWhenUsed/>
    <w:rsid w:val="00733970"/>
    <w:pPr>
      <w:keepNext/>
      <w:keepLines/>
      <w:spacing w:before="480"/>
    </w:pPr>
    <w:rPr>
      <w:rFonts w:asciiTheme="majorHAnsi" w:eastAsiaTheme="majorEastAsia" w:hAnsiTheme="majorHAnsi" w:cstheme="majorBidi"/>
      <w:b/>
      <w:bCs/>
      <w:color w:val="202C47" w:themeColor="accent1" w:themeShade="BF"/>
      <w:sz w:val="28"/>
      <w:szCs w:val="28"/>
    </w:rPr>
  </w:style>
  <w:style w:type="paragraph" w:customStyle="1" w:styleId="TOFHeading">
    <w:name w:val="TOF Heading"/>
    <w:basedOn w:val="Normal"/>
    <w:rsid w:val="00961DBB"/>
    <w:pPr>
      <w:keepNext/>
      <w:tabs>
        <w:tab w:val="left" w:pos="2268"/>
      </w:tabs>
      <w:spacing w:before="300" w:after="120"/>
    </w:pPr>
    <w:rPr>
      <w:color w:val="2B3B5F" w:themeColor="text2"/>
      <w:sz w:val="28"/>
      <w:szCs w:val="32"/>
    </w:rPr>
  </w:style>
  <w:style w:type="paragraph" w:customStyle="1" w:styleId="xDisclaimerHeading">
    <w:name w:val="xDisclaimer Heading"/>
    <w:basedOn w:val="Normal"/>
    <w:link w:val="xDisclaimerHeadingChar"/>
    <w:rsid w:val="00961DBB"/>
    <w:pPr>
      <w:framePr w:hSpace="181" w:wrap="around" w:hAnchor="margin" w:y="4310"/>
      <w:spacing w:before="170" w:after="57" w:line="280" w:lineRule="atLeast"/>
      <w:suppressOverlap/>
    </w:pPr>
    <w:rPr>
      <w:b/>
    </w:rPr>
  </w:style>
  <w:style w:type="character" w:customStyle="1" w:styleId="xDisclaimerHeadingChar">
    <w:name w:val="xDisclaimer Heading Char"/>
    <w:basedOn w:val="DefaultParagraphFont"/>
    <w:link w:val="xDisclaimerHeading"/>
    <w:rsid w:val="000E266E"/>
    <w:rPr>
      <w:b/>
    </w:rPr>
  </w:style>
  <w:style w:type="paragraph" w:customStyle="1" w:styleId="xDisclaimerText">
    <w:name w:val="xDisclaimer Text"/>
    <w:basedOn w:val="Normal"/>
    <w:rsid w:val="00961DBB"/>
    <w:pPr>
      <w:spacing w:after="57" w:line="302" w:lineRule="atLeast"/>
    </w:pPr>
    <w:rPr>
      <w:rFonts w:cs="Times New Roman"/>
    </w:rPr>
  </w:style>
  <w:style w:type="paragraph" w:customStyle="1" w:styleId="xDisclaimerText2">
    <w:name w:val="xDisclaimer Text 2"/>
    <w:basedOn w:val="xDisclaimerHeading"/>
    <w:rsid w:val="00961DBB"/>
    <w:pPr>
      <w:framePr w:wrap="around"/>
      <w:spacing w:before="0" w:after="170" w:line="302" w:lineRule="atLeast"/>
    </w:pPr>
    <w:rPr>
      <w:b w:val="0"/>
    </w:rPr>
  </w:style>
  <w:style w:type="paragraph" w:customStyle="1" w:styleId="xDisclaimertext3">
    <w:name w:val="xDisclaimer text 3"/>
    <w:basedOn w:val="xDisclaimerText"/>
    <w:rsid w:val="00961DBB"/>
    <w:pPr>
      <w:spacing w:before="170" w:after="170"/>
    </w:pPr>
  </w:style>
  <w:style w:type="paragraph" w:customStyle="1" w:styleId="xInlineShape">
    <w:name w:val="xInlineShape"/>
    <w:basedOn w:val="Normal"/>
    <w:next w:val="BodyText"/>
    <w:rsid w:val="009A3E58"/>
    <w:pPr>
      <w:keepNext/>
      <w:spacing w:before="300" w:after="120" w:line="240" w:lineRule="auto"/>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paragraph" w:customStyle="1" w:styleId="xDisclaimerHeadingwithxDisclaimerText">
    <w:name w:val="xDisclaimer Heading (with xDisclaimer Text)"/>
    <w:basedOn w:val="xDisclaimerHeading"/>
    <w:link w:val="xDisclaimerHeadingwithxDisclaimerTextChar"/>
    <w:rsid w:val="00961DBB"/>
    <w:pPr>
      <w:framePr w:wrap="around"/>
    </w:pPr>
  </w:style>
  <w:style w:type="character" w:customStyle="1" w:styleId="xDisclaimerHeadingwithxDisclaimerTextChar">
    <w:name w:val="xDisclaimer Heading (with xDisclaimer Text) Char"/>
    <w:basedOn w:val="xDisclaimerHeadingChar"/>
    <w:link w:val="xDisclaimerHeadingwithxDisclaimerText"/>
    <w:rsid w:val="000E266E"/>
    <w:rPr>
      <w:b/>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uiPriority w:val="99"/>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6E"/>
    <w:rPr>
      <w:rFonts w:ascii="Tahoma" w:hAnsi="Tahoma" w:cs="Tahoma"/>
      <w:sz w:val="16"/>
      <w:szCs w:val="16"/>
    </w:rPr>
  </w:style>
  <w:style w:type="paragraph" w:customStyle="1" w:styleId="CaptionBefore12pt">
    <w:name w:val="Caption + Before: 12pt"/>
    <w:basedOn w:val="Caption"/>
    <w:rsid w:val="00FD6119"/>
    <w:pPr>
      <w:spacing w:before="240"/>
    </w:pPr>
  </w:style>
  <w:style w:type="paragraph" w:customStyle="1" w:styleId="xBackPageWebAddress">
    <w:name w:val="xBack Page Web Address"/>
    <w:basedOn w:val="Normal"/>
    <w:rsid w:val="00F31392"/>
    <w:pPr>
      <w:spacing w:before="140" w:line="240" w:lineRule="atLeast"/>
    </w:pPr>
    <w:rPr>
      <w:rFonts w:asciiTheme="majorHAnsi" w:hAnsiTheme="majorHAnsi"/>
      <w:color w:val="FFFFFF"/>
      <w:spacing w:val="-6"/>
      <w:sz w:val="40"/>
      <w:szCs w:val="36"/>
    </w:rPr>
  </w:style>
  <w:style w:type="paragraph" w:customStyle="1" w:styleId="Heading1NoNumbering">
    <w:name w:val="Heading 1 No Numbering"/>
    <w:basedOn w:val="Heading1"/>
    <w:qFormat/>
    <w:rsid w:val="00316289"/>
    <w:pPr>
      <w:numPr>
        <w:numId w:val="0"/>
      </w:numPr>
    </w:pPr>
  </w:style>
  <w:style w:type="paragraph" w:styleId="TableofFigures">
    <w:name w:val="table of figures"/>
    <w:basedOn w:val="Normal"/>
    <w:next w:val="Normal"/>
    <w:rsid w:val="00D64CE2"/>
    <w:pPr>
      <w:tabs>
        <w:tab w:val="right" w:leader="underscore" w:pos="8165"/>
      </w:tabs>
      <w:spacing w:after="80"/>
      <w:ind w:right="851"/>
    </w:pPr>
  </w:style>
  <w:style w:type="paragraph" w:customStyle="1" w:styleId="SectionHeadingNoTOC">
    <w:name w:val="Section Heading No TOC"/>
    <w:basedOn w:val="SectionHeading"/>
    <w:rsid w:val="00E45766"/>
  </w:style>
  <w:style w:type="paragraph" w:customStyle="1" w:styleId="TableTextCentred">
    <w:name w:val="Table Text Centred"/>
    <w:basedOn w:val="TableText"/>
    <w:qFormat/>
    <w:rsid w:val="00316289"/>
    <w:pPr>
      <w:jc w:val="center"/>
    </w:pPr>
    <w:rPr>
      <w:rFonts w:eastAsia="Times New Roman"/>
      <w:lang w:eastAsia="en-AU"/>
    </w:rPr>
  </w:style>
  <w:style w:type="paragraph" w:customStyle="1" w:styleId="FooterRightPageNumberLS">
    <w:name w:val="Footer Right Page Number LS"/>
    <w:basedOn w:val="Normal"/>
    <w:rsid w:val="004E0E49"/>
    <w:pPr>
      <w:framePr w:wrap="auto" w:hAnchor="text" w:x="1"/>
      <w:spacing w:before="180" w:after="120" w:line="240" w:lineRule="auto"/>
      <w:ind w:right="283"/>
      <w:jc w:val="right"/>
    </w:pPr>
    <w:rPr>
      <w:rFonts w:eastAsia="Times New Roman" w:cs="Arial"/>
      <w:b/>
      <w:noProof/>
      <w:color w:val="788184" w:themeColor="background2"/>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table" w:styleId="LightGrid-Accent6">
    <w:name w:val="Light Grid Accent 6"/>
    <w:basedOn w:val="TableNormal"/>
    <w:uiPriority w:val="62"/>
    <w:rsid w:val="00367C10"/>
    <w:pPr>
      <w:spacing w:line="240" w:lineRule="auto"/>
    </w:pPr>
    <w:tblPr>
      <w:tblStyleRowBandSize w:val="1"/>
      <w:tblStyleColBandSize w:val="1"/>
      <w:tblBorders>
        <w:top w:val="single" w:sz="8" w:space="0" w:color="788184" w:themeColor="accent6"/>
        <w:left w:val="single" w:sz="8" w:space="0" w:color="788184" w:themeColor="accent6"/>
        <w:bottom w:val="single" w:sz="8" w:space="0" w:color="788184" w:themeColor="accent6"/>
        <w:right w:val="single" w:sz="8" w:space="0" w:color="788184" w:themeColor="accent6"/>
        <w:insideH w:val="single" w:sz="8" w:space="0" w:color="788184" w:themeColor="accent6"/>
        <w:insideV w:val="single" w:sz="8" w:space="0" w:color="78818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4" w:themeColor="accent6"/>
          <w:left w:val="single" w:sz="8" w:space="0" w:color="788184" w:themeColor="accent6"/>
          <w:bottom w:val="single" w:sz="18" w:space="0" w:color="788184" w:themeColor="accent6"/>
          <w:right w:val="single" w:sz="8" w:space="0" w:color="788184" w:themeColor="accent6"/>
          <w:insideH w:val="nil"/>
          <w:insideV w:val="single" w:sz="8" w:space="0" w:color="78818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4" w:themeColor="accent6"/>
          <w:left w:val="single" w:sz="8" w:space="0" w:color="788184" w:themeColor="accent6"/>
          <w:bottom w:val="single" w:sz="8" w:space="0" w:color="788184" w:themeColor="accent6"/>
          <w:right w:val="single" w:sz="8" w:space="0" w:color="788184" w:themeColor="accent6"/>
          <w:insideH w:val="nil"/>
          <w:insideV w:val="single" w:sz="8" w:space="0" w:color="78818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4" w:themeColor="accent6"/>
          <w:left w:val="single" w:sz="8" w:space="0" w:color="788184" w:themeColor="accent6"/>
          <w:bottom w:val="single" w:sz="8" w:space="0" w:color="788184" w:themeColor="accent6"/>
          <w:right w:val="single" w:sz="8" w:space="0" w:color="788184" w:themeColor="accent6"/>
        </w:tcBorders>
      </w:tcPr>
    </w:tblStylePr>
    <w:tblStylePr w:type="band1Vert">
      <w:tblPr/>
      <w:tcPr>
        <w:tcBorders>
          <w:top w:val="single" w:sz="8" w:space="0" w:color="788184" w:themeColor="accent6"/>
          <w:left w:val="single" w:sz="8" w:space="0" w:color="788184" w:themeColor="accent6"/>
          <w:bottom w:val="single" w:sz="8" w:space="0" w:color="788184" w:themeColor="accent6"/>
          <w:right w:val="single" w:sz="8" w:space="0" w:color="788184" w:themeColor="accent6"/>
        </w:tcBorders>
        <w:shd w:val="clear" w:color="auto" w:fill="DDDFE0" w:themeFill="accent6" w:themeFillTint="3F"/>
      </w:tcPr>
    </w:tblStylePr>
    <w:tblStylePr w:type="band1Horz">
      <w:tblPr/>
      <w:tcPr>
        <w:tcBorders>
          <w:top w:val="single" w:sz="8" w:space="0" w:color="788184" w:themeColor="accent6"/>
          <w:left w:val="single" w:sz="8" w:space="0" w:color="788184" w:themeColor="accent6"/>
          <w:bottom w:val="single" w:sz="8" w:space="0" w:color="788184" w:themeColor="accent6"/>
          <w:right w:val="single" w:sz="8" w:space="0" w:color="788184" w:themeColor="accent6"/>
          <w:insideV w:val="single" w:sz="8" w:space="0" w:color="788184" w:themeColor="accent6"/>
        </w:tcBorders>
        <w:shd w:val="clear" w:color="auto" w:fill="DDDFE0" w:themeFill="accent6" w:themeFillTint="3F"/>
      </w:tcPr>
    </w:tblStylePr>
    <w:tblStylePr w:type="band2Horz">
      <w:tblPr/>
      <w:tcPr>
        <w:tcBorders>
          <w:top w:val="single" w:sz="8" w:space="0" w:color="788184" w:themeColor="accent6"/>
          <w:left w:val="single" w:sz="8" w:space="0" w:color="788184" w:themeColor="accent6"/>
          <w:bottom w:val="single" w:sz="8" w:space="0" w:color="788184" w:themeColor="accent6"/>
          <w:right w:val="single" w:sz="8" w:space="0" w:color="788184" w:themeColor="accent6"/>
          <w:insideV w:val="single" w:sz="8" w:space="0" w:color="788184" w:themeColor="accent6"/>
        </w:tcBorders>
      </w:tcPr>
    </w:tblStylePr>
  </w:style>
  <w:style w:type="table" w:customStyle="1" w:styleId="Style1">
    <w:name w:val="Style1"/>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paragraph" w:customStyle="1" w:styleId="Footnotes">
    <w:name w:val="Footnotes"/>
    <w:basedOn w:val="ListParagraph"/>
    <w:link w:val="FootnotesChar"/>
    <w:qFormat/>
    <w:rsid w:val="004B0108"/>
    <w:pPr>
      <w:numPr>
        <w:numId w:val="6"/>
      </w:numPr>
      <w:spacing w:before="113" w:line="260" w:lineRule="atLeast"/>
      <w:ind w:left="284" w:hanging="284"/>
    </w:pPr>
    <w:rPr>
      <w:sz w:val="20"/>
      <w:szCs w:val="20"/>
    </w:rPr>
  </w:style>
  <w:style w:type="paragraph" w:styleId="ListParagraph">
    <w:name w:val="List Paragraph"/>
    <w:basedOn w:val="Normal"/>
    <w:link w:val="ListParagraphChar"/>
    <w:uiPriority w:val="34"/>
    <w:qFormat/>
    <w:rsid w:val="00F8300C"/>
    <w:pPr>
      <w:ind w:left="720"/>
      <w:contextualSpacing/>
    </w:pPr>
  </w:style>
  <w:style w:type="paragraph" w:customStyle="1" w:styleId="Bullet2">
    <w:name w:val="Bullet 2"/>
    <w:basedOn w:val="ListBullet2"/>
    <w:link w:val="Bullet2Char"/>
    <w:qFormat/>
    <w:rsid w:val="00F8300C"/>
    <w:rPr>
      <w:rFonts w:eastAsia="Times New Roman" w:cs="Times New Roman"/>
      <w:lang w:eastAsia="en-AU"/>
    </w:rPr>
  </w:style>
  <w:style w:type="character" w:customStyle="1" w:styleId="Bullet2Char">
    <w:name w:val="Bullet 2 Char"/>
    <w:basedOn w:val="DefaultParagraphFont"/>
    <w:link w:val="Bullet2"/>
    <w:rsid w:val="00F8300C"/>
    <w:rPr>
      <w:rFonts w:eastAsia="Times New Roman" w:cs="Times New Roman"/>
      <w:spacing w:val="-1"/>
      <w:lang w:eastAsia="en-AU"/>
    </w:rPr>
  </w:style>
  <w:style w:type="paragraph" w:customStyle="1" w:styleId="Bullet3">
    <w:name w:val="Bullet 3"/>
    <w:basedOn w:val="TableTextBullet3"/>
    <w:link w:val="Bullet3Char"/>
    <w:qFormat/>
    <w:rsid w:val="00F8300C"/>
    <w:pPr>
      <w:numPr>
        <w:ilvl w:val="0"/>
        <w:numId w:val="0"/>
      </w:numPr>
      <w:tabs>
        <w:tab w:val="num" w:pos="1304"/>
      </w:tabs>
      <w:spacing w:before="0" w:after="113" w:line="300" w:lineRule="atLeast"/>
      <w:ind w:left="1361" w:hanging="454"/>
    </w:pPr>
    <w:rPr>
      <w:sz w:val="22"/>
    </w:rPr>
  </w:style>
  <w:style w:type="character" w:customStyle="1" w:styleId="Bullet3Char">
    <w:name w:val="Bullet 3 Char"/>
    <w:basedOn w:val="DefaultParagraphFont"/>
    <w:link w:val="Bullet3"/>
    <w:rsid w:val="00F8300C"/>
    <w:rPr>
      <w:rFonts w:cs="Times New Roman"/>
    </w:rPr>
  </w:style>
  <w:style w:type="table" w:customStyle="1" w:styleId="TableGrid1">
    <w:name w:val="Table Grid1"/>
    <w:basedOn w:val="TableNormal"/>
    <w:next w:val="TableGrid"/>
    <w:rsid w:val="00F8300C"/>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Style11">
    <w:name w:val="Style11"/>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
    <w:name w:val="Table Grid2"/>
    <w:basedOn w:val="TableNormal"/>
    <w:next w:val="TableGrid"/>
    <w:rsid w:val="00F8300C"/>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Style12">
    <w:name w:val="Style12"/>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3">
    <w:name w:val="Table Grid3"/>
    <w:basedOn w:val="TableNormal"/>
    <w:next w:val="TableGrid"/>
    <w:rsid w:val="00F8300C"/>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Style13">
    <w:name w:val="Style13"/>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4">
    <w:name w:val="Table Grid4"/>
    <w:basedOn w:val="TableNormal"/>
    <w:next w:val="TableGrid"/>
    <w:rsid w:val="00F8300C"/>
    <w:pPr>
      <w:spacing w:before="70" w:after="70" w:line="240" w:lineRule="auto"/>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Style14">
    <w:name w:val="Style14"/>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tblPr/>
      <w:tcPr>
        <w:shd w:val="clear" w:color="auto" w:fill="D7DDE9"/>
      </w:tcPr>
    </w:tblStylePr>
  </w:style>
  <w:style w:type="table" w:customStyle="1" w:styleId="TableGrid5">
    <w:name w:val="Table Grid5"/>
    <w:basedOn w:val="TableNormal"/>
    <w:next w:val="TableGrid"/>
    <w:rsid w:val="00F8300C"/>
    <w:pPr>
      <w:spacing w:before="70" w:after="70" w:line="240" w:lineRule="auto"/>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Style15">
    <w:name w:val="Style15"/>
    <w:basedOn w:val="TableNormal"/>
    <w:uiPriority w:val="99"/>
    <w:rsid w:val="00F8300C"/>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tblPr/>
      <w:tcPr>
        <w:shd w:val="clear" w:color="auto" w:fill="D7DDE9"/>
      </w:tcPr>
    </w:tblStylePr>
  </w:style>
  <w:style w:type="table" w:customStyle="1" w:styleId="TableGrid6">
    <w:name w:val="Table Grid6"/>
    <w:basedOn w:val="TableNormal"/>
    <w:next w:val="TableGrid"/>
    <w:rsid w:val="00F8300C"/>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Theme="minorHAnsi" w:hAnsiTheme="minorHAns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character" w:customStyle="1" w:styleId="TableTextChar">
    <w:name w:val="Table Text Char"/>
    <w:basedOn w:val="DefaultParagraphFont"/>
    <w:link w:val="TableText"/>
    <w:locked/>
    <w:rsid w:val="00F8300C"/>
    <w:rPr>
      <w:rFonts w:cs="Times New Roman"/>
      <w:sz w:val="20"/>
    </w:rPr>
  </w:style>
  <w:style w:type="table" w:customStyle="1" w:styleId="TableGrid7">
    <w:name w:val="Table Grid7"/>
    <w:basedOn w:val="TableNormal"/>
    <w:next w:val="TableGrid"/>
    <w:rsid w:val="00F8300C"/>
    <w:pPr>
      <w:spacing w:before="70" w:after="70" w:line="260" w:lineRule="atLeast"/>
      <w:ind w:left="113" w:right="113"/>
    </w:pPr>
    <w:rPr>
      <w:rFonts w:eastAsia="Times New Roman"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Theme="minorHAnsi" w:hAnsiTheme="minorHAns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TableGrid8">
    <w:name w:val="Table Grid8"/>
    <w:basedOn w:val="TableNormal"/>
    <w:next w:val="TableGrid"/>
    <w:rsid w:val="00F8300C"/>
    <w:pPr>
      <w:spacing w:before="70" w:after="70" w:line="260" w:lineRule="atLeast"/>
      <w:ind w:left="113" w:right="113"/>
    </w:pPr>
    <w:rPr>
      <w:rFonts w:eastAsia="Times New Roman"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Theme="minorHAnsi" w:hAnsiTheme="minorHAns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TableGrid9">
    <w:name w:val="Table Grid9"/>
    <w:basedOn w:val="TableNormal"/>
    <w:next w:val="TableGrid"/>
    <w:rsid w:val="00F8300C"/>
    <w:pPr>
      <w:spacing w:before="70" w:after="70" w:line="260" w:lineRule="atLeast"/>
      <w:ind w:left="113" w:right="113"/>
    </w:pPr>
    <w:rPr>
      <w:rFonts w:eastAsia="Times New Roman"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Theme="minorHAnsi" w:hAnsiTheme="minorHAns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TableGrid10">
    <w:name w:val="Table Grid10"/>
    <w:basedOn w:val="TableNormal"/>
    <w:next w:val="TableGrid"/>
    <w:rsid w:val="00F8300C"/>
    <w:pPr>
      <w:spacing w:before="70" w:after="70" w:line="260" w:lineRule="atLeast"/>
      <w:ind w:left="113" w:right="113"/>
    </w:pPr>
    <w:rPr>
      <w:rFonts w:eastAsia="Times New Roman"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Theme="minorHAnsi" w:hAnsiTheme="minorHAns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hemeFill="background1"/>
      </w:tcPr>
    </w:tblStylePr>
    <w:tblStylePr w:type="nwCell">
      <w:pPr>
        <w:jc w:val="left"/>
      </w:pPr>
      <w:tblPr/>
      <w:tcPr>
        <w:vAlign w:val="top"/>
      </w:tcPr>
    </w:tblStylePr>
  </w:style>
  <w:style w:type="table" w:customStyle="1" w:styleId="TableGrid11">
    <w:name w:val="Table Grid11"/>
    <w:basedOn w:val="TableNormal"/>
    <w:next w:val="TableGrid"/>
    <w:rsid w:val="00316289"/>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character" w:customStyle="1" w:styleId="FootnotesChar">
    <w:name w:val="Footnotes Char"/>
    <w:basedOn w:val="DefaultParagraphFont"/>
    <w:link w:val="Footnotes"/>
    <w:rsid w:val="004B0108"/>
    <w:rPr>
      <w:sz w:val="20"/>
      <w:szCs w:val="20"/>
    </w:rPr>
  </w:style>
  <w:style w:type="table" w:customStyle="1" w:styleId="TableGrid12">
    <w:name w:val="Table Grid12"/>
    <w:basedOn w:val="TableNormal"/>
    <w:next w:val="TableGrid"/>
    <w:rsid w:val="00DD2779"/>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3">
    <w:name w:val="Table Grid13"/>
    <w:basedOn w:val="TableNormal"/>
    <w:next w:val="TableGrid"/>
    <w:rsid w:val="00720648"/>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4">
    <w:name w:val="Table Grid14"/>
    <w:basedOn w:val="TableNormal"/>
    <w:next w:val="TableGrid"/>
    <w:rsid w:val="002D4F41"/>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5">
    <w:name w:val="Table Grid15"/>
    <w:basedOn w:val="TableNormal"/>
    <w:next w:val="TableGrid"/>
    <w:rsid w:val="00987F5F"/>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6">
    <w:name w:val="Table Grid16"/>
    <w:basedOn w:val="TableNormal"/>
    <w:next w:val="TableGrid"/>
    <w:rsid w:val="00567E62"/>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numbering" w:customStyle="1" w:styleId="NoList1">
    <w:name w:val="No List1"/>
    <w:next w:val="NoList"/>
    <w:uiPriority w:val="99"/>
    <w:semiHidden/>
    <w:unhideWhenUsed/>
    <w:rsid w:val="00A353BA"/>
  </w:style>
  <w:style w:type="table" w:customStyle="1" w:styleId="TableGrid17">
    <w:name w:val="Table Grid17"/>
    <w:basedOn w:val="TableNormal"/>
    <w:next w:val="TableGrid"/>
    <w:rsid w:val="00A353BA"/>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paragraph" w:customStyle="1" w:styleId="TableTextBullet1">
    <w:name w:val="Table Text Bullet 1"/>
    <w:link w:val="TableTextBullet1Char"/>
    <w:qFormat/>
    <w:rsid w:val="00A353BA"/>
    <w:pPr>
      <w:numPr>
        <w:ilvl w:val="2"/>
        <w:numId w:val="19"/>
      </w:numPr>
      <w:spacing w:before="240" w:line="240" w:lineRule="auto"/>
      <w:ind w:left="397" w:hanging="284"/>
    </w:pPr>
    <w:rPr>
      <w:rFonts w:eastAsia="Times New Roman" w:cs="Times New Roman"/>
      <w:sz w:val="20"/>
      <w:lang w:eastAsia="en-AU"/>
    </w:rPr>
  </w:style>
  <w:style w:type="table" w:customStyle="1" w:styleId="Style16">
    <w:name w:val="Style16"/>
    <w:basedOn w:val="TableNormal"/>
    <w:uiPriority w:val="99"/>
    <w:rsid w:val="00A353BA"/>
    <w:pPr>
      <w:spacing w:line="240" w:lineRule="auto"/>
    </w:pPr>
    <w:tblPr/>
  </w:style>
  <w:style w:type="paragraph" w:customStyle="1" w:styleId="Letterfooter">
    <w:name w:val="Letter footer"/>
    <w:basedOn w:val="Footer"/>
    <w:qFormat/>
    <w:rsid w:val="00A353BA"/>
    <w:pPr>
      <w:tabs>
        <w:tab w:val="center" w:pos="4513"/>
        <w:tab w:val="right" w:pos="9026"/>
      </w:tabs>
      <w:spacing w:after="113"/>
      <w:ind w:right="-618" w:hanging="709"/>
      <w:jc w:val="center"/>
    </w:pPr>
    <w:rPr>
      <w:rFonts w:ascii="Arial" w:hAnsi="Arial" w:cs="Arial"/>
      <w:b w:val="0"/>
      <w:color w:val="auto"/>
      <w:sz w:val="17"/>
      <w:szCs w:val="17"/>
    </w:rPr>
  </w:style>
  <w:style w:type="paragraph" w:customStyle="1" w:styleId="PBOheader">
    <w:name w:val="PBO header"/>
    <w:basedOn w:val="Header"/>
    <w:qFormat/>
    <w:rsid w:val="00A353BA"/>
    <w:pPr>
      <w:spacing w:before="1320" w:after="114"/>
      <w:ind w:left="6521"/>
    </w:pPr>
    <w:rPr>
      <w:rFonts w:ascii="Arial" w:hAnsi="Arial" w:cs="Arial"/>
      <w:b/>
      <w:sz w:val="18"/>
      <w:szCs w:val="18"/>
    </w:rPr>
  </w:style>
  <w:style w:type="paragraph" w:customStyle="1" w:styleId="Captionheading">
    <w:name w:val="Caption heading"/>
    <w:basedOn w:val="Caption"/>
    <w:link w:val="CaptionheadingChar"/>
    <w:qFormat/>
    <w:rsid w:val="00A353BA"/>
  </w:style>
  <w:style w:type="character" w:customStyle="1" w:styleId="CaptionChar">
    <w:name w:val="Caption Char"/>
    <w:basedOn w:val="DefaultParagraphFont"/>
    <w:link w:val="Caption"/>
    <w:rsid w:val="00F10BED"/>
    <w:rPr>
      <w:b/>
      <w:bCs/>
      <w:color w:val="2B3B5F" w:themeColor="accent1"/>
      <w:szCs w:val="18"/>
    </w:rPr>
  </w:style>
  <w:style w:type="character" w:customStyle="1" w:styleId="CaptionheadingChar">
    <w:name w:val="Caption heading Char"/>
    <w:basedOn w:val="CaptionChar"/>
    <w:link w:val="Captionheading"/>
    <w:rsid w:val="00A353BA"/>
    <w:rPr>
      <w:b/>
      <w:bCs/>
      <w:color w:val="2B3B5F" w:themeColor="accent1"/>
      <w:sz w:val="18"/>
      <w:szCs w:val="18"/>
    </w:rPr>
  </w:style>
  <w:style w:type="paragraph" w:customStyle="1" w:styleId="Bullet1">
    <w:name w:val="Bullet 1"/>
    <w:basedOn w:val="ListBullet"/>
    <w:link w:val="Bullet1Char"/>
    <w:qFormat/>
    <w:rsid w:val="00A353BA"/>
    <w:pPr>
      <w:numPr>
        <w:numId w:val="0"/>
      </w:numPr>
      <w:tabs>
        <w:tab w:val="num" w:pos="0"/>
      </w:tabs>
    </w:pPr>
    <w:rPr>
      <w:rFonts w:eastAsia="Times New Roman" w:cs="Times New Roman"/>
      <w:sz w:val="20"/>
      <w:lang w:eastAsia="en-AU"/>
    </w:rPr>
  </w:style>
  <w:style w:type="character" w:customStyle="1" w:styleId="TableTextBullet1Char">
    <w:name w:val="Table Text Bullet 1 Char"/>
    <w:basedOn w:val="DefaultParagraphFont"/>
    <w:link w:val="TableTextBullet1"/>
    <w:rsid w:val="00A353BA"/>
    <w:rPr>
      <w:rFonts w:eastAsia="Times New Roman" w:cs="Times New Roman"/>
      <w:sz w:val="20"/>
      <w:lang w:eastAsia="en-AU"/>
    </w:rPr>
  </w:style>
  <w:style w:type="character" w:customStyle="1" w:styleId="Bullet1Char">
    <w:name w:val="Bullet 1 Char"/>
    <w:basedOn w:val="TableTextBullet1Char"/>
    <w:link w:val="Bullet1"/>
    <w:rsid w:val="00A353BA"/>
    <w:rPr>
      <w:rFonts w:eastAsia="Times New Roman" w:cs="Times New Roman"/>
      <w:spacing w:val="-1"/>
      <w:sz w:val="20"/>
      <w:lang w:eastAsia="en-AU"/>
    </w:rPr>
  </w:style>
  <w:style w:type="character" w:customStyle="1" w:styleId="TableTextBulletChar">
    <w:name w:val="Table Text Bullet Char"/>
    <w:basedOn w:val="TableTextChar"/>
    <w:link w:val="TableTextBullet"/>
    <w:rsid w:val="00A353BA"/>
    <w:rPr>
      <w:rFonts w:cs="Times New Roman"/>
      <w:sz w:val="20"/>
    </w:rPr>
  </w:style>
  <w:style w:type="character" w:customStyle="1" w:styleId="TableTextBullet2Char">
    <w:name w:val="Table Text Bullet 2 Char"/>
    <w:basedOn w:val="TableTextBulletChar"/>
    <w:link w:val="TableTextBullet2"/>
    <w:rsid w:val="00A353BA"/>
    <w:rPr>
      <w:rFonts w:cs="Times New Roman"/>
      <w:bCs/>
      <w:sz w:val="20"/>
    </w:rPr>
  </w:style>
  <w:style w:type="character" w:customStyle="1" w:styleId="TableTextBullet3Char">
    <w:name w:val="Table Text Bullet 3 Char"/>
    <w:basedOn w:val="TableTextBullet2Char"/>
    <w:link w:val="TableTextBullet3"/>
    <w:rsid w:val="00A353BA"/>
    <w:rPr>
      <w:rFonts w:cs="Times New Roman"/>
      <w:bCs w:val="0"/>
      <w:sz w:val="20"/>
    </w:rPr>
  </w:style>
  <w:style w:type="paragraph" w:customStyle="1" w:styleId="Footnoteheading">
    <w:name w:val="Footnote heading"/>
    <w:basedOn w:val="Normal"/>
    <w:link w:val="FootnoteheadingChar"/>
    <w:rsid w:val="00A353BA"/>
    <w:pPr>
      <w:spacing w:before="113" w:after="113"/>
    </w:pPr>
    <w:rPr>
      <w:b/>
      <w:sz w:val="20"/>
      <w:szCs w:val="20"/>
    </w:rPr>
  </w:style>
  <w:style w:type="character" w:customStyle="1" w:styleId="ListParagraphChar">
    <w:name w:val="List Paragraph Char"/>
    <w:basedOn w:val="DefaultParagraphFont"/>
    <w:link w:val="ListParagraph"/>
    <w:uiPriority w:val="34"/>
    <w:rsid w:val="00A353BA"/>
  </w:style>
  <w:style w:type="character" w:customStyle="1" w:styleId="FootnoteheadingChar">
    <w:name w:val="Footnote heading Char"/>
    <w:basedOn w:val="DefaultParagraphFont"/>
    <w:link w:val="Footnoteheading"/>
    <w:rsid w:val="00A353BA"/>
    <w:rPr>
      <w:b/>
      <w:sz w:val="20"/>
      <w:szCs w:val="20"/>
    </w:rPr>
  </w:style>
  <w:style w:type="paragraph" w:customStyle="1" w:styleId="Lettertext">
    <w:name w:val="Letter text"/>
    <w:basedOn w:val="Normal"/>
    <w:qFormat/>
    <w:rsid w:val="00A353BA"/>
    <w:pPr>
      <w:spacing w:before="240" w:line="240" w:lineRule="auto"/>
    </w:pPr>
    <w:rPr>
      <w:rFonts w:ascii="Times New Roman" w:hAnsi="Times New Roman" w:cs="Times New Roman"/>
      <w:sz w:val="24"/>
      <w:szCs w:val="24"/>
    </w:rPr>
  </w:style>
  <w:style w:type="paragraph" w:customStyle="1" w:styleId="Proformatext">
    <w:name w:val="Pro forma text"/>
    <w:basedOn w:val="Normal"/>
    <w:rsid w:val="00A353BA"/>
    <w:pPr>
      <w:spacing w:before="80" w:after="80" w:line="260" w:lineRule="exact"/>
    </w:pPr>
    <w:rPr>
      <w:rFonts w:ascii="Book Antiqua" w:eastAsia="Times New Roman" w:hAnsi="Book Antiqua" w:cs="Times New Roman"/>
      <w:sz w:val="20"/>
      <w:szCs w:val="20"/>
      <w:lang w:eastAsia="en-AU"/>
    </w:rPr>
  </w:style>
  <w:style w:type="paragraph" w:customStyle="1" w:styleId="ChartandTableFootnoteAlpha">
    <w:name w:val="Chart and Table Footnote Alpha"/>
    <w:basedOn w:val="Normal"/>
    <w:next w:val="Normal"/>
    <w:rsid w:val="00A353BA"/>
    <w:pPr>
      <w:keepLines/>
      <w:numPr>
        <w:numId w:val="20"/>
      </w:numPr>
      <w:spacing w:before="240" w:line="240" w:lineRule="auto"/>
      <w:jc w:val="both"/>
    </w:pPr>
    <w:rPr>
      <w:rFonts w:ascii="Arial" w:eastAsia="Times New Roman" w:hAnsi="Arial" w:cs="Times New Roman"/>
      <w:sz w:val="16"/>
      <w:szCs w:val="20"/>
      <w:lang w:eastAsia="en-AU"/>
    </w:rPr>
  </w:style>
  <w:style w:type="paragraph" w:customStyle="1" w:styleId="Tablefootnote">
    <w:name w:val="Table footnote"/>
    <w:basedOn w:val="ChartandTableFootnoteAlpha"/>
    <w:link w:val="TablefootnoteChar"/>
    <w:qFormat/>
    <w:rsid w:val="00A353BA"/>
  </w:style>
  <w:style w:type="character" w:customStyle="1" w:styleId="TablefootnoteChar">
    <w:name w:val="Table footnote Char"/>
    <w:basedOn w:val="DefaultParagraphFont"/>
    <w:link w:val="Tablefootnote"/>
    <w:rsid w:val="00A353BA"/>
    <w:rPr>
      <w:rFonts w:ascii="Arial" w:eastAsia="Times New Roman" w:hAnsi="Arial" w:cs="Times New Roman"/>
      <w:sz w:val="16"/>
      <w:szCs w:val="20"/>
      <w:lang w:eastAsia="en-AU"/>
    </w:rPr>
  </w:style>
  <w:style w:type="paragraph" w:styleId="Revision">
    <w:name w:val="Revision"/>
    <w:hidden/>
    <w:uiPriority w:val="99"/>
    <w:semiHidden/>
    <w:rsid w:val="00A353BA"/>
    <w:pPr>
      <w:spacing w:line="240" w:lineRule="auto"/>
    </w:pPr>
  </w:style>
  <w:style w:type="table" w:customStyle="1" w:styleId="TableGrid18">
    <w:name w:val="Table Grid18"/>
    <w:basedOn w:val="TableNormal"/>
    <w:next w:val="TableGrid"/>
    <w:rsid w:val="005141BF"/>
    <w:pPr>
      <w:spacing w:before="70" w:after="70" w:line="240" w:lineRule="auto"/>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9">
    <w:name w:val="Table Grid19"/>
    <w:basedOn w:val="TableNormal"/>
    <w:next w:val="TableGrid"/>
    <w:rsid w:val="00FE0CB0"/>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20">
    <w:name w:val="Table Grid20"/>
    <w:basedOn w:val="TableNormal"/>
    <w:next w:val="TableGrid"/>
    <w:rsid w:val="00792F45"/>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7">
    <w:name w:val="Style17"/>
    <w:basedOn w:val="TableNormal"/>
    <w:uiPriority w:val="99"/>
    <w:rsid w:val="00792F45"/>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1">
    <w:name w:val="Table Grid21"/>
    <w:basedOn w:val="TableNormal"/>
    <w:next w:val="TableGrid"/>
    <w:rsid w:val="00E06EB4"/>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22">
    <w:name w:val="Table Grid22"/>
    <w:basedOn w:val="TableNormal"/>
    <w:next w:val="TableGrid"/>
    <w:rsid w:val="007A24E1"/>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23">
    <w:name w:val="Table Grid23"/>
    <w:basedOn w:val="TableNormal"/>
    <w:next w:val="TableGrid"/>
    <w:rsid w:val="00EC06F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8">
    <w:name w:val="Style18"/>
    <w:basedOn w:val="TableNormal"/>
    <w:uiPriority w:val="99"/>
    <w:rsid w:val="00EC06F6"/>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4">
    <w:name w:val="Table Grid24"/>
    <w:basedOn w:val="TableNormal"/>
    <w:next w:val="TableGrid"/>
    <w:rsid w:val="000C300F"/>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numbering" w:customStyle="1" w:styleId="NoList2">
    <w:name w:val="No List2"/>
    <w:next w:val="NoList"/>
    <w:uiPriority w:val="99"/>
    <w:semiHidden/>
    <w:unhideWhenUsed/>
    <w:rsid w:val="0067067E"/>
  </w:style>
  <w:style w:type="table" w:customStyle="1" w:styleId="TableGrid25">
    <w:name w:val="Table Grid25"/>
    <w:basedOn w:val="TableNormal"/>
    <w:next w:val="TableGrid"/>
    <w:rsid w:val="0067067E"/>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9">
    <w:name w:val="Style19"/>
    <w:basedOn w:val="TableNormal"/>
    <w:uiPriority w:val="99"/>
    <w:rsid w:val="0067067E"/>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6">
    <w:name w:val="Table Grid26"/>
    <w:basedOn w:val="TableNormal"/>
    <w:next w:val="TableGrid"/>
    <w:rsid w:val="002678E3"/>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10">
    <w:name w:val="Style110"/>
    <w:basedOn w:val="TableNormal"/>
    <w:uiPriority w:val="99"/>
    <w:rsid w:val="002678E3"/>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character" w:styleId="IntenseReference">
    <w:name w:val="Intense Reference"/>
    <w:aliases w:val="DLM format"/>
    <w:basedOn w:val="DefaultParagraphFont"/>
    <w:uiPriority w:val="32"/>
    <w:qFormat/>
    <w:rsid w:val="002678E3"/>
    <w:rPr>
      <w:rFonts w:ascii="Arial" w:hAnsi="Arial"/>
      <w:b/>
      <w:bCs/>
      <w:color w:val="FF0000"/>
      <w:spacing w:val="5"/>
      <w:sz w:val="28"/>
      <w:szCs w:val="28"/>
    </w:rPr>
  </w:style>
  <w:style w:type="table" w:customStyle="1" w:styleId="TableGrid27">
    <w:name w:val="Table Grid27"/>
    <w:basedOn w:val="TableNormal"/>
    <w:next w:val="TableGrid"/>
    <w:rsid w:val="007208C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11">
    <w:name w:val="Style111"/>
    <w:basedOn w:val="TableNormal"/>
    <w:uiPriority w:val="99"/>
    <w:rsid w:val="007208C6"/>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8">
    <w:name w:val="Table Grid28"/>
    <w:basedOn w:val="TableNormal"/>
    <w:next w:val="TableGrid"/>
    <w:rsid w:val="00544835"/>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12">
    <w:name w:val="Style112"/>
    <w:basedOn w:val="TableNormal"/>
    <w:uiPriority w:val="99"/>
    <w:rsid w:val="00544835"/>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29">
    <w:name w:val="Table Grid29"/>
    <w:basedOn w:val="TableNormal"/>
    <w:next w:val="TableGrid"/>
    <w:rsid w:val="007D6381"/>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13">
    <w:name w:val="Style113"/>
    <w:basedOn w:val="TableNormal"/>
    <w:uiPriority w:val="99"/>
    <w:rsid w:val="007D6381"/>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paragraph" w:customStyle="1" w:styleId="CostingsH7">
    <w:name w:val="Costings H7"/>
    <w:basedOn w:val="Heading7"/>
    <w:next w:val="BodyText"/>
    <w:qFormat/>
    <w:rsid w:val="007A4BF9"/>
    <w:pPr>
      <w:spacing w:before="470" w:after="228"/>
    </w:pPr>
    <w:rPr>
      <w:i w:val="0"/>
      <w:color w:val="2B3B5F" w:themeColor="text2"/>
      <w:sz w:val="28"/>
    </w:rPr>
  </w:style>
  <w:style w:type="paragraph" w:customStyle="1" w:styleId="CostingsH8">
    <w:name w:val="Costings H8"/>
    <w:basedOn w:val="Heading8"/>
    <w:next w:val="BodyText"/>
    <w:qFormat/>
    <w:rsid w:val="00C11265"/>
    <w:pPr>
      <w:numPr>
        <w:numId w:val="0"/>
      </w:numPr>
      <w:tabs>
        <w:tab w:val="clear" w:pos="4536"/>
      </w:tabs>
      <w:spacing w:before="240" w:after="120"/>
    </w:pPr>
    <w:rPr>
      <w:rFonts w:ascii="Calibri" w:hAnsi="Calibri"/>
      <w:b/>
      <w:sz w:val="24"/>
      <w:szCs w:val="24"/>
    </w:rPr>
  </w:style>
  <w:style w:type="character" w:styleId="CommentReference">
    <w:name w:val="annotation reference"/>
    <w:basedOn w:val="DefaultParagraphFont"/>
    <w:uiPriority w:val="99"/>
    <w:semiHidden/>
    <w:unhideWhenUsed/>
    <w:rsid w:val="009C1ABB"/>
    <w:rPr>
      <w:sz w:val="16"/>
      <w:szCs w:val="16"/>
    </w:rPr>
  </w:style>
  <w:style w:type="paragraph" w:styleId="CommentText">
    <w:name w:val="annotation text"/>
    <w:basedOn w:val="Normal"/>
    <w:link w:val="CommentTextChar"/>
    <w:uiPriority w:val="99"/>
    <w:semiHidden/>
    <w:unhideWhenUsed/>
    <w:rsid w:val="009C1ABB"/>
    <w:pPr>
      <w:spacing w:line="240" w:lineRule="auto"/>
    </w:pPr>
    <w:rPr>
      <w:sz w:val="20"/>
      <w:szCs w:val="20"/>
    </w:rPr>
  </w:style>
  <w:style w:type="character" w:customStyle="1" w:styleId="CommentTextChar">
    <w:name w:val="Comment Text Char"/>
    <w:basedOn w:val="DefaultParagraphFont"/>
    <w:link w:val="CommentText"/>
    <w:uiPriority w:val="99"/>
    <w:semiHidden/>
    <w:rsid w:val="009C1ABB"/>
    <w:rPr>
      <w:sz w:val="20"/>
      <w:szCs w:val="20"/>
    </w:rPr>
  </w:style>
  <w:style w:type="paragraph" w:styleId="CommentSubject">
    <w:name w:val="annotation subject"/>
    <w:basedOn w:val="CommentText"/>
    <w:next w:val="CommentText"/>
    <w:link w:val="CommentSubjectChar"/>
    <w:uiPriority w:val="99"/>
    <w:semiHidden/>
    <w:unhideWhenUsed/>
    <w:rsid w:val="009C1ABB"/>
    <w:rPr>
      <w:b/>
      <w:bCs/>
    </w:rPr>
  </w:style>
  <w:style w:type="character" w:customStyle="1" w:styleId="CommentSubjectChar">
    <w:name w:val="Comment Subject Char"/>
    <w:basedOn w:val="CommentTextChar"/>
    <w:link w:val="CommentSubject"/>
    <w:uiPriority w:val="99"/>
    <w:semiHidden/>
    <w:rsid w:val="009C1ABB"/>
    <w:rPr>
      <w:b/>
      <w:bCs/>
      <w:sz w:val="20"/>
      <w:szCs w:val="20"/>
    </w:rPr>
  </w:style>
  <w:style w:type="paragraph" w:customStyle="1" w:styleId="CostingsH9">
    <w:name w:val="Costings H9"/>
    <w:basedOn w:val="Heading9"/>
    <w:next w:val="BodyText"/>
    <w:qFormat/>
    <w:rsid w:val="000501F1"/>
    <w:pPr>
      <w:tabs>
        <w:tab w:val="left" w:pos="1559"/>
        <w:tab w:val="left" w:pos="1843"/>
        <w:tab w:val="left" w:pos="2126"/>
        <w:tab w:val="left" w:pos="2410"/>
      </w:tabs>
      <w:spacing w:before="240" w:after="120"/>
    </w:pPr>
    <w:rPr>
      <w:rFonts w:ascii="Calibri" w:eastAsiaTheme="minorHAnsi" w:hAnsi="Calibri" w:cstheme="minorBidi"/>
      <w:iCs w:val="0"/>
      <w:color w:val="2B3B5F" w:themeColor="text2"/>
      <w:sz w:val="24"/>
      <w:szCs w:val="22"/>
    </w:rPr>
  </w:style>
  <w:style w:type="character" w:styleId="FollowedHyperlink">
    <w:name w:val="FollowedHyperlink"/>
    <w:basedOn w:val="DefaultParagraphFont"/>
    <w:semiHidden/>
    <w:unhideWhenUsed/>
    <w:rsid w:val="00E42EDF"/>
    <w:rPr>
      <w:color w:val="000000" w:themeColor="followedHyperlink"/>
      <w:u w:val="single"/>
    </w:rPr>
  </w:style>
  <w:style w:type="character" w:customStyle="1" w:styleId="FollowedHyperlink1">
    <w:name w:val="FollowedHyperlink1"/>
    <w:basedOn w:val="DefaultParagraphFont"/>
    <w:uiPriority w:val="99"/>
    <w:semiHidden/>
    <w:unhideWhenUsed/>
    <w:rsid w:val="000B5C96"/>
    <w:rPr>
      <w:color w:val="800080"/>
      <w:u w:val="single"/>
    </w:rPr>
  </w:style>
  <w:style w:type="table" w:customStyle="1" w:styleId="TableGrid110">
    <w:name w:val="Table Grid110"/>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1">
    <w:name w:val="Table Grid31"/>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11">
    <w:name w:val="Table Grid111"/>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1">
    <w:name w:val="Table Grid41"/>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paragraph" w:customStyle="1" w:styleId="Tablecaption">
    <w:name w:val="Table caption"/>
    <w:basedOn w:val="Normal"/>
    <w:link w:val="TablecaptionChar"/>
    <w:qFormat/>
    <w:rsid w:val="000B5C96"/>
    <w:pPr>
      <w:keepNext/>
      <w:spacing w:before="340" w:after="114"/>
    </w:pPr>
    <w:rPr>
      <w:rFonts w:ascii="Calibri" w:eastAsia="Calibri" w:hAnsi="Calibri" w:cs="Times New Roman"/>
      <w:b/>
      <w:bCs/>
      <w:color w:val="1F497D"/>
      <w:spacing w:val="-4"/>
    </w:rPr>
  </w:style>
  <w:style w:type="character" w:customStyle="1" w:styleId="TablecaptionChar">
    <w:name w:val="Table caption Char"/>
    <w:basedOn w:val="DefaultParagraphFont"/>
    <w:link w:val="Tablecaption"/>
    <w:rsid w:val="000B5C96"/>
    <w:rPr>
      <w:rFonts w:ascii="Calibri" w:eastAsia="Calibri" w:hAnsi="Calibri" w:cs="Times New Roman"/>
      <w:b/>
      <w:bCs/>
      <w:color w:val="1F497D"/>
      <w:spacing w:val="-4"/>
    </w:rPr>
  </w:style>
  <w:style w:type="table" w:customStyle="1" w:styleId="TableGrid30">
    <w:name w:val="Table Grid30"/>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32">
    <w:name w:val="Table Grid32"/>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33">
    <w:name w:val="Table Grid33"/>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4">
    <w:name w:val="Table Grid34"/>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5">
    <w:name w:val="Table Grid35"/>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6">
    <w:name w:val="Table Grid36"/>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7">
    <w:name w:val="Table Grid37"/>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8">
    <w:name w:val="Table Grid38"/>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39">
    <w:name w:val="Table Grid39"/>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0">
    <w:name w:val="Table Grid40"/>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2">
    <w:name w:val="Table Grid42"/>
    <w:basedOn w:val="TableNormal"/>
    <w:next w:val="TableGrid"/>
    <w:rsid w:val="000B5C96"/>
    <w:pPr>
      <w:spacing w:before="70" w:after="70" w:line="260" w:lineRule="atLeast"/>
      <w:ind w:left="113" w:right="113"/>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3">
    <w:name w:val="Table Grid43"/>
    <w:basedOn w:val="TableNormal"/>
    <w:next w:val="TableGrid"/>
    <w:rsid w:val="000B5C96"/>
    <w:pPr>
      <w:spacing w:before="70" w:after="70" w:line="260" w:lineRule="atLeast"/>
      <w:ind w:left="113" w:right="113"/>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4">
    <w:name w:val="Table Grid44"/>
    <w:basedOn w:val="TableNormal"/>
    <w:next w:val="TableGrid"/>
    <w:rsid w:val="000B5C96"/>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5">
    <w:name w:val="Table Grid45"/>
    <w:basedOn w:val="TableNormal"/>
    <w:next w:val="TableGrid"/>
    <w:rsid w:val="000B5C96"/>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6">
    <w:name w:val="Table Grid46"/>
    <w:basedOn w:val="TableNormal"/>
    <w:next w:val="TableGrid"/>
    <w:rsid w:val="000B5C96"/>
    <w:pPr>
      <w:spacing w:before="70" w:after="70" w:line="260" w:lineRule="atLeast"/>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7">
    <w:name w:val="Table Grid47"/>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8">
    <w:name w:val="Table Grid48"/>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9">
    <w:name w:val="Table Grid49"/>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0">
    <w:name w:val="Table Grid50"/>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1">
    <w:name w:val="Table Grid51"/>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2">
    <w:name w:val="Table Grid52"/>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3">
    <w:name w:val="Table Grid53"/>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4">
    <w:name w:val="Table Grid54"/>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410">
    <w:name w:val="Table Grid410"/>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5">
    <w:name w:val="Table Grid55"/>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6">
    <w:name w:val="Table Grid56"/>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57">
    <w:name w:val="Table Grid57"/>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58">
    <w:name w:val="Table Grid58"/>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59">
    <w:name w:val="Table Grid59"/>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60">
    <w:name w:val="Table Grid60"/>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1">
    <w:name w:val="Table Grid61"/>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2">
    <w:name w:val="Table Grid62"/>
    <w:basedOn w:val="TableNormal"/>
    <w:next w:val="TableGrid"/>
    <w:rsid w:val="000B5C96"/>
    <w:pPr>
      <w:spacing w:before="70" w:after="70" w:line="260" w:lineRule="atLeast"/>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3">
    <w:name w:val="Table Grid63"/>
    <w:basedOn w:val="TableNormal"/>
    <w:next w:val="TableGrid"/>
    <w:rsid w:val="000B5C96"/>
    <w:pPr>
      <w:spacing w:before="70" w:after="70" w:line="260" w:lineRule="atLeast"/>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4">
    <w:name w:val="Table Grid64"/>
    <w:basedOn w:val="TableNormal"/>
    <w:next w:val="TableGrid"/>
    <w:rsid w:val="000B5C96"/>
    <w:pPr>
      <w:spacing w:before="70" w:after="70" w:line="260" w:lineRule="atLeast"/>
      <w:ind w:left="113" w:right="113"/>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5">
    <w:name w:val="Table Grid65"/>
    <w:basedOn w:val="TableNormal"/>
    <w:next w:val="TableGrid"/>
    <w:rsid w:val="000B5C96"/>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6">
    <w:name w:val="Table Grid66"/>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67">
    <w:name w:val="Table Grid67"/>
    <w:basedOn w:val="TableNormal"/>
    <w:next w:val="TableGrid"/>
    <w:rsid w:val="000B5C96"/>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8">
    <w:name w:val="Table Grid68"/>
    <w:basedOn w:val="TableNormal"/>
    <w:next w:val="TableGrid"/>
    <w:rsid w:val="000B5C96"/>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69">
    <w:name w:val="Table Grid69"/>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0">
    <w:name w:val="Table Grid70"/>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1">
    <w:name w:val="Table Grid71"/>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72">
    <w:name w:val="Table Grid72"/>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73">
    <w:name w:val="Table Grid73"/>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74">
    <w:name w:val="Table Grid74"/>
    <w:basedOn w:val="TableNormal"/>
    <w:next w:val="TableGrid"/>
    <w:rsid w:val="000B5C96"/>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5">
    <w:name w:val="Table Grid75"/>
    <w:basedOn w:val="TableNormal"/>
    <w:next w:val="TableGrid"/>
    <w:rsid w:val="000B5C96"/>
    <w:pPr>
      <w:spacing w:before="70" w:after="70" w:line="260" w:lineRule="atLeast"/>
      <w:ind w:left="113" w:right="113"/>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6">
    <w:name w:val="Table Grid76"/>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7">
    <w:name w:val="Table Grid77"/>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78">
    <w:name w:val="Table Grid78"/>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79">
    <w:name w:val="Table Grid79"/>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80">
    <w:name w:val="Table Grid80"/>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81">
    <w:name w:val="Table Grid81"/>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82">
    <w:name w:val="Table Grid82"/>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83">
    <w:name w:val="Table Grid83"/>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84">
    <w:name w:val="Table Grid84"/>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85">
    <w:name w:val="Table Grid85"/>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86">
    <w:name w:val="Table Grid86"/>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87">
    <w:name w:val="Table Grid87"/>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88">
    <w:name w:val="Table Grid88"/>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89">
    <w:name w:val="Table Grid89"/>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0">
    <w:name w:val="Table Grid90"/>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1">
    <w:name w:val="Table Grid91"/>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14">
    <w:name w:val="Style114"/>
    <w:basedOn w:val="TableNormal"/>
    <w:uiPriority w:val="99"/>
    <w:rsid w:val="000B5C96"/>
    <w:pPr>
      <w:spacing w:line="240" w:lineRule="auto"/>
      <w:ind w:left="57" w:right="57"/>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92">
    <w:name w:val="Table Grid92"/>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3">
    <w:name w:val="Table Grid93"/>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4">
    <w:name w:val="Table Grid94"/>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5">
    <w:name w:val="Table Grid95"/>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6">
    <w:name w:val="Table Grid96"/>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7">
    <w:name w:val="Table Grid97"/>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15">
    <w:name w:val="Style115"/>
    <w:basedOn w:val="TableNormal"/>
    <w:uiPriority w:val="99"/>
    <w:rsid w:val="000B5C96"/>
    <w:pPr>
      <w:spacing w:line="240" w:lineRule="auto"/>
      <w:ind w:left="57" w:right="57"/>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98">
    <w:name w:val="Table Grid98"/>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99">
    <w:name w:val="Table Grid99"/>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0">
    <w:name w:val="Table Grid100"/>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1">
    <w:name w:val="Table Grid101"/>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2">
    <w:name w:val="Table Grid102"/>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3">
    <w:name w:val="Table Grid103"/>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paragraph" w:customStyle="1" w:styleId="Default">
    <w:name w:val="Default"/>
    <w:rsid w:val="000B5C96"/>
    <w:pPr>
      <w:autoSpaceDE w:val="0"/>
      <w:autoSpaceDN w:val="0"/>
      <w:adjustRightInd w:val="0"/>
      <w:spacing w:line="240" w:lineRule="auto"/>
    </w:pPr>
    <w:rPr>
      <w:rFonts w:ascii="Georgia" w:hAnsi="Georgia" w:cs="Georgia"/>
      <w:color w:val="000000"/>
      <w:sz w:val="24"/>
      <w:szCs w:val="24"/>
    </w:rPr>
  </w:style>
  <w:style w:type="table" w:customStyle="1" w:styleId="TableGrid104">
    <w:name w:val="Table Grid104"/>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5">
    <w:name w:val="Table Grid105"/>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6">
    <w:name w:val="Table Grid106"/>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7">
    <w:name w:val="Table Grid107"/>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8">
    <w:name w:val="Table Grid108"/>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09">
    <w:name w:val="Table Grid109"/>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Style116">
    <w:name w:val="Style116"/>
    <w:basedOn w:val="TableNormal"/>
    <w:uiPriority w:val="99"/>
    <w:rsid w:val="000B5C96"/>
    <w:pPr>
      <w:spacing w:before="114" w:after="114" w:line="240" w:lineRule="auto"/>
    </w:p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rPr>
        <w:rFonts w:ascii="Calibri" w:hAnsi="Calibri"/>
        <w:b/>
        <w:sz w:val="20"/>
      </w:rPr>
      <w:tblPr/>
      <w:tcPr>
        <w:shd w:val="clear" w:color="auto" w:fill="D7DDE9"/>
      </w:tcPr>
    </w:tblStylePr>
  </w:style>
  <w:style w:type="table" w:customStyle="1" w:styleId="TableGrid112">
    <w:name w:val="Table Grid112"/>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tcPr>
    </w:tblStylePr>
    <w:tblStylePr w:type="lastRow">
      <w:rPr>
        <w:rFonts w:ascii="Calibri" w:hAnsi="Calibri"/>
        <w:b/>
        <w:sz w:val="20"/>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13">
    <w:name w:val="Table Grid113"/>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17">
    <w:name w:val="Style117"/>
    <w:basedOn w:val="TableNormal"/>
    <w:uiPriority w:val="99"/>
    <w:rsid w:val="000B5C96"/>
    <w:pPr>
      <w:spacing w:line="240" w:lineRule="auto"/>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114">
    <w:name w:val="Table Grid114"/>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15">
    <w:name w:val="Table Grid115"/>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18">
    <w:name w:val="Style118"/>
    <w:basedOn w:val="TableNormal"/>
    <w:uiPriority w:val="99"/>
    <w:rsid w:val="000B5C96"/>
    <w:pPr>
      <w:spacing w:line="240" w:lineRule="auto"/>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paragraph" w:customStyle="1" w:styleId="xl125">
    <w:name w:val="xl125"/>
    <w:basedOn w:val="Normal"/>
    <w:rsid w:val="000B5C9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26">
    <w:name w:val="xl126"/>
    <w:basedOn w:val="Normal"/>
    <w:rsid w:val="000B5C9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27">
    <w:name w:val="xl127"/>
    <w:basedOn w:val="Normal"/>
    <w:rsid w:val="000B5C96"/>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28">
    <w:name w:val="xl128"/>
    <w:basedOn w:val="Normal"/>
    <w:rsid w:val="000B5C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29">
    <w:name w:val="xl129"/>
    <w:basedOn w:val="Normal"/>
    <w:rsid w:val="000B5C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30">
    <w:name w:val="xl130"/>
    <w:basedOn w:val="Normal"/>
    <w:rsid w:val="000B5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en-AU"/>
    </w:rPr>
  </w:style>
  <w:style w:type="paragraph" w:customStyle="1" w:styleId="xl131">
    <w:name w:val="xl131"/>
    <w:basedOn w:val="Normal"/>
    <w:rsid w:val="000B5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32">
    <w:name w:val="xl132"/>
    <w:basedOn w:val="Normal"/>
    <w:rsid w:val="000B5C96"/>
    <w:pPr>
      <w:spacing w:before="100" w:beforeAutospacing="1" w:after="100" w:afterAutospacing="1" w:line="240" w:lineRule="auto"/>
    </w:pPr>
    <w:rPr>
      <w:rFonts w:ascii="Times New Roman" w:eastAsia="Times New Roman" w:hAnsi="Times New Roman" w:cs="Times New Roman"/>
      <w:i/>
      <w:iCs/>
      <w:sz w:val="24"/>
      <w:szCs w:val="24"/>
      <w:lang w:eastAsia="en-AU"/>
    </w:rPr>
  </w:style>
  <w:style w:type="paragraph" w:customStyle="1" w:styleId="xl133">
    <w:name w:val="xl133"/>
    <w:basedOn w:val="Normal"/>
    <w:rsid w:val="000B5C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Times New Roman" w:eastAsia="Times New Roman" w:hAnsi="Times New Roman" w:cs="Times New Roman"/>
      <w:b/>
      <w:bCs/>
      <w:sz w:val="24"/>
      <w:szCs w:val="24"/>
      <w:lang w:eastAsia="en-AU"/>
    </w:rPr>
  </w:style>
  <w:style w:type="paragraph" w:customStyle="1" w:styleId="xl134">
    <w:name w:val="xl134"/>
    <w:basedOn w:val="Normal"/>
    <w:rsid w:val="000B5C9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5">
    <w:name w:val="xl135"/>
    <w:basedOn w:val="Normal"/>
    <w:rsid w:val="000B5C96"/>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136">
    <w:name w:val="xl136"/>
    <w:basedOn w:val="Normal"/>
    <w:rsid w:val="000B5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n-AU"/>
    </w:rPr>
  </w:style>
  <w:style w:type="paragraph" w:customStyle="1" w:styleId="xl137">
    <w:name w:val="xl137"/>
    <w:basedOn w:val="Normal"/>
    <w:rsid w:val="000B5C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xl138">
    <w:name w:val="xl138"/>
    <w:basedOn w:val="Normal"/>
    <w:rsid w:val="000B5C9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9">
    <w:name w:val="xl139"/>
    <w:basedOn w:val="Normal"/>
    <w:rsid w:val="000B5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n-AU"/>
    </w:rPr>
  </w:style>
  <w:style w:type="table" w:customStyle="1" w:styleId="TableGrid116">
    <w:name w:val="Table Grid116"/>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19">
    <w:name w:val="Style119"/>
    <w:basedOn w:val="TableNormal"/>
    <w:uiPriority w:val="99"/>
    <w:rsid w:val="000B5C96"/>
    <w:pPr>
      <w:spacing w:line="240" w:lineRule="auto"/>
      <w:ind w:left="57" w:right="57"/>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117">
    <w:name w:val="Table Grid117"/>
    <w:basedOn w:val="TableNormal"/>
    <w:next w:val="TableGrid"/>
    <w:rsid w:val="000B5C96"/>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18">
    <w:name w:val="Table Grid118"/>
    <w:basedOn w:val="TableNormal"/>
    <w:next w:val="TableGrid"/>
    <w:rsid w:val="000B5C96"/>
    <w:pPr>
      <w:spacing w:before="70" w:after="70" w:line="240" w:lineRule="auto"/>
      <w:ind w:left="57" w:right="57"/>
    </w:pPr>
    <w:rPr>
      <w:rFonts w:ascii="Calibri" w:eastAsia="Times New Roman" w:hAnsi="Calibri" w:cs="Times New Roman"/>
      <w:sz w:val="20"/>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Pr>
    <w:tblStylePr w:type="firstRow">
      <w:pPr>
        <w:wordWrap/>
        <w:spacing w:beforeLines="0" w:before="100" w:beforeAutospacing="1" w:afterLines="0" w:after="100" w:afterAutospacing="1" w:line="260" w:lineRule="atLeast"/>
        <w:ind w:leftChars="0" w:left="0" w:rightChars="0" w:right="0"/>
        <w:jc w:val="right"/>
      </w:pPr>
      <w:rPr>
        <w:rFonts w:ascii="Calibri" w:hAnsi="Calibri" w:hint="default"/>
        <w:b w:val="0"/>
        <w:i w:val="0"/>
        <w:color w:val="auto"/>
        <w:sz w:val="20"/>
        <w:szCs w:val="20"/>
      </w:rPr>
      <w:tblPr/>
      <w:tcPr>
        <w:shd w:val="clear" w:color="auto" w:fill="D7DDE9"/>
      </w:tcPr>
    </w:tblStylePr>
    <w:tblStylePr w:type="lastRow">
      <w:rPr>
        <w:rFonts w:ascii="Calibri" w:hAnsi="Calibri" w:hint="default"/>
        <w:b/>
        <w:sz w:val="20"/>
        <w:szCs w:val="20"/>
      </w:rPr>
    </w:tblStylePr>
    <w:tblStylePr w:type="firstCol">
      <w:pPr>
        <w:wordWrap/>
        <w:ind w:leftChars="0" w:left="0" w:rightChars="0" w:right="0"/>
        <w:jc w:val="left"/>
      </w:pPr>
      <w:rPr>
        <w:rFonts w:ascii="Calibri" w:hAnsi="Calibri" w:hint="default"/>
        <w:b w:val="0"/>
        <w:i w:val="0"/>
        <w:sz w:val="20"/>
        <w:szCs w:val="20"/>
      </w:rPr>
      <w:tblPr/>
      <w:tcPr>
        <w:vAlign w:val="center"/>
      </w:tcPr>
    </w:tblStylePr>
    <w:tblStylePr w:type="lastCol">
      <w:pPr>
        <w:wordWrap/>
        <w:jc w:val="right"/>
      </w:pPr>
      <w:rPr>
        <w:rFonts w:ascii="Calibri" w:hAnsi="Calibri" w:hint="default"/>
        <w:sz w:val="20"/>
        <w:szCs w:val="20"/>
      </w:rPr>
      <w:tblPr/>
      <w:tcPr>
        <w:vAlign w:val="center"/>
      </w:tcPr>
    </w:tblStylePr>
    <w:tblStylePr w:type="band1Vert">
      <w:pPr>
        <w:jc w:val="right"/>
      </w:pPr>
      <w:rPr>
        <w:sz w:val="20"/>
        <w:szCs w:val="20"/>
      </w:rPr>
      <w:tblPr/>
      <w:tcPr>
        <w:vAlign w:val="center"/>
      </w:tcPr>
    </w:tblStylePr>
    <w:tblStylePr w:type="band2Vert">
      <w:pPr>
        <w:jc w:val="right"/>
      </w:pPr>
      <w:rPr>
        <w:rFonts w:ascii="Calibri" w:hAnsi="Calibri" w:hint="default"/>
        <w:sz w:val="20"/>
        <w:szCs w:val="20"/>
      </w:rPr>
      <w:tblPr/>
      <w:tcPr>
        <w:vAlign w:val="center"/>
      </w:tcPr>
    </w:tblStylePr>
    <w:tblStylePr w:type="band1Horz">
      <w:tblPr/>
      <w:tcPr>
        <w:shd w:val="clear" w:color="auto" w:fill="FFFFFF"/>
      </w:tcPr>
    </w:tblStylePr>
    <w:tblStylePr w:type="nwCell">
      <w:pPr>
        <w:jc w:val="left"/>
      </w:pPr>
      <w:tblPr/>
      <w:tcPr>
        <w:vAlign w:val="top"/>
      </w:tcPr>
    </w:tblStylePr>
  </w:style>
  <w:style w:type="table" w:customStyle="1" w:styleId="TableGrid119">
    <w:name w:val="Table Grid119"/>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120">
    <w:name w:val="Table Grid120"/>
    <w:basedOn w:val="TableNormal"/>
    <w:next w:val="TableGrid"/>
    <w:rsid w:val="000B5C9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CellMar>
        <w:left w:w="0" w:type="dxa"/>
        <w:right w:w="0" w:type="dxa"/>
      </w:tblCellMar>
    </w:tblPr>
    <w:tcPr>
      <w:shd w:val="clear" w:color="auto" w:fill="auto"/>
    </w:tcPr>
    <w:tblStylePr w:type="firstRow">
      <w:pPr>
        <w:wordWrap/>
        <w:spacing w:beforeLines="0" w:before="70" w:beforeAutospacing="0" w:afterLines="0" w:after="70" w:afterAutospacing="0" w:line="260" w:lineRule="atLeast"/>
        <w:ind w:leftChars="0" w:left="113" w:rightChars="0" w:right="113"/>
        <w:jc w:val="left"/>
      </w:pPr>
      <w:rPr>
        <w:rFonts w:ascii="Calibri" w:hAnsi="Calibri"/>
        <w:b/>
        <w:i w:val="0"/>
        <w:color w:val="auto"/>
        <w:sz w:val="22"/>
      </w:rPr>
      <w:tblPr/>
      <w:tcPr>
        <w:shd w:val="clear" w:color="auto" w:fill="D7DDE9"/>
        <w:vAlign w:val="top"/>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290139412">
      <w:bodyDiv w:val="1"/>
      <w:marLeft w:val="0"/>
      <w:marRight w:val="0"/>
      <w:marTop w:val="0"/>
      <w:marBottom w:val="0"/>
      <w:divBdr>
        <w:top w:val="none" w:sz="0" w:space="0" w:color="auto"/>
        <w:left w:val="none" w:sz="0" w:space="0" w:color="auto"/>
        <w:bottom w:val="none" w:sz="0" w:space="0" w:color="auto"/>
        <w:right w:val="none" w:sz="0" w:space="0" w:color="auto"/>
      </w:divBdr>
    </w:div>
    <w:div w:id="680277604">
      <w:bodyDiv w:val="1"/>
      <w:marLeft w:val="0"/>
      <w:marRight w:val="0"/>
      <w:marTop w:val="0"/>
      <w:marBottom w:val="0"/>
      <w:divBdr>
        <w:top w:val="none" w:sz="0" w:space="0" w:color="auto"/>
        <w:left w:val="none" w:sz="0" w:space="0" w:color="auto"/>
        <w:bottom w:val="none" w:sz="0" w:space="0" w:color="auto"/>
        <w:right w:val="none" w:sz="0" w:space="0" w:color="auto"/>
      </w:divBdr>
    </w:div>
    <w:div w:id="862061137">
      <w:bodyDiv w:val="1"/>
      <w:marLeft w:val="0"/>
      <w:marRight w:val="0"/>
      <w:marTop w:val="0"/>
      <w:marBottom w:val="0"/>
      <w:divBdr>
        <w:top w:val="none" w:sz="0" w:space="0" w:color="auto"/>
        <w:left w:val="none" w:sz="0" w:space="0" w:color="auto"/>
        <w:bottom w:val="none" w:sz="0" w:space="0" w:color="auto"/>
        <w:right w:val="none" w:sz="0" w:space="0" w:color="auto"/>
      </w:divBdr>
    </w:div>
    <w:div w:id="130588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99" Type="http://schemas.openxmlformats.org/officeDocument/2006/relationships/footer" Target="footer132.xml"/><Relationship Id="rId671" Type="http://schemas.openxmlformats.org/officeDocument/2006/relationships/header" Target="header287.xml"/><Relationship Id="rId21" Type="http://schemas.openxmlformats.org/officeDocument/2006/relationships/header" Target="header7.xml"/><Relationship Id="rId63" Type="http://schemas.openxmlformats.org/officeDocument/2006/relationships/footer" Target="footer24.xml"/><Relationship Id="rId159" Type="http://schemas.openxmlformats.org/officeDocument/2006/relationships/header" Target="header71.xml"/><Relationship Id="rId324" Type="http://schemas.openxmlformats.org/officeDocument/2006/relationships/header" Target="header143.xml"/><Relationship Id="rId366" Type="http://schemas.openxmlformats.org/officeDocument/2006/relationships/header" Target="header162.xml"/><Relationship Id="rId531" Type="http://schemas.openxmlformats.org/officeDocument/2006/relationships/hyperlink" Target="http://greens.org.au/news/qld/greens-commit-full-funding-eradicate-yellow-crazy-ants-while-other-parties-make-half" TargetMode="External"/><Relationship Id="rId573" Type="http://schemas.openxmlformats.org/officeDocument/2006/relationships/hyperlink" Target="http://www.adambandt.com/160629" TargetMode="External"/><Relationship Id="rId629" Type="http://schemas.openxmlformats.org/officeDocument/2006/relationships/footer" Target="footer268.xml"/><Relationship Id="rId170" Type="http://schemas.openxmlformats.org/officeDocument/2006/relationships/header" Target="header77.xml"/><Relationship Id="rId226" Type="http://schemas.openxmlformats.org/officeDocument/2006/relationships/header" Target="header102.xml"/><Relationship Id="rId433" Type="http://schemas.openxmlformats.org/officeDocument/2006/relationships/hyperlink" Target="http://medicarestatistics.humanservices.gov.au/statistics/mbs_item.jsp" TargetMode="External"/><Relationship Id="rId268" Type="http://schemas.openxmlformats.org/officeDocument/2006/relationships/footer" Target="footer117.xml"/><Relationship Id="rId475" Type="http://schemas.openxmlformats.org/officeDocument/2006/relationships/header" Target="header212.xml"/><Relationship Id="rId640" Type="http://schemas.openxmlformats.org/officeDocument/2006/relationships/header" Target="header271.xml"/><Relationship Id="rId682" Type="http://schemas.openxmlformats.org/officeDocument/2006/relationships/footer" Target="footer292.xml"/><Relationship Id="rId32" Type="http://schemas.openxmlformats.org/officeDocument/2006/relationships/header" Target="header12.xml"/><Relationship Id="rId74" Type="http://schemas.openxmlformats.org/officeDocument/2006/relationships/footer" Target="footer30.xml"/><Relationship Id="rId128" Type="http://schemas.openxmlformats.org/officeDocument/2006/relationships/footer" Target="footer54.xml"/><Relationship Id="rId335" Type="http://schemas.openxmlformats.org/officeDocument/2006/relationships/header" Target="header148.xml"/><Relationship Id="rId377" Type="http://schemas.openxmlformats.org/officeDocument/2006/relationships/footer" Target="footer168.xml"/><Relationship Id="rId500" Type="http://schemas.openxmlformats.org/officeDocument/2006/relationships/footer" Target="footer224.xml"/><Relationship Id="rId542" Type="http://schemas.openxmlformats.org/officeDocument/2006/relationships/hyperlink" Target="http://greens.org.au/batteries" TargetMode="External"/><Relationship Id="rId584" Type="http://schemas.openxmlformats.org/officeDocument/2006/relationships/footer" Target="footer252.xml"/><Relationship Id="rId5" Type="http://schemas.openxmlformats.org/officeDocument/2006/relationships/settings" Target="settings.xml"/><Relationship Id="rId181" Type="http://schemas.openxmlformats.org/officeDocument/2006/relationships/footer" Target="footer80.xml"/><Relationship Id="rId237" Type="http://schemas.openxmlformats.org/officeDocument/2006/relationships/footer" Target="footer104.xml"/><Relationship Id="rId402" Type="http://schemas.openxmlformats.org/officeDocument/2006/relationships/footer" Target="footer180.xml"/><Relationship Id="rId279" Type="http://schemas.openxmlformats.org/officeDocument/2006/relationships/header" Target="header121.xml"/><Relationship Id="rId444" Type="http://schemas.openxmlformats.org/officeDocument/2006/relationships/header" Target="header197.xml"/><Relationship Id="rId486" Type="http://schemas.openxmlformats.org/officeDocument/2006/relationships/hyperlink" Target="http://greens.org.au/sites/greens.org.au/files/20160622%20Biosecurity%20initiative.pdf" TargetMode="External"/><Relationship Id="rId651" Type="http://schemas.openxmlformats.org/officeDocument/2006/relationships/footer" Target="footer277.xml"/><Relationship Id="rId693" Type="http://schemas.openxmlformats.org/officeDocument/2006/relationships/hyperlink" Target="http://www.pc.gov.au/research/ongoing/report-on-government-services/2013/2013" TargetMode="External"/><Relationship Id="rId43" Type="http://schemas.openxmlformats.org/officeDocument/2006/relationships/footer" Target="footer15.xml"/><Relationship Id="rId139" Type="http://schemas.openxmlformats.org/officeDocument/2006/relationships/footer" Target="footer59.xml"/><Relationship Id="rId290" Type="http://schemas.openxmlformats.org/officeDocument/2006/relationships/header" Target="header126.xml"/><Relationship Id="rId304" Type="http://schemas.openxmlformats.org/officeDocument/2006/relationships/footer" Target="footer134.xml"/><Relationship Id="rId346" Type="http://schemas.openxmlformats.org/officeDocument/2006/relationships/footer" Target="footer154.xml"/><Relationship Id="rId388" Type="http://schemas.openxmlformats.org/officeDocument/2006/relationships/header" Target="header172.xml"/><Relationship Id="rId511" Type="http://schemas.openxmlformats.org/officeDocument/2006/relationships/footer" Target="footer229.xml"/><Relationship Id="rId553" Type="http://schemas.openxmlformats.org/officeDocument/2006/relationships/header" Target="header243.xml"/><Relationship Id="rId609" Type="http://schemas.openxmlformats.org/officeDocument/2006/relationships/header" Target="header260.xml"/><Relationship Id="rId85" Type="http://schemas.openxmlformats.org/officeDocument/2006/relationships/footer" Target="footer35.xml"/><Relationship Id="rId150" Type="http://schemas.openxmlformats.org/officeDocument/2006/relationships/footer" Target="footer65.xml"/><Relationship Id="rId192" Type="http://schemas.openxmlformats.org/officeDocument/2006/relationships/footer" Target="footer86.xml"/><Relationship Id="rId206" Type="http://schemas.openxmlformats.org/officeDocument/2006/relationships/header" Target="header93.xml"/><Relationship Id="rId413" Type="http://schemas.openxmlformats.org/officeDocument/2006/relationships/footer" Target="footer185.xml"/><Relationship Id="rId595" Type="http://schemas.openxmlformats.org/officeDocument/2006/relationships/footer" Target="footer255.xml"/><Relationship Id="rId248" Type="http://schemas.openxmlformats.org/officeDocument/2006/relationships/header" Target="header110.xml"/><Relationship Id="rId455" Type="http://schemas.openxmlformats.org/officeDocument/2006/relationships/header" Target="header203.xml"/><Relationship Id="rId497" Type="http://schemas.openxmlformats.org/officeDocument/2006/relationships/header" Target="header222.xml"/><Relationship Id="rId620" Type="http://schemas.openxmlformats.org/officeDocument/2006/relationships/header" Target="header265.xml"/><Relationship Id="rId662" Type="http://schemas.openxmlformats.org/officeDocument/2006/relationships/footer" Target="footer282.xml"/><Relationship Id="rId12" Type="http://schemas.openxmlformats.org/officeDocument/2006/relationships/footer" Target="footer2.xml"/><Relationship Id="rId108" Type="http://schemas.openxmlformats.org/officeDocument/2006/relationships/header" Target="header47.xml"/><Relationship Id="rId315" Type="http://schemas.openxmlformats.org/officeDocument/2006/relationships/footer" Target="footer139.xml"/><Relationship Id="rId357" Type="http://schemas.openxmlformats.org/officeDocument/2006/relationships/footer" Target="footer159.xml"/><Relationship Id="rId522" Type="http://schemas.openxmlformats.org/officeDocument/2006/relationships/hyperlink" Target="http://rachel-siewert.greensmps.org.au/content/media-releases/greens-announce-support-older-australians" TargetMode="External"/><Relationship Id="rId54" Type="http://schemas.openxmlformats.org/officeDocument/2006/relationships/header" Target="header22.xml"/><Relationship Id="rId96" Type="http://schemas.openxmlformats.org/officeDocument/2006/relationships/header" Target="header41.xml"/><Relationship Id="rId161" Type="http://schemas.openxmlformats.org/officeDocument/2006/relationships/footer" Target="footer70.xml"/><Relationship Id="rId217" Type="http://schemas.openxmlformats.org/officeDocument/2006/relationships/header" Target="header98.xml"/><Relationship Id="rId399" Type="http://schemas.openxmlformats.org/officeDocument/2006/relationships/footer" Target="footer178.xml"/><Relationship Id="rId564" Type="http://schemas.openxmlformats.org/officeDocument/2006/relationships/footer" Target="footer248.xml"/><Relationship Id="rId259" Type="http://schemas.openxmlformats.org/officeDocument/2006/relationships/footer" Target="footer114.xml"/><Relationship Id="rId424" Type="http://schemas.openxmlformats.org/officeDocument/2006/relationships/hyperlink" Target="http://greens.org.au/primary-care" TargetMode="External"/><Relationship Id="rId466" Type="http://schemas.openxmlformats.org/officeDocument/2006/relationships/hyperlink" Target="http://greens.org.au/forests" TargetMode="External"/><Relationship Id="rId631" Type="http://schemas.openxmlformats.org/officeDocument/2006/relationships/footer" Target="footer269.xml"/><Relationship Id="rId673" Type="http://schemas.openxmlformats.org/officeDocument/2006/relationships/footer" Target="footer288.xml"/><Relationship Id="rId23" Type="http://schemas.openxmlformats.org/officeDocument/2006/relationships/footer" Target="footer6.xml"/><Relationship Id="rId119" Type="http://schemas.openxmlformats.org/officeDocument/2006/relationships/footer" Target="footer50.xml"/><Relationship Id="rId270" Type="http://schemas.openxmlformats.org/officeDocument/2006/relationships/hyperlink" Target="http://rachel-siewert.greensmps.org.au/content/media-releases/greens-launch-ag-package-would-help-innovate-agriculture-combat-climate-chang" TargetMode="External"/><Relationship Id="rId326" Type="http://schemas.openxmlformats.org/officeDocument/2006/relationships/footer" Target="footer145.xml"/><Relationship Id="rId533" Type="http://schemas.openxmlformats.org/officeDocument/2006/relationships/header" Target="header235.xml"/><Relationship Id="rId65" Type="http://schemas.openxmlformats.org/officeDocument/2006/relationships/header" Target="header27.xml"/><Relationship Id="rId130" Type="http://schemas.openxmlformats.org/officeDocument/2006/relationships/footer" Target="footer55.xml"/><Relationship Id="rId368" Type="http://schemas.openxmlformats.org/officeDocument/2006/relationships/header" Target="header163.xml"/><Relationship Id="rId575" Type="http://schemas.openxmlformats.org/officeDocument/2006/relationships/hyperlink" Target="http://greens.org.au/digital-rights-commissioner" TargetMode="External"/><Relationship Id="rId172" Type="http://schemas.openxmlformats.org/officeDocument/2006/relationships/footer" Target="footer76.xml"/><Relationship Id="rId228" Type="http://schemas.openxmlformats.org/officeDocument/2006/relationships/hyperlink" Target="http://rachel-siewert.greensmps.org.au/content/media-releases/everyone-deserves-fair-access-social-services-0" TargetMode="External"/><Relationship Id="rId435" Type="http://schemas.openxmlformats.org/officeDocument/2006/relationships/header" Target="header193.xml"/><Relationship Id="rId477" Type="http://schemas.openxmlformats.org/officeDocument/2006/relationships/footer" Target="footer213.xml"/><Relationship Id="rId600" Type="http://schemas.openxmlformats.org/officeDocument/2006/relationships/footer" Target="footer256.xml"/><Relationship Id="rId642" Type="http://schemas.openxmlformats.org/officeDocument/2006/relationships/footer" Target="footer272.xml"/><Relationship Id="rId684" Type="http://schemas.openxmlformats.org/officeDocument/2006/relationships/header" Target="header293.xml"/><Relationship Id="rId281" Type="http://schemas.openxmlformats.org/officeDocument/2006/relationships/footer" Target="footer123.xml"/><Relationship Id="rId337" Type="http://schemas.openxmlformats.org/officeDocument/2006/relationships/footer" Target="footer150.xml"/><Relationship Id="rId502" Type="http://schemas.openxmlformats.org/officeDocument/2006/relationships/footer" Target="footer225.xml"/><Relationship Id="rId34" Type="http://schemas.openxmlformats.org/officeDocument/2006/relationships/footer" Target="footer11.xml"/><Relationship Id="rId76" Type="http://schemas.openxmlformats.org/officeDocument/2006/relationships/header" Target="header32.xml"/><Relationship Id="rId141" Type="http://schemas.openxmlformats.org/officeDocument/2006/relationships/header" Target="header62.xml"/><Relationship Id="rId379" Type="http://schemas.openxmlformats.org/officeDocument/2006/relationships/footer" Target="footer169.xml"/><Relationship Id="rId544" Type="http://schemas.openxmlformats.org/officeDocument/2006/relationships/header" Target="header240.xml"/><Relationship Id="rId586" Type="http://schemas.openxmlformats.org/officeDocument/2006/relationships/hyperlink" Target="http://greens.org.au/alcohol-drug-treatment" TargetMode="External"/><Relationship Id="rId7" Type="http://schemas.openxmlformats.org/officeDocument/2006/relationships/footnotes" Target="footnotes.xml"/><Relationship Id="rId183" Type="http://schemas.openxmlformats.org/officeDocument/2006/relationships/header" Target="header83.xml"/><Relationship Id="rId239" Type="http://schemas.openxmlformats.org/officeDocument/2006/relationships/header" Target="header107.xml"/><Relationship Id="rId390" Type="http://schemas.openxmlformats.org/officeDocument/2006/relationships/footer" Target="footer174.xml"/><Relationship Id="rId404" Type="http://schemas.openxmlformats.org/officeDocument/2006/relationships/header" Target="header180.xml"/><Relationship Id="rId446" Type="http://schemas.openxmlformats.org/officeDocument/2006/relationships/header" Target="header199.xml"/><Relationship Id="rId611" Type="http://schemas.openxmlformats.org/officeDocument/2006/relationships/hyperlink" Target="http://www.finance.gov.au/resource-management/reporting-accounting/accounting-guidance/" TargetMode="External"/><Relationship Id="rId653" Type="http://schemas.openxmlformats.org/officeDocument/2006/relationships/header" Target="header278.xml"/><Relationship Id="rId250" Type="http://schemas.openxmlformats.org/officeDocument/2006/relationships/footer" Target="footer109.xml"/><Relationship Id="rId292" Type="http://schemas.openxmlformats.org/officeDocument/2006/relationships/footer" Target="footer128.xml"/><Relationship Id="rId306" Type="http://schemas.openxmlformats.org/officeDocument/2006/relationships/header" Target="header134.xml"/><Relationship Id="rId488" Type="http://schemas.openxmlformats.org/officeDocument/2006/relationships/header" Target="header218.xml"/><Relationship Id="rId695" Type="http://schemas.openxmlformats.org/officeDocument/2006/relationships/hyperlink" Target="http://www.federalfinancialrelations.gov.au/content/npa/housing/national-partnership/homelessness_NP_2015.pdf" TargetMode="External"/><Relationship Id="rId45" Type="http://schemas.openxmlformats.org/officeDocument/2006/relationships/header" Target="header18.xml"/><Relationship Id="rId87" Type="http://schemas.openxmlformats.org/officeDocument/2006/relationships/footer" Target="footer36.xml"/><Relationship Id="rId110" Type="http://schemas.openxmlformats.org/officeDocument/2006/relationships/hyperlink" Target="http://greens.org.au/sites/greens.org.au/files/Tax%20Avoidance%20Package_0.pdf" TargetMode="External"/><Relationship Id="rId348" Type="http://schemas.openxmlformats.org/officeDocument/2006/relationships/header" Target="header154.xml"/><Relationship Id="rId513" Type="http://schemas.openxmlformats.org/officeDocument/2006/relationships/hyperlink" Target="http://greensmps.org.au/content/media-releases/1up-greens-announce-initiative-invest-videogames-industry" TargetMode="External"/><Relationship Id="rId555" Type="http://schemas.openxmlformats.org/officeDocument/2006/relationships/footer" Target="footer244.xml"/><Relationship Id="rId597" Type="http://schemas.openxmlformats.org/officeDocument/2006/relationships/hyperlink" Target="http://robert-simms.greensmps.org.au/content/media-releases/australian-greens-launch-lgbtiq-policy-package-idahobit" TargetMode="External"/><Relationship Id="rId152" Type="http://schemas.openxmlformats.org/officeDocument/2006/relationships/footer" Target="footer66.xml"/><Relationship Id="rId194" Type="http://schemas.openxmlformats.org/officeDocument/2006/relationships/header" Target="header88.xml"/><Relationship Id="rId208" Type="http://schemas.openxmlformats.org/officeDocument/2006/relationships/footer" Target="footer92.xml"/><Relationship Id="rId415" Type="http://schemas.openxmlformats.org/officeDocument/2006/relationships/header" Target="header185.xml"/><Relationship Id="rId457" Type="http://schemas.openxmlformats.org/officeDocument/2006/relationships/footer" Target="footer204.xml"/><Relationship Id="rId622" Type="http://schemas.openxmlformats.org/officeDocument/2006/relationships/footer" Target="footer266.xml"/><Relationship Id="rId261" Type="http://schemas.openxmlformats.org/officeDocument/2006/relationships/hyperlink" Target="http://greens.org.au/news/wa/greens-announce-package-help-farmers-sell-direct" TargetMode="External"/><Relationship Id="rId499" Type="http://schemas.openxmlformats.org/officeDocument/2006/relationships/footer" Target="footer223.xml"/><Relationship Id="rId664" Type="http://schemas.openxmlformats.org/officeDocument/2006/relationships/header" Target="header283.xml"/><Relationship Id="rId14" Type="http://schemas.openxmlformats.org/officeDocument/2006/relationships/image" Target="media/image1.jpg"/><Relationship Id="rId56" Type="http://schemas.openxmlformats.org/officeDocument/2006/relationships/footer" Target="footer21.xml"/><Relationship Id="rId317" Type="http://schemas.openxmlformats.org/officeDocument/2006/relationships/header" Target="header139.xml"/><Relationship Id="rId359" Type="http://schemas.openxmlformats.org/officeDocument/2006/relationships/header" Target="header159.xml"/><Relationship Id="rId524" Type="http://schemas.openxmlformats.org/officeDocument/2006/relationships/hyperlink" Target="http://rachel-siewert.greensmps.org.au/content/media-releases/greens-launch-palliative-care-package-ensure-support-when-it-matters-most" TargetMode="External"/><Relationship Id="rId566" Type="http://schemas.openxmlformats.org/officeDocument/2006/relationships/hyperlink" Target="http://www.climateinstitute.org.au/news/election-2016-greens.html" TargetMode="External"/><Relationship Id="rId98" Type="http://schemas.openxmlformats.org/officeDocument/2006/relationships/footer" Target="footer40.xml"/><Relationship Id="rId121" Type="http://schemas.openxmlformats.org/officeDocument/2006/relationships/header" Target="header53.xml"/><Relationship Id="rId163" Type="http://schemas.openxmlformats.org/officeDocument/2006/relationships/header" Target="header73.xml"/><Relationship Id="rId219" Type="http://schemas.openxmlformats.org/officeDocument/2006/relationships/footer" Target="footer97.xml"/><Relationship Id="rId370" Type="http://schemas.openxmlformats.org/officeDocument/2006/relationships/footer" Target="footer165.xml"/><Relationship Id="rId426" Type="http://schemas.openxmlformats.org/officeDocument/2006/relationships/header" Target="header189.xml"/><Relationship Id="rId633" Type="http://schemas.openxmlformats.org/officeDocument/2006/relationships/hyperlink" Target="http://www.cleanenergyregulator.gov.au/ERF/Auctions-results/april-2015" TargetMode="External"/><Relationship Id="rId230" Type="http://schemas.openxmlformats.org/officeDocument/2006/relationships/hyperlink" Target="https://data.gov.au/dataset/dss-payment-demographic-data" TargetMode="External"/><Relationship Id="rId468" Type="http://schemas.openxmlformats.org/officeDocument/2006/relationships/header" Target="header208.xml"/><Relationship Id="rId675" Type="http://schemas.openxmlformats.org/officeDocument/2006/relationships/header" Target="header289.xml"/><Relationship Id="rId25" Type="http://schemas.openxmlformats.org/officeDocument/2006/relationships/footer" Target="footer7.xml"/><Relationship Id="rId67" Type="http://schemas.openxmlformats.org/officeDocument/2006/relationships/footer" Target="footer26.xml"/><Relationship Id="rId272" Type="http://schemas.openxmlformats.org/officeDocument/2006/relationships/header" Target="header118.xml"/><Relationship Id="rId328" Type="http://schemas.openxmlformats.org/officeDocument/2006/relationships/header" Target="header144.xml"/><Relationship Id="rId535" Type="http://schemas.openxmlformats.org/officeDocument/2006/relationships/footer" Target="footer236.xml"/><Relationship Id="rId577" Type="http://schemas.openxmlformats.org/officeDocument/2006/relationships/hyperlink" Target="http://data.gov.au/dataset/income-management-summary-data" TargetMode="External"/><Relationship Id="rId132" Type="http://schemas.openxmlformats.org/officeDocument/2006/relationships/header" Target="header58.xml"/><Relationship Id="rId174" Type="http://schemas.openxmlformats.org/officeDocument/2006/relationships/header" Target="header79.xml"/><Relationship Id="rId381" Type="http://schemas.openxmlformats.org/officeDocument/2006/relationships/header" Target="header169.xml"/><Relationship Id="rId602" Type="http://schemas.openxmlformats.org/officeDocument/2006/relationships/header" Target="header257.xml"/><Relationship Id="rId241" Type="http://schemas.openxmlformats.org/officeDocument/2006/relationships/footer" Target="footer106.xml"/><Relationship Id="rId437" Type="http://schemas.openxmlformats.org/officeDocument/2006/relationships/footer" Target="footer195.xml"/><Relationship Id="rId479" Type="http://schemas.openxmlformats.org/officeDocument/2006/relationships/footer" Target="footer214.xml"/><Relationship Id="rId644" Type="http://schemas.openxmlformats.org/officeDocument/2006/relationships/header" Target="header273.xml"/><Relationship Id="rId686" Type="http://schemas.openxmlformats.org/officeDocument/2006/relationships/header" Target="header294.xml"/><Relationship Id="rId36" Type="http://schemas.openxmlformats.org/officeDocument/2006/relationships/header" Target="header14.xml"/><Relationship Id="rId283" Type="http://schemas.openxmlformats.org/officeDocument/2006/relationships/footer" Target="footer124.xml"/><Relationship Id="rId339" Type="http://schemas.openxmlformats.org/officeDocument/2006/relationships/footer" Target="footer151.xml"/><Relationship Id="rId490" Type="http://schemas.openxmlformats.org/officeDocument/2006/relationships/footer" Target="footer219.xml"/><Relationship Id="rId504" Type="http://schemas.openxmlformats.org/officeDocument/2006/relationships/header" Target="header226.xml"/><Relationship Id="rId546" Type="http://schemas.openxmlformats.org/officeDocument/2006/relationships/footer" Target="footer241.xml"/><Relationship Id="rId78" Type="http://schemas.openxmlformats.org/officeDocument/2006/relationships/footer" Target="footer31.xml"/><Relationship Id="rId101" Type="http://schemas.openxmlformats.org/officeDocument/2006/relationships/header" Target="header44.xml"/><Relationship Id="rId143" Type="http://schemas.openxmlformats.org/officeDocument/2006/relationships/header" Target="header63.xml"/><Relationship Id="rId185" Type="http://schemas.openxmlformats.org/officeDocument/2006/relationships/footer" Target="footer82.xml"/><Relationship Id="rId350" Type="http://schemas.openxmlformats.org/officeDocument/2006/relationships/hyperlink" Target="https://www.legislation.gov.au/Details/F2015L00104" TargetMode="External"/><Relationship Id="rId406" Type="http://schemas.openxmlformats.org/officeDocument/2006/relationships/footer" Target="footer182.xml"/><Relationship Id="rId588" Type="http://schemas.openxmlformats.org/officeDocument/2006/relationships/hyperlink" Target="http://www.publichospitalfunding.gov.au/reports/national" TargetMode="External"/><Relationship Id="rId9" Type="http://schemas.openxmlformats.org/officeDocument/2006/relationships/header" Target="header1.xml"/><Relationship Id="rId210" Type="http://schemas.openxmlformats.org/officeDocument/2006/relationships/hyperlink" Target="http://greens.org.au/sites/greens.org.au/files/20160607_A%20Better%20Way%20for%20People%20Seeking%20Asylum_1.pdf" TargetMode="External"/><Relationship Id="rId392" Type="http://schemas.openxmlformats.org/officeDocument/2006/relationships/footer" Target="footer175.xml"/><Relationship Id="rId448" Type="http://schemas.openxmlformats.org/officeDocument/2006/relationships/footer" Target="footer200.xml"/><Relationship Id="rId613" Type="http://schemas.openxmlformats.org/officeDocument/2006/relationships/header" Target="header261.xml"/><Relationship Id="rId655" Type="http://schemas.openxmlformats.org/officeDocument/2006/relationships/footer" Target="footer279.xml"/><Relationship Id="rId697" Type="http://schemas.openxmlformats.org/officeDocument/2006/relationships/fontTable" Target="fontTable.xml"/><Relationship Id="rId252" Type="http://schemas.openxmlformats.org/officeDocument/2006/relationships/footer" Target="footer110.xml"/><Relationship Id="rId294" Type="http://schemas.openxmlformats.org/officeDocument/2006/relationships/header" Target="header128.xml"/><Relationship Id="rId308" Type="http://schemas.openxmlformats.org/officeDocument/2006/relationships/footer" Target="footer136.xml"/><Relationship Id="rId515" Type="http://schemas.openxmlformats.org/officeDocument/2006/relationships/header" Target="header229.xml"/><Relationship Id="rId47" Type="http://schemas.openxmlformats.org/officeDocument/2006/relationships/header" Target="header19.xml"/><Relationship Id="rId89" Type="http://schemas.openxmlformats.org/officeDocument/2006/relationships/header" Target="header38.xml"/><Relationship Id="rId112" Type="http://schemas.openxmlformats.org/officeDocument/2006/relationships/header" Target="header49.xml"/><Relationship Id="rId154" Type="http://schemas.openxmlformats.org/officeDocument/2006/relationships/header" Target="header69.xml"/><Relationship Id="rId361" Type="http://schemas.openxmlformats.org/officeDocument/2006/relationships/footer" Target="footer161.xml"/><Relationship Id="rId557" Type="http://schemas.openxmlformats.org/officeDocument/2006/relationships/header" Target="header245.xml"/><Relationship Id="rId599" Type="http://schemas.openxmlformats.org/officeDocument/2006/relationships/header" Target="header256.xml"/><Relationship Id="rId196" Type="http://schemas.openxmlformats.org/officeDocument/2006/relationships/footer" Target="footer87.xml"/><Relationship Id="rId417" Type="http://schemas.openxmlformats.org/officeDocument/2006/relationships/footer" Target="footer187.xml"/><Relationship Id="rId459" Type="http://schemas.openxmlformats.org/officeDocument/2006/relationships/hyperlink" Target="http://greens.org.au/mental-health" TargetMode="External"/><Relationship Id="rId624" Type="http://schemas.openxmlformats.org/officeDocument/2006/relationships/hyperlink" Target="https://www.legislation.gov.au/Details/C2011B00166/Explanatory%20Memorandum/Text" TargetMode="External"/><Relationship Id="rId666" Type="http://schemas.openxmlformats.org/officeDocument/2006/relationships/footer" Target="footer284.xml"/><Relationship Id="rId16" Type="http://schemas.openxmlformats.org/officeDocument/2006/relationships/header" Target="header4.xml"/><Relationship Id="rId221" Type="http://schemas.openxmlformats.org/officeDocument/2006/relationships/hyperlink" Target="http://greens.org.au/community-renewables" TargetMode="External"/><Relationship Id="rId263" Type="http://schemas.openxmlformats.org/officeDocument/2006/relationships/hyperlink" Target="http://greens.org.au/soil-health" TargetMode="External"/><Relationship Id="rId319" Type="http://schemas.openxmlformats.org/officeDocument/2006/relationships/footer" Target="footer141.xml"/><Relationship Id="rId470" Type="http://schemas.openxmlformats.org/officeDocument/2006/relationships/footer" Target="footer209.xml"/><Relationship Id="rId526" Type="http://schemas.openxmlformats.org/officeDocument/2006/relationships/header" Target="header232.xml"/><Relationship Id="rId58" Type="http://schemas.openxmlformats.org/officeDocument/2006/relationships/header" Target="header24.xml"/><Relationship Id="rId123" Type="http://schemas.openxmlformats.org/officeDocument/2006/relationships/hyperlink" Target="https://www.comlaw.gov.au/Details/C2012C00629" TargetMode="External"/><Relationship Id="rId330" Type="http://schemas.openxmlformats.org/officeDocument/2006/relationships/footer" Target="footer146.xml"/><Relationship Id="rId568" Type="http://schemas.openxmlformats.org/officeDocument/2006/relationships/hyperlink" Target="http://greens.org.au/prevent-violence" TargetMode="External"/><Relationship Id="rId165" Type="http://schemas.openxmlformats.org/officeDocument/2006/relationships/footer" Target="footer72.xml"/><Relationship Id="rId372" Type="http://schemas.openxmlformats.org/officeDocument/2006/relationships/hyperlink" Target="http://greens.org.au/stolen-generation" TargetMode="External"/><Relationship Id="rId428" Type="http://schemas.openxmlformats.org/officeDocument/2006/relationships/footer" Target="footer191.xml"/><Relationship Id="rId635" Type="http://schemas.openxmlformats.org/officeDocument/2006/relationships/hyperlink" Target="http://www.cleanenergyregulator.gov.au/About/Pages/News%20and%20updates/NewsItem.aspx?ListId=19b4efbb-6f5d-4637-94c4-121c1f96fcfe&amp;ItemId=253" TargetMode="External"/><Relationship Id="rId677" Type="http://schemas.openxmlformats.org/officeDocument/2006/relationships/footer" Target="footer290.xml"/><Relationship Id="rId232" Type="http://schemas.openxmlformats.org/officeDocument/2006/relationships/header" Target="header103.xml"/><Relationship Id="rId274" Type="http://schemas.openxmlformats.org/officeDocument/2006/relationships/footer" Target="footer120.xml"/><Relationship Id="rId481" Type="http://schemas.openxmlformats.org/officeDocument/2006/relationships/header" Target="header215.xml"/><Relationship Id="rId27" Type="http://schemas.openxmlformats.org/officeDocument/2006/relationships/header" Target="header10.xml"/><Relationship Id="rId69" Type="http://schemas.openxmlformats.org/officeDocument/2006/relationships/header" Target="header29.xml"/><Relationship Id="rId134" Type="http://schemas.openxmlformats.org/officeDocument/2006/relationships/footer" Target="footer57.xml"/><Relationship Id="rId537" Type="http://schemas.openxmlformats.org/officeDocument/2006/relationships/footer" Target="footer237.xml"/><Relationship Id="rId579" Type="http://schemas.openxmlformats.org/officeDocument/2006/relationships/header" Target="header249.xml"/><Relationship Id="rId80" Type="http://schemas.openxmlformats.org/officeDocument/2006/relationships/header" Target="header34.xml"/><Relationship Id="rId176" Type="http://schemas.openxmlformats.org/officeDocument/2006/relationships/footer" Target="footer78.xml"/><Relationship Id="rId341" Type="http://schemas.openxmlformats.org/officeDocument/2006/relationships/header" Target="header151.xml"/><Relationship Id="rId383" Type="http://schemas.openxmlformats.org/officeDocument/2006/relationships/footer" Target="footer171.xml"/><Relationship Id="rId439" Type="http://schemas.openxmlformats.org/officeDocument/2006/relationships/footer" Target="footer196.xml"/><Relationship Id="rId590" Type="http://schemas.openxmlformats.org/officeDocument/2006/relationships/header" Target="header252.xml"/><Relationship Id="rId604" Type="http://schemas.openxmlformats.org/officeDocument/2006/relationships/hyperlink" Target="http://greens.org.au/news/wa/greens-launch-national-community-infrastructure-fund" TargetMode="External"/><Relationship Id="rId646" Type="http://schemas.openxmlformats.org/officeDocument/2006/relationships/header" Target="header274.xml"/><Relationship Id="rId201" Type="http://schemas.openxmlformats.org/officeDocument/2006/relationships/hyperlink" Target="http://www.remtribunal.gov.au/offices/part-time-offices" TargetMode="External"/><Relationship Id="rId243" Type="http://schemas.openxmlformats.org/officeDocument/2006/relationships/footer" Target="footer107.xml"/><Relationship Id="rId285" Type="http://schemas.openxmlformats.org/officeDocument/2006/relationships/header" Target="header124.xml"/><Relationship Id="rId450" Type="http://schemas.openxmlformats.org/officeDocument/2006/relationships/header" Target="header201.xml"/><Relationship Id="rId506" Type="http://schemas.openxmlformats.org/officeDocument/2006/relationships/footer" Target="footer227.xml"/><Relationship Id="rId688" Type="http://schemas.openxmlformats.org/officeDocument/2006/relationships/footer" Target="footer295.xml"/><Relationship Id="rId38" Type="http://schemas.openxmlformats.org/officeDocument/2006/relationships/footer" Target="footer13.xml"/><Relationship Id="rId103" Type="http://schemas.openxmlformats.org/officeDocument/2006/relationships/footer" Target="footer43.xml"/><Relationship Id="rId310" Type="http://schemas.openxmlformats.org/officeDocument/2006/relationships/header" Target="header136.xml"/><Relationship Id="rId492" Type="http://schemas.openxmlformats.org/officeDocument/2006/relationships/footer" Target="footer220.xml"/><Relationship Id="rId548" Type="http://schemas.openxmlformats.org/officeDocument/2006/relationships/header" Target="header242.xml"/><Relationship Id="rId91" Type="http://schemas.openxmlformats.org/officeDocument/2006/relationships/footer" Target="footer37.xml"/><Relationship Id="rId145" Type="http://schemas.openxmlformats.org/officeDocument/2006/relationships/footer" Target="footer62.xml"/><Relationship Id="rId187" Type="http://schemas.openxmlformats.org/officeDocument/2006/relationships/header" Target="header85.xml"/><Relationship Id="rId352" Type="http://schemas.openxmlformats.org/officeDocument/2006/relationships/header" Target="header155.xml"/><Relationship Id="rId394" Type="http://schemas.openxmlformats.org/officeDocument/2006/relationships/header" Target="header175.xml"/><Relationship Id="rId408" Type="http://schemas.openxmlformats.org/officeDocument/2006/relationships/header" Target="header181.xml"/><Relationship Id="rId615" Type="http://schemas.openxmlformats.org/officeDocument/2006/relationships/footer" Target="footer262.xml"/><Relationship Id="rId212" Type="http://schemas.openxmlformats.org/officeDocument/2006/relationships/header" Target="header96.xml"/><Relationship Id="rId254" Type="http://schemas.openxmlformats.org/officeDocument/2006/relationships/header" Target="header113.xml"/><Relationship Id="rId657" Type="http://schemas.openxmlformats.org/officeDocument/2006/relationships/header" Target="header280.xml"/><Relationship Id="rId49" Type="http://schemas.openxmlformats.org/officeDocument/2006/relationships/footer" Target="footer18.xml"/><Relationship Id="rId114" Type="http://schemas.openxmlformats.org/officeDocument/2006/relationships/footer" Target="footer48.xml"/><Relationship Id="rId296" Type="http://schemas.openxmlformats.org/officeDocument/2006/relationships/header" Target="header129.xml"/><Relationship Id="rId461" Type="http://schemas.openxmlformats.org/officeDocument/2006/relationships/header" Target="header206.xml"/><Relationship Id="rId517" Type="http://schemas.openxmlformats.org/officeDocument/2006/relationships/footer" Target="footer230.xml"/><Relationship Id="rId559" Type="http://schemas.openxmlformats.org/officeDocument/2006/relationships/footer" Target="footer246.xml"/><Relationship Id="rId60" Type="http://schemas.openxmlformats.org/officeDocument/2006/relationships/hyperlink" Target="http://greens.org.au/news/vic/greens-oppose-income-tax-cuts-company-tax-cuts-big-business" TargetMode="External"/><Relationship Id="rId156" Type="http://schemas.openxmlformats.org/officeDocument/2006/relationships/footer" Target="footer68.xml"/><Relationship Id="rId198" Type="http://schemas.openxmlformats.org/officeDocument/2006/relationships/header" Target="header90.xml"/><Relationship Id="rId321" Type="http://schemas.openxmlformats.org/officeDocument/2006/relationships/header" Target="header141.xml"/><Relationship Id="rId363" Type="http://schemas.openxmlformats.org/officeDocument/2006/relationships/header" Target="header161.xml"/><Relationship Id="rId419" Type="http://schemas.openxmlformats.org/officeDocument/2006/relationships/header" Target="header187.xml"/><Relationship Id="rId570" Type="http://schemas.openxmlformats.org/officeDocument/2006/relationships/hyperlink" Target="http://www.adambandt.com/160630" TargetMode="External"/><Relationship Id="rId626" Type="http://schemas.openxmlformats.org/officeDocument/2006/relationships/header" Target="header266.xml"/><Relationship Id="rId223" Type="http://schemas.openxmlformats.org/officeDocument/2006/relationships/header" Target="header101.xml"/><Relationship Id="rId430" Type="http://schemas.openxmlformats.org/officeDocument/2006/relationships/header" Target="header191.xml"/><Relationship Id="rId668" Type="http://schemas.openxmlformats.org/officeDocument/2006/relationships/header" Target="header285.xml"/><Relationship Id="rId18" Type="http://schemas.openxmlformats.org/officeDocument/2006/relationships/footer" Target="footer3.xml"/><Relationship Id="rId265" Type="http://schemas.openxmlformats.org/officeDocument/2006/relationships/header" Target="header115.xml"/><Relationship Id="rId472" Type="http://schemas.openxmlformats.org/officeDocument/2006/relationships/header" Target="header210.xml"/><Relationship Id="rId528" Type="http://schemas.openxmlformats.org/officeDocument/2006/relationships/footer" Target="footer233.xml"/><Relationship Id="rId125" Type="http://schemas.openxmlformats.org/officeDocument/2006/relationships/header" Target="header54.xml"/><Relationship Id="rId167" Type="http://schemas.openxmlformats.org/officeDocument/2006/relationships/header" Target="header75.xml"/><Relationship Id="rId332" Type="http://schemas.openxmlformats.org/officeDocument/2006/relationships/header" Target="header146.xml"/><Relationship Id="rId374" Type="http://schemas.openxmlformats.org/officeDocument/2006/relationships/header" Target="header165.xml"/><Relationship Id="rId581" Type="http://schemas.openxmlformats.org/officeDocument/2006/relationships/footer" Target="footer250.xml"/><Relationship Id="rId71" Type="http://schemas.openxmlformats.org/officeDocument/2006/relationships/header" Target="header30.xml"/><Relationship Id="rId234" Type="http://schemas.openxmlformats.org/officeDocument/2006/relationships/footer" Target="footer102.xml"/><Relationship Id="rId637" Type="http://schemas.openxmlformats.org/officeDocument/2006/relationships/header" Target="header270.xml"/><Relationship Id="rId679" Type="http://schemas.openxmlformats.org/officeDocument/2006/relationships/footer" Target="footer291.xml"/><Relationship Id="rId2" Type="http://schemas.openxmlformats.org/officeDocument/2006/relationships/numbering" Target="numbering.xml"/><Relationship Id="rId29" Type="http://schemas.openxmlformats.org/officeDocument/2006/relationships/footer" Target="footer9.xml"/><Relationship Id="rId276" Type="http://schemas.openxmlformats.org/officeDocument/2006/relationships/footer" Target="footer121.xml"/><Relationship Id="rId441" Type="http://schemas.openxmlformats.org/officeDocument/2006/relationships/header" Target="header196.xml"/><Relationship Id="rId483" Type="http://schemas.openxmlformats.org/officeDocument/2006/relationships/footer" Target="footer216.xml"/><Relationship Id="rId539" Type="http://schemas.openxmlformats.org/officeDocument/2006/relationships/header" Target="header238.xml"/><Relationship Id="rId690" Type="http://schemas.openxmlformats.org/officeDocument/2006/relationships/header" Target="header296.xml"/><Relationship Id="rId40" Type="http://schemas.openxmlformats.org/officeDocument/2006/relationships/hyperlink" Target="http://greens.org.au/news/vic/australian-greens-pledge-implement-paris-agreement" TargetMode="External"/><Relationship Id="rId136" Type="http://schemas.openxmlformats.org/officeDocument/2006/relationships/footer" Target="footer58.xml"/><Relationship Id="rId178" Type="http://schemas.openxmlformats.org/officeDocument/2006/relationships/footer" Target="footer79.xml"/><Relationship Id="rId301" Type="http://schemas.openxmlformats.org/officeDocument/2006/relationships/footer" Target="footer133.xml"/><Relationship Id="rId343" Type="http://schemas.openxmlformats.org/officeDocument/2006/relationships/footer" Target="footer153.xml"/><Relationship Id="rId550" Type="http://schemas.openxmlformats.org/officeDocument/2006/relationships/footer" Target="footer243.xml"/><Relationship Id="rId61" Type="http://schemas.openxmlformats.org/officeDocument/2006/relationships/header" Target="header25.xml"/><Relationship Id="rId82" Type="http://schemas.openxmlformats.org/officeDocument/2006/relationships/header" Target="header35.xml"/><Relationship Id="rId199" Type="http://schemas.openxmlformats.org/officeDocument/2006/relationships/footer" Target="footer89.xml"/><Relationship Id="rId203" Type="http://schemas.openxmlformats.org/officeDocument/2006/relationships/header" Target="header92.xml"/><Relationship Id="rId385" Type="http://schemas.openxmlformats.org/officeDocument/2006/relationships/footer" Target="footer172.xml"/><Relationship Id="rId571" Type="http://schemas.openxmlformats.org/officeDocument/2006/relationships/hyperlink" Target="http://www.adambandt.com/160608" TargetMode="External"/><Relationship Id="rId592" Type="http://schemas.openxmlformats.org/officeDocument/2006/relationships/footer" Target="footer253.xml"/><Relationship Id="rId606" Type="http://schemas.openxmlformats.org/officeDocument/2006/relationships/header" Target="header259.xml"/><Relationship Id="rId627" Type="http://schemas.openxmlformats.org/officeDocument/2006/relationships/header" Target="header267.xml"/><Relationship Id="rId648" Type="http://schemas.openxmlformats.org/officeDocument/2006/relationships/footer" Target="footer275.xml"/><Relationship Id="rId669" Type="http://schemas.openxmlformats.org/officeDocument/2006/relationships/footer" Target="footer286.xml"/><Relationship Id="rId19" Type="http://schemas.openxmlformats.org/officeDocument/2006/relationships/footer" Target="footer4.xml"/><Relationship Id="rId224" Type="http://schemas.openxmlformats.org/officeDocument/2006/relationships/footer" Target="footer99.xml"/><Relationship Id="rId245" Type="http://schemas.openxmlformats.org/officeDocument/2006/relationships/hyperlink" Target="http://greens.org.au/childcare" TargetMode="External"/><Relationship Id="rId266" Type="http://schemas.openxmlformats.org/officeDocument/2006/relationships/header" Target="header116.xml"/><Relationship Id="rId287" Type="http://schemas.openxmlformats.org/officeDocument/2006/relationships/footer" Target="footer126.xml"/><Relationship Id="rId410" Type="http://schemas.openxmlformats.org/officeDocument/2006/relationships/footer" Target="footer183.xml"/><Relationship Id="rId431" Type="http://schemas.openxmlformats.org/officeDocument/2006/relationships/footer" Target="footer193.xml"/><Relationship Id="rId452" Type="http://schemas.openxmlformats.org/officeDocument/2006/relationships/footer" Target="footer202.xml"/><Relationship Id="rId473" Type="http://schemas.openxmlformats.org/officeDocument/2006/relationships/footer" Target="footer211.xml"/><Relationship Id="rId494" Type="http://schemas.openxmlformats.org/officeDocument/2006/relationships/header" Target="header221.xml"/><Relationship Id="rId508" Type="http://schemas.openxmlformats.org/officeDocument/2006/relationships/header" Target="header227.xml"/><Relationship Id="rId529" Type="http://schemas.openxmlformats.org/officeDocument/2006/relationships/footer" Target="footer234.xml"/><Relationship Id="rId680" Type="http://schemas.openxmlformats.org/officeDocument/2006/relationships/header" Target="header291.xml"/><Relationship Id="rId30" Type="http://schemas.openxmlformats.org/officeDocument/2006/relationships/header" Target="header11.xml"/><Relationship Id="rId105" Type="http://schemas.openxmlformats.org/officeDocument/2006/relationships/header" Target="header46.xml"/><Relationship Id="rId126" Type="http://schemas.openxmlformats.org/officeDocument/2006/relationships/header" Target="header55.xml"/><Relationship Id="rId147" Type="http://schemas.openxmlformats.org/officeDocument/2006/relationships/header" Target="header65.xml"/><Relationship Id="rId168" Type="http://schemas.openxmlformats.org/officeDocument/2006/relationships/footer" Target="footer74.xml"/><Relationship Id="rId312" Type="http://schemas.openxmlformats.org/officeDocument/2006/relationships/hyperlink" Target="https://www.comlaw.gov.au/Details/C2013A00067" TargetMode="External"/><Relationship Id="rId333" Type="http://schemas.openxmlformats.org/officeDocument/2006/relationships/footer" Target="footer148.xml"/><Relationship Id="rId354" Type="http://schemas.openxmlformats.org/officeDocument/2006/relationships/footer" Target="footer157.xml"/><Relationship Id="rId540" Type="http://schemas.openxmlformats.org/officeDocument/2006/relationships/footer" Target="footer238.xml"/><Relationship Id="rId51" Type="http://schemas.openxmlformats.org/officeDocument/2006/relationships/header" Target="header21.xml"/><Relationship Id="rId72" Type="http://schemas.openxmlformats.org/officeDocument/2006/relationships/header" Target="header31.xml"/><Relationship Id="rId93" Type="http://schemas.openxmlformats.org/officeDocument/2006/relationships/header" Target="header40.xml"/><Relationship Id="rId189" Type="http://schemas.openxmlformats.org/officeDocument/2006/relationships/header" Target="header86.xml"/><Relationship Id="rId375" Type="http://schemas.openxmlformats.org/officeDocument/2006/relationships/header" Target="header166.xml"/><Relationship Id="rId396" Type="http://schemas.openxmlformats.org/officeDocument/2006/relationships/footer" Target="footer177.xml"/><Relationship Id="rId561" Type="http://schemas.openxmlformats.org/officeDocument/2006/relationships/hyperlink" Target="http://greens.org.au/renew-community-housing" TargetMode="External"/><Relationship Id="rId582" Type="http://schemas.openxmlformats.org/officeDocument/2006/relationships/footer" Target="footer251.xml"/><Relationship Id="rId617" Type="http://schemas.openxmlformats.org/officeDocument/2006/relationships/header" Target="header263.xml"/><Relationship Id="rId638" Type="http://schemas.openxmlformats.org/officeDocument/2006/relationships/footer" Target="footer270.xml"/><Relationship Id="rId659" Type="http://schemas.openxmlformats.org/officeDocument/2006/relationships/footer" Target="footer281.xml"/><Relationship Id="rId3" Type="http://schemas.openxmlformats.org/officeDocument/2006/relationships/styles" Target="styles.xml"/><Relationship Id="rId214" Type="http://schemas.openxmlformats.org/officeDocument/2006/relationships/footer" Target="footer95.xml"/><Relationship Id="rId235" Type="http://schemas.openxmlformats.org/officeDocument/2006/relationships/footer" Target="footer103.xml"/><Relationship Id="rId256" Type="http://schemas.openxmlformats.org/officeDocument/2006/relationships/footer" Target="footer112.xml"/><Relationship Id="rId277" Type="http://schemas.openxmlformats.org/officeDocument/2006/relationships/hyperlink" Target="http://greens.org.au/sites/greens.org.au/files/20160519_Science%20and%20Research%20Initiative.pdf" TargetMode="External"/><Relationship Id="rId298" Type="http://schemas.openxmlformats.org/officeDocument/2006/relationships/footer" Target="footer131.xml"/><Relationship Id="rId400" Type="http://schemas.openxmlformats.org/officeDocument/2006/relationships/footer" Target="footer179.xml"/><Relationship Id="rId421" Type="http://schemas.openxmlformats.org/officeDocument/2006/relationships/footer" Target="footer189.xml"/><Relationship Id="rId442" Type="http://schemas.openxmlformats.org/officeDocument/2006/relationships/footer" Target="footer197.xml"/><Relationship Id="rId463" Type="http://schemas.openxmlformats.org/officeDocument/2006/relationships/footer" Target="footer207.xml"/><Relationship Id="rId484" Type="http://schemas.openxmlformats.org/officeDocument/2006/relationships/header" Target="header216.xml"/><Relationship Id="rId519" Type="http://schemas.openxmlformats.org/officeDocument/2006/relationships/header" Target="header231.xml"/><Relationship Id="rId670" Type="http://schemas.openxmlformats.org/officeDocument/2006/relationships/header" Target="header286.xml"/><Relationship Id="rId116" Type="http://schemas.openxmlformats.org/officeDocument/2006/relationships/footer" Target="footer49.xml"/><Relationship Id="rId137" Type="http://schemas.openxmlformats.org/officeDocument/2006/relationships/header" Target="header60.xml"/><Relationship Id="rId158" Type="http://schemas.openxmlformats.org/officeDocument/2006/relationships/footer" Target="footer69.xml"/><Relationship Id="rId302" Type="http://schemas.openxmlformats.org/officeDocument/2006/relationships/header" Target="header132.xml"/><Relationship Id="rId323" Type="http://schemas.openxmlformats.org/officeDocument/2006/relationships/header" Target="header142.xml"/><Relationship Id="rId344" Type="http://schemas.openxmlformats.org/officeDocument/2006/relationships/header" Target="header152.xml"/><Relationship Id="rId530" Type="http://schemas.openxmlformats.org/officeDocument/2006/relationships/hyperlink" Target="http://greens.org.au/wildlife" TargetMode="External"/><Relationship Id="rId691" Type="http://schemas.openxmlformats.org/officeDocument/2006/relationships/footer" Target="footer297.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header" Target="header26.xml"/><Relationship Id="rId83" Type="http://schemas.openxmlformats.org/officeDocument/2006/relationships/header" Target="header36.xml"/><Relationship Id="rId179" Type="http://schemas.openxmlformats.org/officeDocument/2006/relationships/header" Target="header81.xml"/><Relationship Id="rId365" Type="http://schemas.openxmlformats.org/officeDocument/2006/relationships/footer" Target="footer163.xml"/><Relationship Id="rId386" Type="http://schemas.openxmlformats.org/officeDocument/2006/relationships/hyperlink" Target="http://rachel-siewert.greensmps.org.au/content/media-releases/greens-commit-royal-commission-abuse-violence-and-neglect-people-disability-a" TargetMode="External"/><Relationship Id="rId551" Type="http://schemas.openxmlformats.org/officeDocument/2006/relationships/hyperlink" Target="https://eaga.com.au/wp-content/uploads/EUA-Finance-for-the-Regions-Summary-Report-2013-12-02.pdf" TargetMode="External"/><Relationship Id="rId572" Type="http://schemas.openxmlformats.org/officeDocument/2006/relationships/hyperlink" Target="http://greens.org.au/community-sport" TargetMode="External"/><Relationship Id="rId593" Type="http://schemas.openxmlformats.org/officeDocument/2006/relationships/footer" Target="footer254.xml"/><Relationship Id="rId607" Type="http://schemas.openxmlformats.org/officeDocument/2006/relationships/footer" Target="footer259.xml"/><Relationship Id="rId628" Type="http://schemas.openxmlformats.org/officeDocument/2006/relationships/footer" Target="footer267.xml"/><Relationship Id="rId649" Type="http://schemas.openxmlformats.org/officeDocument/2006/relationships/footer" Target="footer276.xml"/><Relationship Id="rId190" Type="http://schemas.openxmlformats.org/officeDocument/2006/relationships/header" Target="header87.xml"/><Relationship Id="rId204" Type="http://schemas.openxmlformats.org/officeDocument/2006/relationships/footer" Target="footer90.xml"/><Relationship Id="rId225" Type="http://schemas.openxmlformats.org/officeDocument/2006/relationships/footer" Target="footer100.xml"/><Relationship Id="rId246" Type="http://schemas.openxmlformats.org/officeDocument/2006/relationships/hyperlink" Target="http://greens.org.au/sites/greens.org.au/files/Living%20with%20Global%20Warming_final_.pdf" TargetMode="External"/><Relationship Id="rId267" Type="http://schemas.openxmlformats.org/officeDocument/2006/relationships/footer" Target="footer116.xml"/><Relationship Id="rId288" Type="http://schemas.openxmlformats.org/officeDocument/2006/relationships/header" Target="header125.xml"/><Relationship Id="rId411" Type="http://schemas.openxmlformats.org/officeDocument/2006/relationships/footer" Target="footer184.xml"/><Relationship Id="rId432" Type="http://schemas.openxmlformats.org/officeDocument/2006/relationships/hyperlink" Target="http://greens.org.au/primary-care" TargetMode="External"/><Relationship Id="rId453" Type="http://schemas.openxmlformats.org/officeDocument/2006/relationships/header" Target="header202.xml"/><Relationship Id="rId474" Type="http://schemas.openxmlformats.org/officeDocument/2006/relationships/header" Target="header211.xml"/><Relationship Id="rId509" Type="http://schemas.openxmlformats.org/officeDocument/2006/relationships/header" Target="header228.xml"/><Relationship Id="rId660" Type="http://schemas.openxmlformats.org/officeDocument/2006/relationships/header" Target="header281.xml"/><Relationship Id="rId106" Type="http://schemas.openxmlformats.org/officeDocument/2006/relationships/footer" Target="footer44.xml"/><Relationship Id="rId127" Type="http://schemas.openxmlformats.org/officeDocument/2006/relationships/footer" Target="footer53.xml"/><Relationship Id="rId313" Type="http://schemas.openxmlformats.org/officeDocument/2006/relationships/header" Target="header137.xml"/><Relationship Id="rId495" Type="http://schemas.openxmlformats.org/officeDocument/2006/relationships/footer" Target="footer221.xml"/><Relationship Id="rId681" Type="http://schemas.openxmlformats.org/officeDocument/2006/relationships/header" Target="header292.xml"/><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footer" Target="footer20.xml"/><Relationship Id="rId73" Type="http://schemas.openxmlformats.org/officeDocument/2006/relationships/footer" Target="footer29.xml"/><Relationship Id="rId94" Type="http://schemas.openxmlformats.org/officeDocument/2006/relationships/footer" Target="footer39.xml"/><Relationship Id="rId148" Type="http://schemas.openxmlformats.org/officeDocument/2006/relationships/header" Target="header66.xml"/><Relationship Id="rId169" Type="http://schemas.openxmlformats.org/officeDocument/2006/relationships/header" Target="header76.xml"/><Relationship Id="rId334" Type="http://schemas.openxmlformats.org/officeDocument/2006/relationships/header" Target="header147.xml"/><Relationship Id="rId355" Type="http://schemas.openxmlformats.org/officeDocument/2006/relationships/footer" Target="footer158.xml"/><Relationship Id="rId376" Type="http://schemas.openxmlformats.org/officeDocument/2006/relationships/footer" Target="footer167.xml"/><Relationship Id="rId397" Type="http://schemas.openxmlformats.org/officeDocument/2006/relationships/header" Target="header176.xml"/><Relationship Id="rId520" Type="http://schemas.openxmlformats.org/officeDocument/2006/relationships/footer" Target="footer232.xml"/><Relationship Id="rId541" Type="http://schemas.openxmlformats.org/officeDocument/2006/relationships/footer" Target="footer239.xml"/><Relationship Id="rId562" Type="http://schemas.openxmlformats.org/officeDocument/2006/relationships/header" Target="header247.xml"/><Relationship Id="rId583" Type="http://schemas.openxmlformats.org/officeDocument/2006/relationships/header" Target="header251.xml"/><Relationship Id="rId618" Type="http://schemas.openxmlformats.org/officeDocument/2006/relationships/footer" Target="footer264.xml"/><Relationship Id="rId639" Type="http://schemas.openxmlformats.org/officeDocument/2006/relationships/footer" Target="footer271.xml"/><Relationship Id="rId4" Type="http://schemas.microsoft.com/office/2007/relationships/stylesWithEffects" Target="stylesWithEffects.xml"/><Relationship Id="rId180" Type="http://schemas.openxmlformats.org/officeDocument/2006/relationships/header" Target="header82.xml"/><Relationship Id="rId215" Type="http://schemas.openxmlformats.org/officeDocument/2006/relationships/header" Target="header97.xml"/><Relationship Id="rId236" Type="http://schemas.openxmlformats.org/officeDocument/2006/relationships/header" Target="header105.xml"/><Relationship Id="rId257" Type="http://schemas.openxmlformats.org/officeDocument/2006/relationships/header" Target="header114.xml"/><Relationship Id="rId278" Type="http://schemas.openxmlformats.org/officeDocument/2006/relationships/header" Target="header120.xml"/><Relationship Id="rId401" Type="http://schemas.openxmlformats.org/officeDocument/2006/relationships/header" Target="header178.xml"/><Relationship Id="rId422" Type="http://schemas.openxmlformats.org/officeDocument/2006/relationships/header" Target="header188.xml"/><Relationship Id="rId443" Type="http://schemas.openxmlformats.org/officeDocument/2006/relationships/footer" Target="footer198.xml"/><Relationship Id="rId464" Type="http://schemas.openxmlformats.org/officeDocument/2006/relationships/header" Target="header207.xml"/><Relationship Id="rId650" Type="http://schemas.openxmlformats.org/officeDocument/2006/relationships/header" Target="header276.xml"/><Relationship Id="rId303" Type="http://schemas.openxmlformats.org/officeDocument/2006/relationships/header" Target="header133.xml"/><Relationship Id="rId485" Type="http://schemas.openxmlformats.org/officeDocument/2006/relationships/footer" Target="footer217.xml"/><Relationship Id="rId692" Type="http://schemas.openxmlformats.org/officeDocument/2006/relationships/hyperlink" Target="http://remtribunal.gov.au/media/documents/2016/2015-determinations/2015-10-principal-determination-judicial-and-related-offices-remuneration-and-allowances/2015-10-Judicial-and-Related-Det-1-July-2015.pdf" TargetMode="External"/><Relationship Id="rId42" Type="http://schemas.openxmlformats.org/officeDocument/2006/relationships/header" Target="header17.xml"/><Relationship Id="rId84" Type="http://schemas.openxmlformats.org/officeDocument/2006/relationships/footer" Target="footer34.xml"/><Relationship Id="rId138" Type="http://schemas.openxmlformats.org/officeDocument/2006/relationships/header" Target="header61.xml"/><Relationship Id="rId345" Type="http://schemas.openxmlformats.org/officeDocument/2006/relationships/header" Target="header153.xml"/><Relationship Id="rId387" Type="http://schemas.openxmlformats.org/officeDocument/2006/relationships/header" Target="header171.xml"/><Relationship Id="rId510" Type="http://schemas.openxmlformats.org/officeDocument/2006/relationships/footer" Target="footer228.xml"/><Relationship Id="rId552" Type="http://schemas.openxmlformats.org/officeDocument/2006/relationships/hyperlink" Target="http://sustainablemelbournefund.com.au/services/environmental-upgrade-agreements/" TargetMode="External"/><Relationship Id="rId594" Type="http://schemas.openxmlformats.org/officeDocument/2006/relationships/header" Target="header254.xml"/><Relationship Id="rId608" Type="http://schemas.openxmlformats.org/officeDocument/2006/relationships/footer" Target="footer260.xml"/><Relationship Id="rId191" Type="http://schemas.openxmlformats.org/officeDocument/2006/relationships/footer" Target="footer85.xml"/><Relationship Id="rId205" Type="http://schemas.openxmlformats.org/officeDocument/2006/relationships/footer" Target="footer91.xml"/><Relationship Id="rId247" Type="http://schemas.openxmlformats.org/officeDocument/2006/relationships/header" Target="header109.xml"/><Relationship Id="rId412" Type="http://schemas.openxmlformats.org/officeDocument/2006/relationships/header" Target="header183.xml"/><Relationship Id="rId107" Type="http://schemas.openxmlformats.org/officeDocument/2006/relationships/footer" Target="footer45.xml"/><Relationship Id="rId289" Type="http://schemas.openxmlformats.org/officeDocument/2006/relationships/footer" Target="footer127.xml"/><Relationship Id="rId454" Type="http://schemas.openxmlformats.org/officeDocument/2006/relationships/footer" Target="footer203.xml"/><Relationship Id="rId496" Type="http://schemas.openxmlformats.org/officeDocument/2006/relationships/footer" Target="footer222.xml"/><Relationship Id="rId661" Type="http://schemas.openxmlformats.org/officeDocument/2006/relationships/header" Target="header282.xml"/><Relationship Id="rId11" Type="http://schemas.openxmlformats.org/officeDocument/2006/relationships/footer" Target="footer1.xml"/><Relationship Id="rId53" Type="http://schemas.openxmlformats.org/officeDocument/2006/relationships/hyperlink" Target="http://greens.org.au/sites/greens.org.au/files/20160531_Banking%20and%20Finance.pdf" TargetMode="External"/><Relationship Id="rId149" Type="http://schemas.openxmlformats.org/officeDocument/2006/relationships/footer" Target="footer64.xml"/><Relationship Id="rId314" Type="http://schemas.openxmlformats.org/officeDocument/2006/relationships/header" Target="header138.xml"/><Relationship Id="rId356" Type="http://schemas.openxmlformats.org/officeDocument/2006/relationships/header" Target="header157.xml"/><Relationship Id="rId398" Type="http://schemas.openxmlformats.org/officeDocument/2006/relationships/header" Target="header177.xml"/><Relationship Id="rId521" Type="http://schemas.openxmlformats.org/officeDocument/2006/relationships/hyperlink" Target="http://greens.org.au/news/sa/world-refugee-day-greens-push-royal-commission-children-detention" TargetMode="External"/><Relationship Id="rId563" Type="http://schemas.openxmlformats.org/officeDocument/2006/relationships/header" Target="header248.xml"/><Relationship Id="rId619" Type="http://schemas.openxmlformats.org/officeDocument/2006/relationships/header" Target="header264.xml"/><Relationship Id="rId95" Type="http://schemas.openxmlformats.org/officeDocument/2006/relationships/hyperlink" Target="http://greens.org.au/sites/greens.org.au/files/Tax%20Avoidance%20Package_0.pdf" TargetMode="External"/><Relationship Id="rId160" Type="http://schemas.openxmlformats.org/officeDocument/2006/relationships/header" Target="header72.xml"/><Relationship Id="rId216" Type="http://schemas.openxmlformats.org/officeDocument/2006/relationships/footer" Target="footer96.xml"/><Relationship Id="rId423" Type="http://schemas.openxmlformats.org/officeDocument/2006/relationships/footer" Target="footer190.xml"/><Relationship Id="rId258" Type="http://schemas.openxmlformats.org/officeDocument/2006/relationships/footer" Target="footer113.xml"/><Relationship Id="rId465" Type="http://schemas.openxmlformats.org/officeDocument/2006/relationships/footer" Target="footer208.xml"/><Relationship Id="rId630" Type="http://schemas.openxmlformats.org/officeDocument/2006/relationships/header" Target="header268.xml"/><Relationship Id="rId672" Type="http://schemas.openxmlformats.org/officeDocument/2006/relationships/footer" Target="footer287.xml"/><Relationship Id="rId22" Type="http://schemas.openxmlformats.org/officeDocument/2006/relationships/footer" Target="footer5.xml"/><Relationship Id="rId64" Type="http://schemas.openxmlformats.org/officeDocument/2006/relationships/footer" Target="footer25.xml"/><Relationship Id="rId118" Type="http://schemas.openxmlformats.org/officeDocument/2006/relationships/header" Target="header52.xml"/><Relationship Id="rId325" Type="http://schemas.openxmlformats.org/officeDocument/2006/relationships/footer" Target="footer144.xml"/><Relationship Id="rId367" Type="http://schemas.openxmlformats.org/officeDocument/2006/relationships/footer" Target="footer164.xml"/><Relationship Id="rId532" Type="http://schemas.openxmlformats.org/officeDocument/2006/relationships/header" Target="header234.xml"/><Relationship Id="rId574" Type="http://schemas.openxmlformats.org/officeDocument/2006/relationships/hyperlink" Target="http://greens.org.au/prep" TargetMode="External"/><Relationship Id="rId171" Type="http://schemas.openxmlformats.org/officeDocument/2006/relationships/footer" Target="footer75.xml"/><Relationship Id="rId227" Type="http://schemas.openxmlformats.org/officeDocument/2006/relationships/footer" Target="footer101.xml"/><Relationship Id="rId269" Type="http://schemas.openxmlformats.org/officeDocument/2006/relationships/footer" Target="footer118.xml"/><Relationship Id="rId434" Type="http://schemas.openxmlformats.org/officeDocument/2006/relationships/header" Target="header192.xml"/><Relationship Id="rId476" Type="http://schemas.openxmlformats.org/officeDocument/2006/relationships/footer" Target="footer212.xml"/><Relationship Id="rId641" Type="http://schemas.openxmlformats.org/officeDocument/2006/relationships/header" Target="header272.xml"/><Relationship Id="rId683" Type="http://schemas.openxmlformats.org/officeDocument/2006/relationships/footer" Target="footer293.xml"/><Relationship Id="rId33" Type="http://schemas.openxmlformats.org/officeDocument/2006/relationships/header" Target="header13.xml"/><Relationship Id="rId129" Type="http://schemas.openxmlformats.org/officeDocument/2006/relationships/header" Target="header56.xml"/><Relationship Id="rId280" Type="http://schemas.openxmlformats.org/officeDocument/2006/relationships/footer" Target="footer122.xml"/><Relationship Id="rId336" Type="http://schemas.openxmlformats.org/officeDocument/2006/relationships/footer" Target="footer149.xml"/><Relationship Id="rId501" Type="http://schemas.openxmlformats.org/officeDocument/2006/relationships/header" Target="header224.xml"/><Relationship Id="rId543" Type="http://schemas.openxmlformats.org/officeDocument/2006/relationships/header" Target="header239.xml"/><Relationship Id="rId75" Type="http://schemas.openxmlformats.org/officeDocument/2006/relationships/hyperlink" Target="http://greens.org.au/buffett-rule" TargetMode="External"/><Relationship Id="rId140" Type="http://schemas.openxmlformats.org/officeDocument/2006/relationships/footer" Target="footer60.xml"/><Relationship Id="rId182" Type="http://schemas.openxmlformats.org/officeDocument/2006/relationships/footer" Target="footer81.xml"/><Relationship Id="rId378" Type="http://schemas.openxmlformats.org/officeDocument/2006/relationships/header" Target="header167.xml"/><Relationship Id="rId403" Type="http://schemas.openxmlformats.org/officeDocument/2006/relationships/header" Target="header179.xml"/><Relationship Id="rId585" Type="http://schemas.openxmlformats.org/officeDocument/2006/relationships/hyperlink" Target="http://www.adambandt.com/160530" TargetMode="External"/><Relationship Id="rId6" Type="http://schemas.openxmlformats.org/officeDocument/2006/relationships/webSettings" Target="webSettings.xml"/><Relationship Id="rId238" Type="http://schemas.openxmlformats.org/officeDocument/2006/relationships/header" Target="header106.xml"/><Relationship Id="rId445" Type="http://schemas.openxmlformats.org/officeDocument/2006/relationships/header" Target="header198.xml"/><Relationship Id="rId487" Type="http://schemas.openxmlformats.org/officeDocument/2006/relationships/header" Target="header217.xml"/><Relationship Id="rId610" Type="http://schemas.openxmlformats.org/officeDocument/2006/relationships/footer" Target="footer261.xml"/><Relationship Id="rId652" Type="http://schemas.openxmlformats.org/officeDocument/2006/relationships/header" Target="header277.xml"/><Relationship Id="rId694" Type="http://schemas.openxmlformats.org/officeDocument/2006/relationships/hyperlink" Target="http://www.federalfinancialrelations.gov.au/content/national_agreements.aspx" TargetMode="External"/><Relationship Id="rId291" Type="http://schemas.openxmlformats.org/officeDocument/2006/relationships/header" Target="header127.xml"/><Relationship Id="rId305" Type="http://schemas.openxmlformats.org/officeDocument/2006/relationships/footer" Target="footer135.xml"/><Relationship Id="rId347" Type="http://schemas.openxmlformats.org/officeDocument/2006/relationships/footer" Target="footer155.xml"/><Relationship Id="rId512" Type="http://schemas.openxmlformats.org/officeDocument/2006/relationships/hyperlink" Target="http://greens.org.au/research" TargetMode="External"/><Relationship Id="rId44" Type="http://schemas.openxmlformats.org/officeDocument/2006/relationships/footer" Target="footer16.xml"/><Relationship Id="rId86" Type="http://schemas.openxmlformats.org/officeDocument/2006/relationships/header" Target="header37.xml"/><Relationship Id="rId151" Type="http://schemas.openxmlformats.org/officeDocument/2006/relationships/header" Target="header67.xml"/><Relationship Id="rId389" Type="http://schemas.openxmlformats.org/officeDocument/2006/relationships/footer" Target="footer173.xml"/><Relationship Id="rId554" Type="http://schemas.openxmlformats.org/officeDocument/2006/relationships/header" Target="header244.xml"/><Relationship Id="rId596" Type="http://schemas.openxmlformats.org/officeDocument/2006/relationships/hyperlink" Target="http://greens.org.au/sugar-tax" TargetMode="External"/><Relationship Id="rId193" Type="http://schemas.openxmlformats.org/officeDocument/2006/relationships/hyperlink" Target="http://lee-rhiannon.greensmps.org.au/content/blog/national-icac-initiative" TargetMode="External"/><Relationship Id="rId207" Type="http://schemas.openxmlformats.org/officeDocument/2006/relationships/header" Target="header94.xml"/><Relationship Id="rId249" Type="http://schemas.openxmlformats.org/officeDocument/2006/relationships/footer" Target="footer108.xml"/><Relationship Id="rId414" Type="http://schemas.openxmlformats.org/officeDocument/2006/relationships/header" Target="header184.xml"/><Relationship Id="rId456" Type="http://schemas.openxmlformats.org/officeDocument/2006/relationships/header" Target="header204.xml"/><Relationship Id="rId498" Type="http://schemas.openxmlformats.org/officeDocument/2006/relationships/header" Target="header223.xml"/><Relationship Id="rId621" Type="http://schemas.openxmlformats.org/officeDocument/2006/relationships/footer" Target="footer265.xml"/><Relationship Id="rId663" Type="http://schemas.openxmlformats.org/officeDocument/2006/relationships/footer" Target="footer283.xml"/><Relationship Id="rId13" Type="http://schemas.openxmlformats.org/officeDocument/2006/relationships/header" Target="header3.xml"/><Relationship Id="rId109" Type="http://schemas.openxmlformats.org/officeDocument/2006/relationships/footer" Target="footer46.xml"/><Relationship Id="rId260" Type="http://schemas.openxmlformats.org/officeDocument/2006/relationships/footer" Target="footer115.xml"/><Relationship Id="rId316" Type="http://schemas.openxmlformats.org/officeDocument/2006/relationships/footer" Target="footer140.xml"/><Relationship Id="rId523" Type="http://schemas.openxmlformats.org/officeDocument/2006/relationships/hyperlink" Target="http://greens.org.au/olderaustralians" TargetMode="External"/><Relationship Id="rId55" Type="http://schemas.openxmlformats.org/officeDocument/2006/relationships/header" Target="header23.xml"/><Relationship Id="rId97" Type="http://schemas.openxmlformats.org/officeDocument/2006/relationships/header" Target="header42.xml"/><Relationship Id="rId120" Type="http://schemas.openxmlformats.org/officeDocument/2006/relationships/footer" Target="footer51.xml"/><Relationship Id="rId358" Type="http://schemas.openxmlformats.org/officeDocument/2006/relationships/header" Target="header158.xml"/><Relationship Id="rId565" Type="http://schemas.openxmlformats.org/officeDocument/2006/relationships/footer" Target="footer249.xml"/><Relationship Id="rId162" Type="http://schemas.openxmlformats.org/officeDocument/2006/relationships/footer" Target="footer71.xml"/><Relationship Id="rId218" Type="http://schemas.openxmlformats.org/officeDocument/2006/relationships/header" Target="header99.xml"/><Relationship Id="rId425" Type="http://schemas.openxmlformats.org/officeDocument/2006/relationships/hyperlink" Target="http://greens.org.au/harm-reduction" TargetMode="External"/><Relationship Id="rId467" Type="http://schemas.openxmlformats.org/officeDocument/2006/relationships/hyperlink" Target="http://greens.org.au/sustainable-wood-products" TargetMode="External"/><Relationship Id="rId632" Type="http://schemas.openxmlformats.org/officeDocument/2006/relationships/hyperlink" Target="http://www.greghunt.com.au/Portals/0/PDF/TheCoalitionsDirectActionPlanPolicy2010.pdf" TargetMode="External"/><Relationship Id="rId271" Type="http://schemas.openxmlformats.org/officeDocument/2006/relationships/header" Target="header117.xml"/><Relationship Id="rId674" Type="http://schemas.openxmlformats.org/officeDocument/2006/relationships/header" Target="header288.xml"/><Relationship Id="rId24" Type="http://schemas.openxmlformats.org/officeDocument/2006/relationships/header" Target="header8.xml"/><Relationship Id="rId66" Type="http://schemas.openxmlformats.org/officeDocument/2006/relationships/header" Target="header28.xml"/><Relationship Id="rId131" Type="http://schemas.openxmlformats.org/officeDocument/2006/relationships/header" Target="header57.xml"/><Relationship Id="rId327" Type="http://schemas.openxmlformats.org/officeDocument/2006/relationships/hyperlink" Target="http://greens.org.au/news/sa/greens-proposal-reduces-student-debt-burden" TargetMode="External"/><Relationship Id="rId369" Type="http://schemas.openxmlformats.org/officeDocument/2006/relationships/header" Target="header164.xml"/><Relationship Id="rId534" Type="http://schemas.openxmlformats.org/officeDocument/2006/relationships/footer" Target="footer235.xml"/><Relationship Id="rId576" Type="http://schemas.openxmlformats.org/officeDocument/2006/relationships/hyperlink" Target="http://rachel-siewert.greensmps.org.au/content/media-releases/greens-announce-plans-reverse-income-management" TargetMode="External"/><Relationship Id="rId173" Type="http://schemas.openxmlformats.org/officeDocument/2006/relationships/header" Target="header78.xml"/><Relationship Id="rId229" Type="http://schemas.openxmlformats.org/officeDocument/2006/relationships/hyperlink" Target="greens.org.au/inequality" TargetMode="External"/><Relationship Id="rId380" Type="http://schemas.openxmlformats.org/officeDocument/2006/relationships/header" Target="header168.xml"/><Relationship Id="rId436" Type="http://schemas.openxmlformats.org/officeDocument/2006/relationships/footer" Target="footer194.xml"/><Relationship Id="rId601" Type="http://schemas.openxmlformats.org/officeDocument/2006/relationships/footer" Target="footer257.xml"/><Relationship Id="rId643" Type="http://schemas.openxmlformats.org/officeDocument/2006/relationships/footer" Target="footer273.xml"/><Relationship Id="rId240" Type="http://schemas.openxmlformats.org/officeDocument/2006/relationships/footer" Target="footer105.xml"/><Relationship Id="rId478" Type="http://schemas.openxmlformats.org/officeDocument/2006/relationships/header" Target="header213.xml"/><Relationship Id="rId685" Type="http://schemas.openxmlformats.org/officeDocument/2006/relationships/footer" Target="footer294.xml"/><Relationship Id="rId35" Type="http://schemas.openxmlformats.org/officeDocument/2006/relationships/footer" Target="footer12.xml"/><Relationship Id="rId77" Type="http://schemas.openxmlformats.org/officeDocument/2006/relationships/header" Target="header33.xml"/><Relationship Id="rId100" Type="http://schemas.openxmlformats.org/officeDocument/2006/relationships/header" Target="header43.xml"/><Relationship Id="rId282" Type="http://schemas.openxmlformats.org/officeDocument/2006/relationships/header" Target="header122.xml"/><Relationship Id="rId338" Type="http://schemas.openxmlformats.org/officeDocument/2006/relationships/header" Target="header149.xml"/><Relationship Id="rId503" Type="http://schemas.openxmlformats.org/officeDocument/2006/relationships/header" Target="header225.xml"/><Relationship Id="rId545" Type="http://schemas.openxmlformats.org/officeDocument/2006/relationships/footer" Target="footer240.xml"/><Relationship Id="rId587" Type="http://schemas.openxmlformats.org/officeDocument/2006/relationships/hyperlink" Target="http://greens.org.au/healthcare" TargetMode="External"/><Relationship Id="rId8" Type="http://schemas.openxmlformats.org/officeDocument/2006/relationships/endnotes" Target="endnotes.xml"/><Relationship Id="rId142" Type="http://schemas.openxmlformats.org/officeDocument/2006/relationships/footer" Target="footer61.xml"/><Relationship Id="rId184" Type="http://schemas.openxmlformats.org/officeDocument/2006/relationships/header" Target="header84.xml"/><Relationship Id="rId391" Type="http://schemas.openxmlformats.org/officeDocument/2006/relationships/header" Target="header173.xml"/><Relationship Id="rId405" Type="http://schemas.openxmlformats.org/officeDocument/2006/relationships/footer" Target="footer181.xml"/><Relationship Id="rId447" Type="http://schemas.openxmlformats.org/officeDocument/2006/relationships/footer" Target="footer199.xml"/><Relationship Id="rId612" Type="http://schemas.openxmlformats.org/officeDocument/2006/relationships/hyperlink" Target="http://forecasting.aemo.com.au/AnnualConsumption" TargetMode="External"/><Relationship Id="rId251" Type="http://schemas.openxmlformats.org/officeDocument/2006/relationships/header" Target="header111.xml"/><Relationship Id="rId489" Type="http://schemas.openxmlformats.org/officeDocument/2006/relationships/footer" Target="footer218.xml"/><Relationship Id="rId654" Type="http://schemas.openxmlformats.org/officeDocument/2006/relationships/footer" Target="footer278.xml"/><Relationship Id="rId696" Type="http://schemas.openxmlformats.org/officeDocument/2006/relationships/hyperlink" Target="http://www.federalfinancialrelations.gov.au/content/npa/housing/national-partnership/past/homelessness_NP_superseded2.pdf" TargetMode="External"/><Relationship Id="rId46" Type="http://schemas.openxmlformats.org/officeDocument/2006/relationships/footer" Target="footer17.xml"/><Relationship Id="rId293" Type="http://schemas.openxmlformats.org/officeDocument/2006/relationships/footer" Target="footer129.xml"/><Relationship Id="rId307" Type="http://schemas.openxmlformats.org/officeDocument/2006/relationships/header" Target="header135.xml"/><Relationship Id="rId349" Type="http://schemas.openxmlformats.org/officeDocument/2006/relationships/footer" Target="footer156.xml"/><Relationship Id="rId514" Type="http://schemas.openxmlformats.org/officeDocument/2006/relationships/hyperlink" Target="http://greens.org.au/animal-welfare" TargetMode="External"/><Relationship Id="rId556" Type="http://schemas.openxmlformats.org/officeDocument/2006/relationships/footer" Target="footer245.xml"/><Relationship Id="rId88" Type="http://schemas.openxmlformats.org/officeDocument/2006/relationships/hyperlink" Target="http://greens.org.au/sites/greens.org.au/files/Tax%20Avoidance%20Package_0.pdf" TargetMode="External"/><Relationship Id="rId111" Type="http://schemas.openxmlformats.org/officeDocument/2006/relationships/header" Target="header48.xml"/><Relationship Id="rId153" Type="http://schemas.openxmlformats.org/officeDocument/2006/relationships/header" Target="header68.xml"/><Relationship Id="rId195" Type="http://schemas.openxmlformats.org/officeDocument/2006/relationships/header" Target="header89.xml"/><Relationship Id="rId209" Type="http://schemas.openxmlformats.org/officeDocument/2006/relationships/footer" Target="footer93.xml"/><Relationship Id="rId360" Type="http://schemas.openxmlformats.org/officeDocument/2006/relationships/footer" Target="footer160.xml"/><Relationship Id="rId416" Type="http://schemas.openxmlformats.org/officeDocument/2006/relationships/footer" Target="footer186.xml"/><Relationship Id="rId598" Type="http://schemas.openxmlformats.org/officeDocument/2006/relationships/header" Target="header255.xml"/><Relationship Id="rId220" Type="http://schemas.openxmlformats.org/officeDocument/2006/relationships/footer" Target="footer98.xml"/><Relationship Id="rId458" Type="http://schemas.openxmlformats.org/officeDocument/2006/relationships/footer" Target="footer205.xml"/><Relationship Id="rId623" Type="http://schemas.openxmlformats.org/officeDocument/2006/relationships/hyperlink" Target="https://www.environment.gov.au/climate-change/publications/tracking-to-2020" TargetMode="External"/><Relationship Id="rId665" Type="http://schemas.openxmlformats.org/officeDocument/2006/relationships/header" Target="header284.xml"/><Relationship Id="rId15" Type="http://schemas.openxmlformats.org/officeDocument/2006/relationships/hyperlink" Target="http://greens.org.au/progressive-superannuation" TargetMode="External"/><Relationship Id="rId57" Type="http://schemas.openxmlformats.org/officeDocument/2006/relationships/footer" Target="footer22.xml"/><Relationship Id="rId262" Type="http://schemas.openxmlformats.org/officeDocument/2006/relationships/hyperlink" Target="http://greens.org.au/local-food" TargetMode="External"/><Relationship Id="rId318" Type="http://schemas.openxmlformats.org/officeDocument/2006/relationships/header" Target="header140.xml"/><Relationship Id="rId525" Type="http://schemas.openxmlformats.org/officeDocument/2006/relationships/hyperlink" Target="http://www.finance.gov.au/resource-management/reporting-accounting/accounting-guidance/" TargetMode="External"/><Relationship Id="rId567" Type="http://schemas.openxmlformats.org/officeDocument/2006/relationships/hyperlink" Target="http://greens.org.au/domestic-violence" TargetMode="External"/><Relationship Id="rId99" Type="http://schemas.openxmlformats.org/officeDocument/2006/relationships/footer" Target="footer41.xml"/><Relationship Id="rId122" Type="http://schemas.openxmlformats.org/officeDocument/2006/relationships/footer" Target="footer52.xml"/><Relationship Id="rId164" Type="http://schemas.openxmlformats.org/officeDocument/2006/relationships/header" Target="header74.xml"/><Relationship Id="rId371" Type="http://schemas.openxmlformats.org/officeDocument/2006/relationships/footer" Target="footer166.xml"/><Relationship Id="rId427" Type="http://schemas.openxmlformats.org/officeDocument/2006/relationships/header" Target="header190.xml"/><Relationship Id="rId469" Type="http://schemas.openxmlformats.org/officeDocument/2006/relationships/header" Target="header209.xml"/><Relationship Id="rId634" Type="http://schemas.openxmlformats.org/officeDocument/2006/relationships/hyperlink" Target="http://www.cleanenergyregulator.gov.au/About/Pages/News%20and%20updates/NewsItem.aspx?ListId=19b4efbb-6f5d-4637-94c4-121c1f96fcfe&amp;ItemId=188" TargetMode="External"/><Relationship Id="rId676" Type="http://schemas.openxmlformats.org/officeDocument/2006/relationships/footer" Target="footer289.xml"/><Relationship Id="rId26" Type="http://schemas.openxmlformats.org/officeDocument/2006/relationships/header" Target="header9.xml"/><Relationship Id="rId231" Type="http://schemas.openxmlformats.org/officeDocument/2006/relationships/hyperlink" Target="http://greens.org.au/inequality" TargetMode="External"/><Relationship Id="rId273" Type="http://schemas.openxmlformats.org/officeDocument/2006/relationships/footer" Target="footer119.xml"/><Relationship Id="rId329" Type="http://schemas.openxmlformats.org/officeDocument/2006/relationships/header" Target="header145.xml"/><Relationship Id="rId480" Type="http://schemas.openxmlformats.org/officeDocument/2006/relationships/header" Target="header214.xml"/><Relationship Id="rId536" Type="http://schemas.openxmlformats.org/officeDocument/2006/relationships/header" Target="header236.xml"/><Relationship Id="rId68" Type="http://schemas.openxmlformats.org/officeDocument/2006/relationships/footer" Target="footer27.xml"/><Relationship Id="rId133" Type="http://schemas.openxmlformats.org/officeDocument/2006/relationships/footer" Target="footer56.xml"/><Relationship Id="rId175" Type="http://schemas.openxmlformats.org/officeDocument/2006/relationships/footer" Target="footer77.xml"/><Relationship Id="rId340" Type="http://schemas.openxmlformats.org/officeDocument/2006/relationships/header" Target="header150.xml"/><Relationship Id="rId578" Type="http://schemas.openxmlformats.org/officeDocument/2006/relationships/hyperlink" Target="http://greens.org.au/sites/greens.org.au/files/increasing%20rent%20assistance.pdf" TargetMode="External"/><Relationship Id="rId200" Type="http://schemas.openxmlformats.org/officeDocument/2006/relationships/hyperlink" Target="http://greens.org.au/marine" TargetMode="External"/><Relationship Id="rId382" Type="http://schemas.openxmlformats.org/officeDocument/2006/relationships/footer" Target="footer170.xml"/><Relationship Id="rId438" Type="http://schemas.openxmlformats.org/officeDocument/2006/relationships/header" Target="header194.xml"/><Relationship Id="rId603" Type="http://schemas.openxmlformats.org/officeDocument/2006/relationships/footer" Target="footer258.xml"/><Relationship Id="rId645" Type="http://schemas.openxmlformats.org/officeDocument/2006/relationships/footer" Target="footer274.xml"/><Relationship Id="rId687" Type="http://schemas.openxmlformats.org/officeDocument/2006/relationships/header" Target="header295.xml"/><Relationship Id="rId242" Type="http://schemas.openxmlformats.org/officeDocument/2006/relationships/header" Target="header108.xml"/><Relationship Id="rId284" Type="http://schemas.openxmlformats.org/officeDocument/2006/relationships/header" Target="header123.xml"/><Relationship Id="rId491" Type="http://schemas.openxmlformats.org/officeDocument/2006/relationships/header" Target="header219.xml"/><Relationship Id="rId505" Type="http://schemas.openxmlformats.org/officeDocument/2006/relationships/footer" Target="footer226.xml"/><Relationship Id="rId37" Type="http://schemas.openxmlformats.org/officeDocument/2006/relationships/header" Target="header15.xml"/><Relationship Id="rId79" Type="http://schemas.openxmlformats.org/officeDocument/2006/relationships/footer" Target="footer32.xml"/><Relationship Id="rId102" Type="http://schemas.openxmlformats.org/officeDocument/2006/relationships/footer" Target="footer42.xml"/><Relationship Id="rId144" Type="http://schemas.openxmlformats.org/officeDocument/2006/relationships/header" Target="header64.xml"/><Relationship Id="rId547" Type="http://schemas.openxmlformats.org/officeDocument/2006/relationships/header" Target="header241.xml"/><Relationship Id="rId589" Type="http://schemas.openxmlformats.org/officeDocument/2006/relationships/hyperlink" Target="https://www.ihpa.gov.au/publications/national-efficient-price-determination-2016-17" TargetMode="External"/><Relationship Id="rId90" Type="http://schemas.openxmlformats.org/officeDocument/2006/relationships/header" Target="header39.xml"/><Relationship Id="rId186" Type="http://schemas.openxmlformats.org/officeDocument/2006/relationships/footer" Target="footer83.xml"/><Relationship Id="rId351" Type="http://schemas.openxmlformats.org/officeDocument/2006/relationships/hyperlink" Target="http://greens.org.au/news/tas/greens-propose-establishment-marine-plastics-crc-hobart" TargetMode="External"/><Relationship Id="rId393" Type="http://schemas.openxmlformats.org/officeDocument/2006/relationships/header" Target="header174.xml"/><Relationship Id="rId407" Type="http://schemas.openxmlformats.org/officeDocument/2006/relationships/hyperlink" Target="http://greens.org.au/small-business" TargetMode="External"/><Relationship Id="rId449" Type="http://schemas.openxmlformats.org/officeDocument/2006/relationships/header" Target="header200.xml"/><Relationship Id="rId614" Type="http://schemas.openxmlformats.org/officeDocument/2006/relationships/header" Target="header262.xml"/><Relationship Id="rId656" Type="http://schemas.openxmlformats.org/officeDocument/2006/relationships/header" Target="header279.xml"/><Relationship Id="rId211" Type="http://schemas.openxmlformats.org/officeDocument/2006/relationships/header" Target="header95.xml"/><Relationship Id="rId253" Type="http://schemas.openxmlformats.org/officeDocument/2006/relationships/header" Target="header112.xml"/><Relationship Id="rId295" Type="http://schemas.openxmlformats.org/officeDocument/2006/relationships/footer" Target="footer130.xml"/><Relationship Id="rId309" Type="http://schemas.openxmlformats.org/officeDocument/2006/relationships/footer" Target="footer137.xml"/><Relationship Id="rId460" Type="http://schemas.openxmlformats.org/officeDocument/2006/relationships/header" Target="header205.xml"/><Relationship Id="rId516" Type="http://schemas.openxmlformats.org/officeDocument/2006/relationships/header" Target="header230.xml"/><Relationship Id="rId698" Type="http://schemas.openxmlformats.org/officeDocument/2006/relationships/theme" Target="theme/theme1.xml"/><Relationship Id="rId48" Type="http://schemas.openxmlformats.org/officeDocument/2006/relationships/header" Target="header20.xml"/><Relationship Id="rId113" Type="http://schemas.openxmlformats.org/officeDocument/2006/relationships/footer" Target="footer47.xml"/><Relationship Id="rId320" Type="http://schemas.openxmlformats.org/officeDocument/2006/relationships/footer" Target="footer142.xml"/><Relationship Id="rId558" Type="http://schemas.openxmlformats.org/officeDocument/2006/relationships/header" Target="header246.xml"/><Relationship Id="rId155" Type="http://schemas.openxmlformats.org/officeDocument/2006/relationships/footer" Target="footer67.xml"/><Relationship Id="rId197" Type="http://schemas.openxmlformats.org/officeDocument/2006/relationships/footer" Target="footer88.xml"/><Relationship Id="rId362" Type="http://schemas.openxmlformats.org/officeDocument/2006/relationships/header" Target="header160.xml"/><Relationship Id="rId418" Type="http://schemas.openxmlformats.org/officeDocument/2006/relationships/header" Target="header186.xml"/><Relationship Id="rId625" Type="http://schemas.openxmlformats.org/officeDocument/2006/relationships/hyperlink" Target="http://www.cleanenergyregulator.gov.au/Infohub/Data-and-information/Pages/Jobs-and-competitiveness-program-issued-units.aspx" TargetMode="External"/><Relationship Id="rId222" Type="http://schemas.openxmlformats.org/officeDocument/2006/relationships/header" Target="header100.xml"/><Relationship Id="rId264" Type="http://schemas.openxmlformats.org/officeDocument/2006/relationships/hyperlink" Target="http://greens.org.au/food-system" TargetMode="External"/><Relationship Id="rId471" Type="http://schemas.openxmlformats.org/officeDocument/2006/relationships/footer" Target="footer210.xml"/><Relationship Id="rId667" Type="http://schemas.openxmlformats.org/officeDocument/2006/relationships/footer" Target="footer285.xml"/><Relationship Id="rId17" Type="http://schemas.openxmlformats.org/officeDocument/2006/relationships/header" Target="header5.xml"/><Relationship Id="rId59" Type="http://schemas.openxmlformats.org/officeDocument/2006/relationships/footer" Target="footer23.xml"/><Relationship Id="rId124" Type="http://schemas.openxmlformats.org/officeDocument/2006/relationships/hyperlink" Target="https://www.comlaw.gov.au/Details/C2014A00083" TargetMode="External"/><Relationship Id="rId527" Type="http://schemas.openxmlformats.org/officeDocument/2006/relationships/header" Target="header233.xml"/><Relationship Id="rId569" Type="http://schemas.openxmlformats.org/officeDocument/2006/relationships/hyperlink" Target="http://greens.org.au/accessible-abortion" TargetMode="External"/><Relationship Id="rId70" Type="http://schemas.openxmlformats.org/officeDocument/2006/relationships/footer" Target="footer28.xml"/><Relationship Id="rId166" Type="http://schemas.openxmlformats.org/officeDocument/2006/relationships/footer" Target="footer73.xml"/><Relationship Id="rId331" Type="http://schemas.openxmlformats.org/officeDocument/2006/relationships/footer" Target="footer147.xml"/><Relationship Id="rId373" Type="http://schemas.openxmlformats.org/officeDocument/2006/relationships/hyperlink" Target="http://rachel-siewert.greensmps.org.au/content/media-releases/greens-launch-package-stop-another-stolen-generation" TargetMode="External"/><Relationship Id="rId429" Type="http://schemas.openxmlformats.org/officeDocument/2006/relationships/footer" Target="footer192.xml"/><Relationship Id="rId580" Type="http://schemas.openxmlformats.org/officeDocument/2006/relationships/header" Target="header250.xml"/><Relationship Id="rId636" Type="http://schemas.openxmlformats.org/officeDocument/2006/relationships/header" Target="header269.xml"/><Relationship Id="rId1" Type="http://schemas.openxmlformats.org/officeDocument/2006/relationships/customXml" Target="../customXml/item1.xml"/><Relationship Id="rId233" Type="http://schemas.openxmlformats.org/officeDocument/2006/relationships/header" Target="header104.xml"/><Relationship Id="rId440" Type="http://schemas.openxmlformats.org/officeDocument/2006/relationships/header" Target="header195.xml"/><Relationship Id="rId678" Type="http://schemas.openxmlformats.org/officeDocument/2006/relationships/header" Target="header290.xml"/><Relationship Id="rId28" Type="http://schemas.openxmlformats.org/officeDocument/2006/relationships/footer" Target="footer8.xml"/><Relationship Id="rId275" Type="http://schemas.openxmlformats.org/officeDocument/2006/relationships/header" Target="header119.xml"/><Relationship Id="rId300" Type="http://schemas.openxmlformats.org/officeDocument/2006/relationships/header" Target="header131.xml"/><Relationship Id="rId482" Type="http://schemas.openxmlformats.org/officeDocument/2006/relationships/footer" Target="footer215.xml"/><Relationship Id="rId538" Type="http://schemas.openxmlformats.org/officeDocument/2006/relationships/header" Target="header237.xml"/><Relationship Id="rId81" Type="http://schemas.openxmlformats.org/officeDocument/2006/relationships/footer" Target="footer33.xml"/><Relationship Id="rId135" Type="http://schemas.openxmlformats.org/officeDocument/2006/relationships/header" Target="header59.xml"/><Relationship Id="rId177" Type="http://schemas.openxmlformats.org/officeDocument/2006/relationships/header" Target="header80.xml"/><Relationship Id="rId342" Type="http://schemas.openxmlformats.org/officeDocument/2006/relationships/footer" Target="footer152.xml"/><Relationship Id="rId384" Type="http://schemas.openxmlformats.org/officeDocument/2006/relationships/header" Target="header170.xml"/><Relationship Id="rId591" Type="http://schemas.openxmlformats.org/officeDocument/2006/relationships/header" Target="header253.xml"/><Relationship Id="rId605" Type="http://schemas.openxmlformats.org/officeDocument/2006/relationships/header" Target="header258.xml"/><Relationship Id="rId202" Type="http://schemas.openxmlformats.org/officeDocument/2006/relationships/header" Target="header91.xml"/><Relationship Id="rId244" Type="http://schemas.openxmlformats.org/officeDocument/2006/relationships/hyperlink" Target="http://greens.org.au/sites/greens.org.au/files/20160428_Living%20Reefs-Dying%20Coal.pdf" TargetMode="External"/><Relationship Id="rId647" Type="http://schemas.openxmlformats.org/officeDocument/2006/relationships/header" Target="header275.xml"/><Relationship Id="rId689" Type="http://schemas.openxmlformats.org/officeDocument/2006/relationships/footer" Target="footer296.xml"/><Relationship Id="rId39" Type="http://schemas.openxmlformats.org/officeDocument/2006/relationships/footer" Target="footer14.xml"/><Relationship Id="rId286" Type="http://schemas.openxmlformats.org/officeDocument/2006/relationships/footer" Target="footer125.xml"/><Relationship Id="rId451" Type="http://schemas.openxmlformats.org/officeDocument/2006/relationships/footer" Target="footer201.xml"/><Relationship Id="rId493" Type="http://schemas.openxmlformats.org/officeDocument/2006/relationships/header" Target="header220.xml"/><Relationship Id="rId507" Type="http://schemas.openxmlformats.org/officeDocument/2006/relationships/hyperlink" Target="http://greens.org.au/atsi" TargetMode="External"/><Relationship Id="rId549" Type="http://schemas.openxmlformats.org/officeDocument/2006/relationships/footer" Target="footer242.xml"/><Relationship Id="rId50" Type="http://schemas.openxmlformats.org/officeDocument/2006/relationships/footer" Target="footer19.xml"/><Relationship Id="rId104" Type="http://schemas.openxmlformats.org/officeDocument/2006/relationships/header" Target="header45.xml"/><Relationship Id="rId146" Type="http://schemas.openxmlformats.org/officeDocument/2006/relationships/footer" Target="footer63.xml"/><Relationship Id="rId188" Type="http://schemas.openxmlformats.org/officeDocument/2006/relationships/footer" Target="footer84.xml"/><Relationship Id="rId311" Type="http://schemas.openxmlformats.org/officeDocument/2006/relationships/footer" Target="footer138.xml"/><Relationship Id="rId353" Type="http://schemas.openxmlformats.org/officeDocument/2006/relationships/header" Target="header156.xml"/><Relationship Id="rId395" Type="http://schemas.openxmlformats.org/officeDocument/2006/relationships/footer" Target="footer176.xml"/><Relationship Id="rId409" Type="http://schemas.openxmlformats.org/officeDocument/2006/relationships/header" Target="header182.xml"/><Relationship Id="rId560" Type="http://schemas.openxmlformats.org/officeDocument/2006/relationships/footer" Target="footer247.xml"/><Relationship Id="rId92" Type="http://schemas.openxmlformats.org/officeDocument/2006/relationships/footer" Target="footer38.xml"/><Relationship Id="rId213" Type="http://schemas.openxmlformats.org/officeDocument/2006/relationships/footer" Target="footer94.xml"/><Relationship Id="rId420" Type="http://schemas.openxmlformats.org/officeDocument/2006/relationships/footer" Target="footer188.xml"/><Relationship Id="rId616" Type="http://schemas.openxmlformats.org/officeDocument/2006/relationships/footer" Target="footer263.xml"/><Relationship Id="rId658" Type="http://schemas.openxmlformats.org/officeDocument/2006/relationships/footer" Target="footer280.xml"/><Relationship Id="rId255" Type="http://schemas.openxmlformats.org/officeDocument/2006/relationships/footer" Target="footer111.xml"/><Relationship Id="rId297" Type="http://schemas.openxmlformats.org/officeDocument/2006/relationships/header" Target="header130.xml"/><Relationship Id="rId462" Type="http://schemas.openxmlformats.org/officeDocument/2006/relationships/footer" Target="footer206.xml"/><Relationship Id="rId518" Type="http://schemas.openxmlformats.org/officeDocument/2006/relationships/footer" Target="footer231.xml"/><Relationship Id="rId115" Type="http://schemas.openxmlformats.org/officeDocument/2006/relationships/header" Target="header50.xml"/><Relationship Id="rId157" Type="http://schemas.openxmlformats.org/officeDocument/2006/relationships/header" Target="header70.xml"/><Relationship Id="rId322" Type="http://schemas.openxmlformats.org/officeDocument/2006/relationships/footer" Target="footer143.xml"/><Relationship Id="rId364" Type="http://schemas.openxmlformats.org/officeDocument/2006/relationships/footer" Target="footer162.xml"/></Relationships>
</file>

<file path=word/_rels/header216.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liganl\AppData\Roaming\Microsoft\Templates\PBO%20Research%20Report.dotm" TargetMode="External"/></Relationships>
</file>

<file path=word/theme/theme1.xml><?xml version="1.0" encoding="utf-8"?>
<a:theme xmlns:a="http://schemas.openxmlformats.org/drawingml/2006/main" name="Office Theme">
  <a:themeElements>
    <a:clrScheme name="PBO v1">
      <a:dk1>
        <a:srgbClr val="000000"/>
      </a:dk1>
      <a:lt1>
        <a:srgbClr val="FFFFFF"/>
      </a:lt1>
      <a:dk2>
        <a:srgbClr val="2B3B5F"/>
      </a:dk2>
      <a:lt2>
        <a:srgbClr val="788184"/>
      </a:lt2>
      <a:accent1>
        <a:srgbClr val="2B3B5F"/>
      </a:accent1>
      <a:accent2>
        <a:srgbClr val="95A4C6"/>
      </a:accent2>
      <a:accent3>
        <a:srgbClr val="D7DDE9"/>
      </a:accent3>
      <a:accent4>
        <a:srgbClr val="751D71"/>
      </a:accent4>
      <a:accent5>
        <a:srgbClr val="B267B3"/>
      </a:accent5>
      <a:accent6>
        <a:srgbClr val="788184"/>
      </a:accent6>
      <a:hlink>
        <a:srgbClr val="000000"/>
      </a:hlink>
      <a:folHlink>
        <a:srgbClr val="000000"/>
      </a:folHlink>
    </a:clrScheme>
    <a:fontScheme name="PBO v1">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75497-3A1E-4CE2-990E-3923EFB6A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Research Report.dotm</Template>
  <TotalTime>2407</TotalTime>
  <Pages>105</Pages>
  <Words>117995</Words>
  <Characters>613580</Characters>
  <Application>Microsoft Office Word</Application>
  <DocSecurity>0</DocSecurity>
  <Lines>51131</Lines>
  <Paragraphs>38503</Paragraphs>
  <ScaleCrop>false</ScaleCrop>
  <HeadingPairs>
    <vt:vector size="2" baseType="variant">
      <vt:variant>
        <vt:lpstr>Title</vt:lpstr>
      </vt:variant>
      <vt:variant>
        <vt:i4>1</vt:i4>
      </vt:variant>
    </vt:vector>
  </HeadingPairs>
  <TitlesOfParts>
    <vt:vector size="1" baseType="lpstr">
      <vt:lpstr>Post-election report of election commitments: 2016 general election </vt:lpstr>
    </vt:vector>
  </TitlesOfParts>
  <Company>Parliament of Australia</Company>
  <LinksUpToDate>false</LinksUpToDate>
  <CharactersWithSpaces>693072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Post-election report of election commitments: 2016 general election </dc:title>
  <dc:subject>Appendix G - Costing documentation for the Greens' election commitments</dc:subject>
  <dc:creator>Parliamentary Budget Office</dc:creator>
  <cp:keywords/>
  <dc:description/>
  <cp:lastModifiedBy>Milligan, Louise (PBO)</cp:lastModifiedBy>
  <cp:revision>252</cp:revision>
  <cp:lastPrinted>2016-08-04T06:05:00Z</cp:lastPrinted>
  <dcterms:created xsi:type="dcterms:W3CDTF">2016-08-01T23:26:00Z</dcterms:created>
  <dcterms:modified xsi:type="dcterms:W3CDTF">2016-09-30T06:53:00Z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H</vt:lpwstr>
  </property>
  <property fmtid="{D5CDD505-2E9C-101B-9397-08002B2CF9AE}" pid="4" name="xTOCH3">
    <vt:lpwstr>H</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Heading</vt:lpwstr>
  </property>
  <property fmtid="{D5CDD505-2E9C-101B-9397-08002B2CF9AE}" pid="10" name="xHeadingsNumbered">
    <vt:lpwstr>0</vt:lpwstr>
  </property>
  <property fmtid="{D5CDD505-2E9C-101B-9397-08002B2CF9AE}" pid="11" name="xAppendixName">
    <vt:lpwstr>Appendix</vt:lpwstr>
  </property>
  <property fmtid="{D5CDD505-2E9C-101B-9397-08002B2CF9AE}" pid="12" name="_MarkAsFinal">
    <vt:bool>true</vt:bool>
  </property>
</Properties>
</file>